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abstract"/>
    <w:p>
      <w:pPr>
        <w:pStyle w:val="Heading2"/>
      </w:pPr>
      <w:r>
        <w:t xml:space="preserve">Abstract</w:t>
      </w:r>
    </w:p>
    <w:p>
      <w:pPr>
        <w:pStyle w:val="FirstParagraph"/>
      </w:pPr>
      <w:r>
        <w:t xml:space="preserve">Introduction: The human T-cell leukemia virus type 1 (HTLV-1) is a neglected oncogenic retrovirus that disproportionately affects marginalized and isolated populations worldwide. Identifying high-risk populations is critical task In this study, we aimed to characterize the virological, immunological, and host genetic landscape of HTLV-1 infection using an integrated high-throughput genomic approach in a well-characterized Peruvian cohort, with the goal of identifying high-risk features and advancing our understanding of HTLV-1 pathogenesis in underrepresented populations.</w:t>
      </w:r>
    </w:p>
    <w:p>
      <w:pPr>
        <w:pStyle w:val="BodyText"/>
      </w:pPr>
      <w:r>
        <w:t xml:space="preserve">These findings support the clinical utility of PVL as a prognostic biomarker for overall survival in HTLV-1-infected individuals, extending beyond its established role in ATLL risk stratification.</w:t>
      </w:r>
    </w:p>
    <w:bookmarkEnd w:id="20"/>
    <w:bookmarkStart w:id="21" w:name="introduction"/>
    <w:p>
      <w:pPr>
        <w:pStyle w:val="Heading2"/>
      </w:pPr>
      <w:r>
        <w:t xml:space="preserve">Introduction</w:t>
      </w:r>
    </w:p>
    <w:p>
      <w:pPr>
        <w:pStyle w:val="FirstParagraph"/>
      </w:pPr>
      <w:r>
        <w:t xml:space="preserve">The human T-cell leukemia virus type 1 (HTLV-1) is a neglected oncogenic retrovirus that disproportionately affects marginalized and isolated populations worldwide. Following several decades of chronic infection, HTLV-1 directly causes an aggressive form of T-cell lymphoma (adult T-cell leukemia/lymphoma, ATLL) and several autoimmune disorders, most notably HTLV-1-associated myelopathy/tropical spastic paraparesis (HAM/TSP).</w:t>
      </w:r>
      <w:r>
        <w:t xml:space="preserve"> </w:t>
      </w:r>
      <w:r>
        <w:t xml:space="preserve">(1)</w:t>
      </w:r>
      <w:r>
        <w:t xml:space="preserve"> </w:t>
      </w:r>
      <w:r>
        <w:t xml:space="preserve">Importantly, even seemingly asymptomatic carriers (ACs) face significantly elevated mortality risk from indirect complications, independent of malignant transformation.</w:t>
      </w:r>
      <w:r>
        <w:t xml:space="preserve"> </w:t>
      </w:r>
      <w:r>
        <w:t xml:space="preserve">(2)</w:t>
      </w:r>
      <w:r>
        <w:t xml:space="preserve"> </w:t>
      </w:r>
      <w:r>
        <w:t xml:space="preserve">(3)</w:t>
      </w:r>
      <w:r>
        <w:t xml:space="preserve"> </w:t>
      </w:r>
      <w:r>
        <w:t xml:space="preserve">While transmission has been successfully controlled in some developed regions, HTLV-1 remains largely neglected across most of the global south, where it continues to cause substantial morbidity and mortality.</w:t>
      </w:r>
      <w:r>
        <w:t xml:space="preserve"> </w:t>
      </w:r>
      <w:r>
        <w:t xml:space="preserve">(4)</w:t>
      </w:r>
      <w:r>
        <w:t xml:space="preserve"> </w:t>
      </w:r>
      <w:r>
        <w:t xml:space="preserve">(5)</w:t>
      </w:r>
      <w:r>
        <w:t xml:space="preserve"> </w:t>
      </w:r>
      <w:r>
        <w:t xml:space="preserve">The burden is particularly pronounced in rural populations with limited genetic admixture and restricted healthcare access.</w:t>
      </w:r>
      <w:r>
        <w:t xml:space="preserve"> </w:t>
      </w:r>
      <w:r>
        <w:t xml:space="preserve">(6)</w:t>
      </w:r>
      <w:r>
        <w:t xml:space="preserve"> </w:t>
      </w:r>
      <w:r>
        <w:t xml:space="preserve">(7)</w:t>
      </w:r>
      <w:r>
        <w:t xml:space="preserve"> </w:t>
      </w:r>
      <w:r>
        <w:t xml:space="preserve">(8)</w:t>
      </w:r>
      <w:r>
        <w:t xml:space="preserve"> </w:t>
      </w:r>
      <w:r>
        <w:t xml:space="preserve">(9)</w:t>
      </w:r>
    </w:p>
    <w:p>
      <w:pPr>
        <w:pStyle w:val="BodyText"/>
      </w:pPr>
      <w:r>
        <w:t xml:space="preserve">Efforts to identify high-risk ACs have focused on three key determinants: viral, host, and environmental factors. Among viral factors, current HTLV-1 classification systems (e.g., Cosmopolitan [a–d], Japanese, West African) are based on the long terminal repeat (LTR) and</w:t>
      </w:r>
      <w:r>
        <w:t xml:space="preserve"> </w:t>
      </w:r>
      <w:r>
        <w:rPr>
          <w:i/>
          <w:iCs/>
        </w:rPr>
        <w:t xml:space="preserve">env</w:t>
      </w:r>
      <w:r>
        <w:t xml:space="preserve"> </w:t>
      </w:r>
      <w:r>
        <w:t xml:space="preserve">gene diversity, which correlates with geographical distribution but lacks clear associations with clinical outcomes. Functional genomic differences remain controversial, though Tax A (Transcontinental) variants demonstrate trends toward increased HAM/TSP incidence, reduced survival among ATLL cases, and diminished cytotoxic T-lymphocyte activity compared to Tax B (Japanese) variants.</w:t>
      </w:r>
      <w:r>
        <w:t xml:space="preserve"> </w:t>
      </w:r>
      <w:r>
        <w:t xml:space="preserve">(10)</w:t>
      </w:r>
      <w:r>
        <w:t xml:space="preserve"> </w:t>
      </w:r>
      <w:r>
        <w:t xml:space="preserve">(11)</w:t>
      </w:r>
      <w:r>
        <w:t xml:space="preserve"> </w:t>
      </w:r>
      <w:r>
        <w:t xml:space="preserve">(12)</w:t>
      </w:r>
      <w:r>
        <w:t xml:space="preserve"> </w:t>
      </w:r>
      <w:r>
        <w:t xml:space="preserve">(13)</w:t>
      </w:r>
      <w:r>
        <w:t xml:space="preserve"> </w:t>
      </w:r>
      <w:r>
        <w:t xml:space="preserve">Clinically, proviral load (PVL) and oligoclonality index (OCI) represent the most widely adopted viral prognostic biomarkers, while emerging evidence suggests that defective proviruses may facilitate immune evasion during ATLL progression.</w:t>
      </w:r>
      <w:r>
        <w:t xml:space="preserve"> </w:t>
      </w:r>
      <w:r>
        <w:t xml:space="preserve">(14)</w:t>
      </w:r>
      <w:r>
        <w:t xml:space="preserve"> </w:t>
      </w:r>
      <w:r>
        <w:t xml:space="preserve">(15)</w:t>
      </w:r>
      <w:r>
        <w:t xml:space="preserve"> </w:t>
      </w:r>
      <w:r>
        <w:t xml:space="preserve">However, these findings have been predominantly validated in Japanese populations, limiting their broader applicability.</w:t>
      </w:r>
    </w:p>
    <w:p>
      <w:pPr>
        <w:pStyle w:val="BodyText"/>
      </w:pPr>
      <w:r>
        <w:t xml:space="preserve">Host genetic factors appear central to determining why only a small proportion (less than 10%) of ACs eventually develop ATLL or HAM/TSP. Early epidemiological observations—including familial clustering and disproportionate disease prevalence in specific ethnic populations—strongly implicate genetic susceptibility factors.</w:t>
      </w:r>
      <w:r>
        <w:t xml:space="preserve"> </w:t>
      </w:r>
      <w:r>
        <w:t xml:space="preserve">(16)</w:t>
      </w:r>
      <w:r>
        <w:t xml:space="preserve"> </w:t>
      </w:r>
      <w:r>
        <w:t xml:space="preserve">(17)</w:t>
      </w:r>
      <w:r>
        <w:t xml:space="preserve"> </w:t>
      </w:r>
      <w:r>
        <w:t xml:space="preserve">(18)</w:t>
      </w:r>
      <w:r>
        <w:t xml:space="preserve"> </w:t>
      </w:r>
      <w:r>
        <w:t xml:space="preserve">Supporting this hypothesis, a recent meta-analysis identified specific human leukocyte antigen (HLA) alleles associated with either protection against HTLV-1 infection or modulation of disease progression.</w:t>
      </w:r>
      <w:r>
        <w:t xml:space="preserve"> </w:t>
      </w:r>
      <w:r>
        <w:t xml:space="preserve">(19)</w:t>
      </w:r>
      <w:r>
        <w:t xml:space="preserve"> </w:t>
      </w:r>
      <w:r>
        <w:t xml:space="preserve">Furthermore, genomic and transcriptomic studies have revealed distinct age- and population-specific differences between Western and Japanese cohorts, highlighting how host-pathogen interactions and genetic background influence HTLV-1-related disease susceptibility and severity.</w:t>
      </w:r>
      <w:r>
        <w:t xml:space="preserve"> </w:t>
      </w:r>
      <w:r>
        <w:t xml:space="preserve">(20)</w:t>
      </w:r>
      <w:r>
        <w:t xml:space="preserve"> </w:t>
      </w:r>
      <w:r>
        <w:t xml:space="preserve">(21)</w:t>
      </w:r>
    </w:p>
    <w:p>
      <w:pPr>
        <w:pStyle w:val="BodyText"/>
      </w:pPr>
      <w:r>
        <w:t xml:space="preserve">Environmental factors, particularly</w:t>
      </w:r>
      <w:r>
        <w:t xml:space="preserve"> </w:t>
      </w:r>
      <w:r>
        <w:rPr>
          <w:i/>
          <w:iCs/>
        </w:rPr>
        <w:t xml:space="preserve">Strongyloides</w:t>
      </w:r>
      <w:r>
        <w:t xml:space="preserve"> </w:t>
      </w:r>
      <w:r>
        <w:t xml:space="preserve">coinfection, have also been linked to ATLL progression, though the underlying mechanisms remain poorly understood. In that sense, South America (SA) exhibits high prevalence rates for both HTLV-1 and</w:t>
      </w:r>
      <w:r>
        <w:t xml:space="preserve"> </w:t>
      </w:r>
      <w:r>
        <w:rPr>
          <w:i/>
          <w:iCs/>
        </w:rPr>
        <w:t xml:space="preserve">Strongyloides</w:t>
      </w:r>
      <w:r>
        <w:t xml:space="preserve"> </w:t>
      </w:r>
      <w:r>
        <w:t xml:space="preserve">infection. Specifically, Peru represents a population of particular scientific interest due to having the highest reported ATLL incidence globally and the largest proportion of Indigenous ancestry in the South American region.</w:t>
      </w:r>
      <w:r>
        <w:t xml:space="preserve"> </w:t>
      </w:r>
      <w:r>
        <w:t xml:space="preserve">(22)</w:t>
      </w:r>
      <w:r>
        <w:t xml:space="preserve"> </w:t>
      </w:r>
      <w:r>
        <w:t xml:space="preserve">(23)</w:t>
      </w:r>
      <w:r>
        <w:t xml:space="preserve"> </w:t>
      </w:r>
      <w:r>
        <w:t xml:space="preserve">Despite this epidemiological significance, comprehensive genomic studies of HTLV-1-infected individuals in Peru remain limited. In this study, we aimed to characterize the virological, immunological, and host genetic landscape of HTLV-1 infection using an integrated high-throughput genomic approach in a well-characterized Peruvian cohort, with the goal of identifying high-risk features and advancing our understanding of HTLV-1 pathogenesis in underrepresented populations.</w:t>
      </w:r>
    </w:p>
    <w:bookmarkEnd w:id="21"/>
    <w:bookmarkStart w:id="28" w:name="methods"/>
    <w:p>
      <w:pPr>
        <w:pStyle w:val="Heading2"/>
      </w:pPr>
      <w:r>
        <w:t xml:space="preserve">Methods</w:t>
      </w:r>
    </w:p>
    <w:bookmarkStart w:id="22" w:name="X41233f43ce4dba71a1cf7ab27a9c15bd65297fc"/>
    <w:p>
      <w:pPr>
        <w:pStyle w:val="Heading3"/>
      </w:pPr>
      <w:r>
        <w:t xml:space="preserve">Population study and HTLV-1 confirmation and PVL</w:t>
      </w:r>
    </w:p>
    <w:p>
      <w:pPr>
        <w:pStyle w:val="FirstParagraph"/>
      </w:pPr>
      <w:r>
        <w:t xml:space="preserve">After obtaining informed consent, blood samples were collected from participants in the prospective HTLV-1 cohort at the Instituto de Medicina Tropical Alexander von Humboldt (Universidad Peruana Cayetano Heredia, Lima, Peru) between 2017-2018. The study was approved by the ethics committees of Universidad Peruana Cayetano Heredia, Miyazaki University, and Kagoshima University. All participants had previously been screened for HTLV-1 and confirmed positive by enzyme-linked immunosorbent assay (ELISA), Western-blot, and PCR-based testing at Universidad Peruana Cayetano Heredia. DNA was extracted from peripheral blood mononuclear cells (PBMCs) using the Ficoll gradient technique (QIAamp DNA Blood Mini Kit). DNA concentration and purity were assessed using NanoDrop spectrophotometry, with samples meeting A260/A280 ratios of &gt;1.8 considered suitable for sequencing.</w:t>
      </w:r>
    </w:p>
    <w:p>
      <w:pPr>
        <w:pStyle w:val="BodyText"/>
      </w:pPr>
      <w:r>
        <w:t xml:space="preserve">HTLV-1 PVL was quantified using real-time quantitative PCR (qPCR) targeting the</w:t>
      </w:r>
      <w:r>
        <w:t xml:space="preserve"> </w:t>
      </w:r>
      <w:r>
        <w:rPr>
          <w:i/>
          <w:iCs/>
        </w:rPr>
        <w:t xml:space="preserve">p30</w:t>
      </w:r>
      <w:r>
        <w:t xml:space="preserve"> </w:t>
      </w:r>
      <w:r>
        <w:t xml:space="preserve">gene and</w:t>
      </w:r>
      <w:r>
        <w:t xml:space="preserve"> </w:t>
      </w:r>
      <w:r>
        <w:rPr>
          <w:i/>
          <w:iCs/>
        </w:rPr>
        <w:t xml:space="preserve">β-globin</w:t>
      </w:r>
      <w:r>
        <w:t xml:space="preserve"> </w:t>
      </w:r>
      <w:r>
        <w:t xml:space="preserve">as an internal control. The</w:t>
      </w:r>
      <w:r>
        <w:t xml:space="preserve"> </w:t>
      </w:r>
      <w:r>
        <w:rPr>
          <w:i/>
          <w:iCs/>
        </w:rPr>
        <w:t xml:space="preserve">p30</w:t>
      </w:r>
      <w:r>
        <w:t xml:space="preserve"> </w:t>
      </w:r>
      <w:r>
        <w:t xml:space="preserve">primers were: forward 5’-GGGATTACCGGCTCCATGTC-3’ and reverse 5’-TCAAGGCCTCGTCTGTTCTG-3’, amplifying an 80 base-pair product. The</w:t>
      </w:r>
      <w:r>
        <w:t xml:space="preserve"> </w:t>
      </w:r>
      <w:r>
        <w:rPr>
          <w:i/>
          <w:iCs/>
        </w:rPr>
        <w:t xml:space="preserve">β-globin</w:t>
      </w:r>
      <w:r>
        <w:t xml:space="preserve"> </w:t>
      </w:r>
      <w:r>
        <w:t xml:space="preserve">primers were: forward 5’-GCAAGGTGAACGTGGATG-3’ and reverse 5’-TAAGGGTGGGAAAATAGACC-3’. The qPCR reactions were performed using the Applied Biosystems StepOnePlus™ Real-Time PCR System with THUNDERBIRD® SYBR® qPCR Mix (201-T, TOYOBO). The thermal cycling conditions included initial pre-denaturation at 95°C for 60 seconds, followed by 30 cycles of denaturation at 95°C for 15 seconds, annealing at 59°C for 15 seconds, and extension at 72°C for 45 seconds. Each sample was analyzed in triplicate, and standard curves were generated using serial dilutions of high-quality DNA extracted from the MT-2 cell lines. The HTLV-1 proviral load was calculated as:</w:t>
      </w:r>
      <w:r>
        <w:t xml:space="preserve"> </w:t>
      </w:r>
      <w:r>
        <w:rPr>
          <w:b/>
          <w:bCs/>
        </w:rPr>
        <w:t xml:space="preserve">PVL (%) = [(HTLV-1 average copy number) / (β-globin average copy number)] × 2 × 100.</w:t>
      </w:r>
      <w:r>
        <w:t xml:space="preserve"> </w:t>
      </w:r>
      <w:r>
        <w:t xml:space="preserve">Results were expressed as the percentage of HTLV-1 proviral copies per 100 PBMCs. Samples with coefficient of variation &gt;15% between triplicates were repeated. The detection limit was established at 0.01% based on the lowest dilution of positive controls showing consistent amplification.</w:t>
      </w:r>
    </w:p>
    <w:bookmarkEnd w:id="22"/>
    <w:bookmarkStart w:id="23" w:name="X775128af412ab27a94c2570b490fb203ba3902f"/>
    <w:p>
      <w:pPr>
        <w:pStyle w:val="Heading3"/>
      </w:pPr>
      <w:r>
        <w:t xml:space="preserve">Next-Generation Sequencing and Human Targeted Sequencing</w:t>
      </w:r>
    </w:p>
    <w:p>
      <w:pPr>
        <w:pStyle w:val="FirstParagraph"/>
      </w:pPr>
      <w:r>
        <w:t xml:space="preserve">Next-Generation Sequencing (NGS) Library preparation was performed using the SureSelect XT HS Kit (Agilent Technologies) following the manufacturer’s protocol. Target sequencing for 280 human genes and HTLV-1 genome was performed as previously described (panel-based ultra-deep sequencing).</w:t>
      </w:r>
      <w:r>
        <w:t xml:space="preserve"> </w:t>
      </w:r>
      <w:r>
        <w:t xml:space="preserve">(24)</w:t>
      </w:r>
      <w:r>
        <w:t xml:space="preserve"> </w:t>
      </w:r>
      <w:r>
        <w:t xml:space="preserve">Sequencing was conducted on Illumina Hiseq3000 sequencer with 100base-pair paired-end reads. Raw reads were first analyzed for quality and adapter removal using FastQC, Fastp, and multiQC. The sequenced data were aligned to the human reference genome hg38 plus HTLV-1 (J02029.1) as an additional chromosome, using BWA-MEM2 in a customized bash script available in the paper’s repository. Post alignment processing includes marking or removing duplicates with picard the whole good practices recommended pipeline by GATK, including Mutect2, Funcotator. Variant calling was performed using a pool of normals from The filters to consider candidate mutations were: 1) at least 5 consistent paired reads, 2) a variant allele frequency (VAF)&gt;= 0.01, 3) read depth &gt;= 200.</w:t>
      </w:r>
    </w:p>
    <w:bookmarkEnd w:id="23"/>
    <w:bookmarkStart w:id="24" w:name="Xa41955d69ca46d83aba1861d4657b8b91a260f9"/>
    <w:p>
      <w:pPr>
        <w:pStyle w:val="Heading3"/>
      </w:pPr>
      <w:r>
        <w:t xml:space="preserve">HTLV-1 Genome Sequencing and Phylogenetic Analysis</w:t>
      </w:r>
    </w:p>
    <w:p>
      <w:pPr>
        <w:pStyle w:val="FirstParagraph"/>
      </w:pPr>
      <w:r>
        <w:t xml:space="preserve">Consensus HTLV-1 sequences were generated using a standardized bioinformatics pipeline. Raw sequencing reads were quality-filtered and mapped to the HTLV-1 reference genome (J02029.1) using BWA-MEM2. Post-mapping processing was performed using Samtools with stringent quality parameters (minimum base quality 20, frequency threshold 0.8), followed by consensus sequence generation using IVAR. Quality control measures included removal of low-quality sequences, PCR duplicates, and sequences with &lt;60% pairwise identity to the reference genome. Four samples (IRID011, IRID038, IRID040, IRID067) were excluded due to insufficient sequence quality or coverage (&lt;6,000 bp after trimming). A comprehensive reference dataset of curated HTLV-1 complete genomes was retrieved from NCBI GenBank (accessed January 2024), including sequences from global collections representing major geographical regions and subtypes. All sequences were trimmed to remove variable terminal regions (22 nucleotides from 5’LTR and 13 nucleotides from 3’LTR) to ensure consistent alignment boundaries. Multiple sequence alignment (MSA) was performed using MAFFT v7.4 with the L-INS-i algorithm, optimized for sequences with conserved domains and local homology. Alignment quality was assessed through visual inspection and automated gap analysis, with sequences showing &lt;60% pairwise identity excluded from downstream analyses. Optimal evolutionary models were selected using ModelFinder implemented in IQ-TREE, with PartitionFinder used to determine the best-fitting three-partition scheme (LTR + env + whole genome) based on Akaike Information Criterion (AIC) and Bayesian Information Criterion (BIC). Maximum likelihood (ML) phylogenetic reconstruction was performed using RAxML-NG with 5,000 bootstrap replicates to assess node support. Convergence was verified through multiple independent runs and examination of likelihood scores. Cluster analysis and genetic diversity patterns were explored using multiple complementary approaches: ML phylogenetics, Bayesian inference, Discriminant Analysis of Principal Components (DAPC), and k-means clustering. Bayesian phylodynamic and phylogeographic analyses were conducted using BEAST v2.7 to estimate divergence times and ancestral geographic states. For tree visualization and comparison, identical sequences were collapsed to reduce computational burden while maintaining phylogenetic signal.</w:t>
      </w:r>
    </w:p>
    <w:bookmarkEnd w:id="24"/>
    <w:bookmarkStart w:id="25" w:name="recombination-analyses"/>
    <w:p>
      <w:pPr>
        <w:pStyle w:val="Heading3"/>
      </w:pPr>
      <w:r>
        <w:t xml:space="preserve">Recombination analyses</w:t>
      </w:r>
    </w:p>
    <w:p>
      <w:pPr>
        <w:pStyle w:val="FirstParagraph"/>
      </w:pPr>
      <w:r>
        <w:t xml:space="preserve">Recombination events were systematically evaluated using a multi-step approach to ensure robust detection and minimize false positives. Initial screening was performed using the phi-test for overall recombination signal detection, followed by comprehensive exploratory analysis using seven independent algorithms implemented in RDP4.5: RDP, GENECONV, Bootscan, MaxChi, SisCan, 3Seq, and LARD. Each method employs distinct statistical approaches to identify potential recombination breakpoints and assess significance. Potential recombination events were considered significant when detected by at least four independent methods with Bonferroni-corrected p-values ≤ 0.05. This conservative threshold was chosen to minimize false positives while maintaining sensitivity for genuine recombination events. Sequences showing evidence of recombination were subsequently analyzed using the Genetic Algorithm for Recombination Detection (GARD) implemented in HyPhy to confirm breakpoint locations and assess statistical support. Following recombination confirmation, affected sequences were excluded from downstream phylogenetic analyses to prevent artifacts in tree topology and divergence time estimation. The final dataset comprised only sequences without evidence of recombination, ensuring phylogenetic signal integrity for subsequent molecular evolutionary analyses. Quality control measures included visual inspection of recombination plots, assessment of breakpoint confidence intervals, and evaluation of phylogenetic incongruence patterns. All recombination analysis parameters and results are documented in Supplementary Table X, with detailed breakpoint coordinates and supporting statistics provided for transparency and reproducibility.</w:t>
      </w:r>
    </w:p>
    <w:bookmarkEnd w:id="25"/>
    <w:bookmarkStart w:id="26" w:name="integration-site-analysis"/>
    <w:p>
      <w:pPr>
        <w:pStyle w:val="Heading3"/>
      </w:pPr>
      <w:r>
        <w:t xml:space="preserve">Integration Site Analysis</w:t>
      </w:r>
    </w:p>
    <w:bookmarkEnd w:id="26"/>
    <w:bookmarkStart w:id="27" w:name="hla-analysis"/>
    <w:p>
      <w:pPr>
        <w:pStyle w:val="Heading3"/>
      </w:pPr>
      <w:r>
        <w:t xml:space="preserve">HLA Analysis</w:t>
      </w:r>
    </w:p>
    <w:p>
      <w:pPr>
        <w:pStyle w:val="FirstParagraph"/>
      </w:pPr>
      <w:r>
        <w:t xml:space="preserve">Following reads extraction from the chromosome 6, coverage and quality score analyses were performed for all HLA regions. High-resolution HLA typing was carried out using OptiType (2-field resolution for HLA-I) and HLA-LA (3-field resolution for HLA-I/II). Allotypes failing quality thresholds (score &lt;0.8 or average coverage &lt;20) were discarded. Results from both bioinformatics tools were pairwise compared, and considering the low average coverage for HLA-II, only HLA-I was considered to further analysis. The concordances and Cohen’s Kappa between HLA-LA and Optitype were 93%, 85%, and 100% for HLA-A, HLA-B, and HLA-C, respectively. The HLA-LA pipeline was selected for further analyses. Hardy-Weinberg Equilibrium (HWE) was tested for each locus using the exact test implemented on the pegas package with 1000 replicates with a significance threshold of α=0.05. Pairwise F</w:t>
      </w:r>
      <w:r>
        <w:t xml:space="preserve">ST</w:t>
      </w:r>
      <w:r>
        <w:t xml:space="preserve"> </w:t>
      </w:r>
      <w:r>
        <w:t xml:space="preserve">was estimated using Weir &amp; Cockerham’s method with 10,000 bootstrap replicates implemented on the package hierfstat. Significant differentiation was inferred when 95% CIs excluded zero. HLA class I allele frequencies were calculated after reduction to 2-field resolution using the</w:t>
      </w:r>
      <w:r>
        <w:t xml:space="preserve"> </w:t>
      </w:r>
      <w:r>
        <w:rPr>
          <w:i/>
          <w:iCs/>
        </w:rPr>
        <w:t xml:space="preserve">reduceHlaCalls</w:t>
      </w:r>
      <w:r>
        <w:t xml:space="preserve"> </w:t>
      </w:r>
      <w:r>
        <w:t xml:space="preserve">function from the package midasHLA. Frequencies for the Peruvian population were obtained using the function</w:t>
      </w:r>
      <w:r>
        <w:t xml:space="preserve"> </w:t>
      </w:r>
      <w:r>
        <w:rPr>
          <w:i/>
          <w:iCs/>
        </w:rPr>
        <w:t xml:space="preserve">getHlaFrequencies</w:t>
      </w:r>
      <w:r>
        <w:t xml:space="preserve"> </w:t>
      </w:r>
      <w:r>
        <w:t xml:space="preserve">and compared to the USA National Marrow Donor Program (NMDP) populations that were retrieved from Allele Frequency Net Database (http://www.allelefrequencies.net/). The HLA-I associations analyses at allele and aminoacid levels were performed using the dominant inheritance genetic model, Bonferrini correction, and filtering for at least 10% frequency of HLA alleles. The event of interest for association studies was confirmed mortality. The HLA-I associations analyses was explored in Rstudio using the package midasHLA. Evolutionary divergence of the human leucocyte antigen class I (HLA-I) genes was evaluated using the Grantham distance at HLA-A, HLA-B, and HLA-C. Grantham distance takes into account composition, polarity, and volume, and calculated using a Python script.</w:t>
      </w:r>
    </w:p>
    <w:bookmarkEnd w:id="27"/>
    <w:bookmarkEnd w:id="28"/>
    <w:bookmarkStart w:id="115" w:name="results"/>
    <w:p>
      <w:pPr>
        <w:pStyle w:val="Heading1"/>
      </w:pPr>
      <w:r>
        <w:t xml:space="preserve">Results</w:t>
      </w:r>
    </w:p>
    <w:bookmarkStart w:id="29" w:name="Xa21b28e0b34709170b8d23a014abc5b528e1aea"/>
    <w:p>
      <w:pPr>
        <w:pStyle w:val="Heading2"/>
      </w:pPr>
      <w:r>
        <w:t xml:space="preserve">Clinical and epidemiological features of a high-risk HTLV-1 cohort</w:t>
      </w:r>
    </w:p>
    <w:p>
      <w:pPr>
        <w:pStyle w:val="FirstParagraph"/>
      </w:pPr>
      <w:r>
        <w:t xml:space="preserve">A total of 67 patients with confirmed HTLV-1 infection were enrolled in the study, including 10 HAM/TSP patients and 57 ACs. Detailed demographic and epidemiological characteristics are presented in Table 1. The overall lifetime </w:t>
      </w:r>
      <w:r>
        <w:rPr>
          <w:i/>
          <w:iCs/>
        </w:rPr>
        <w:t xml:space="preserve">Strongyloides</w:t>
      </w:r>
      <w:r>
        <w:t xml:space="preserve"> infection (LSI) rate was 56.7%, with a higher prevalence among males. Over the 7-year follow-up, the progression rate to ATL was 5.3% (2 in ACs cases, and 1 in HAM/TSP cases). No association was observed between LSI and ATLL development or mortality. Interestingly, HAM/TSP patients had a lower frequency of LSI compared to ACs. The proviral load (PVL) was higher in the LSI group (20.21%) compared to the non-LSI group (15.24%), but this difference did not reach statistical significance. However, high-risk HTLV-1 infection (PVL &gt; 4%) was observed more frequent in the LSI group than in the non-LSI group (94.7% vs 75.9%, respectively). Generalized linear models, including both beta regression and robust regression, were applied to evaluate predictors of PVL. Neither demographic (age, sex, birthplace) nor LSI were significantly associated with higher PVL in either model (all p &gt; 0.05). Strikingly, the 7-year cumulative mortality risk was 13.4%, (95% CI: 6.3%–24.0%), with additional 12% of patients lost to follow-up during the COVID-19 pandemic. In a multivariable regression model adjusting for age, sex, and Strongyloides status, high proviral load was the only independent factor significantly associated with increased mortality (OR: 1.07; 95% CI: 1.01–1.15; p = 0.033).</w:t>
      </w:r>
    </w:p>
    <w:bookmarkEnd w:id="29"/>
    <w:bookmarkStart w:id="30" w:name="X10cbb3bb4a26969f49f07cb03c8026eee3c24b4"/>
    <w:p>
      <w:pPr>
        <w:pStyle w:val="Heading2"/>
      </w:pPr>
      <w:r>
        <w:t xml:space="preserve">HTLV-1 genomics and phylogenomics features</w:t>
      </w:r>
    </w:p>
    <w:p>
      <w:pPr>
        <w:pStyle w:val="FirstParagraph"/>
      </w:pPr>
      <w:r>
        <w:t xml:space="preserve">A total of 71 DNA samples—corresponding to 67 patients were analyzed (including 4 patients with time serial samples). The median HTLV-1 genome coverage in the Peruvian cohort was 158x (IQR: 23-218); (</w:t>
      </w:r>
      <w:r>
        <w:rPr>
          <w:b/>
          <w:bCs/>
        </w:rPr>
        <w:t xml:space="preserve">Supplementary Figure 1</w:t>
      </w:r>
      <w:r>
        <w:t xml:space="preserve">). After excluding 4 samples with less than 5x coverage for HTLV-1 genome that coincidentally had less or equal than 1% of PVL, 63 cases were included in the final dataset (</w:t>
      </w:r>
      <w:r>
        <w:rPr>
          <w:b/>
          <w:bCs/>
        </w:rPr>
        <w:t xml:space="preserve">Supplementary Figure 2</w:t>
      </w:r>
      <w:r>
        <w:t xml:space="preserve">). Among them, 3 cases (4.8%) harbored type II defective viruses (5’LTR-deleted; </w:t>
      </w:r>
      <w:r>
        <w:rPr>
          <w:b/>
          <w:bCs/>
        </w:rPr>
        <w:t xml:space="preserve">Figure 1A</w:t>
      </w:r>
      <w:r>
        <w:t xml:space="preserve">). Notably, two of these cases developed ATLL and died over time, while the third case died without apparent transformation during the COVID-19 pandemic. No type I defective viruses were detected in this cohort.</w:t>
      </w:r>
    </w:p>
    <w:p>
      <w:pPr>
        <w:pStyle w:val="BodyText"/>
      </w:pPr>
      <w:r>
        <w:t xml:space="preserve">The mean oligoclonality index (OCI) for the entire cohort was 0.21 (95% CI: 0.17–0.26), with five samples showing an OCI greater than 0.5. Strinkingly, all cases with an OCI greater than 0.5 developed ATLL over time. No significant differences in OCI were observed regarding Strongyloides status (p-value = 0.63). The mean OCI was 0.91 (95% CI: 0.903–0.908) for ATLL, 0.14 (95% CI: 0.093–0.182) for HAM/TSP, and 0.19 (95% CI: 0.156–0.225) for ACs (</w:t>
      </w:r>
      <w:r>
        <w:rPr>
          <w:b/>
          <w:bCs/>
        </w:rPr>
        <w:t xml:space="preserve">Figure 1B</w:t>
      </w:r>
      <w:r>
        <w:t xml:space="preserve">). [</w:t>
      </w:r>
      <w:r>
        <w:rPr>
          <w:b/>
          <w:bCs/>
        </w:rPr>
        <w:t xml:space="preserve">*Correlation between PVL and IS abundance, and PVL with OCI,</w:t>
      </w:r>
      <w:r>
        <w:t xml:space="preserve"> </w:t>
      </w:r>
      <w:r>
        <w:rPr>
          <w:b/>
          <w:bCs/>
        </w:rPr>
        <w:t xml:space="preserve">Additional reanalysis is pending</w:t>
      </w:r>
      <w:r>
        <w:t xml:space="preserve">*]</w:t>
      </w:r>
    </w:p>
    <w:p>
      <w:pPr>
        <w:pStyle w:val="BodyText"/>
      </w:pPr>
      <w:r>
        <w:t xml:space="preserve">In the viral genomic analyses, 63 complete HTLV-1 genomes from Peru and 320 curated HTLV-1 genomes retrieved from NCBI were included (112 Brazilian, 1 Chilean, and 207 from other regions). After recombination screening using RDP4, SimPlot, and Bootscan, three sequences showed consistent recombination signals in at least three algorithms (KF797883, KY007245, KY007246, all of Brazilian origin) and were excluded from further phylogenetic analysis. Traditional genomic classification of the 63 Peruvian HTLV-1 isolates revealed that 61 (96.8%) belonged to the Cosmopolitan/Transcontinental (1a) subtype, while 2 (3.2%) were classified as African subtype (previously denominated as Black Peruvian). Both African subtype cases originated from the coastal region of Peru, were of mestizo ethnicity, and one individual presented with HAM/TSP. A well-defined clade within the Transcontinental cluster, referred to as the Andean-Amazonian (AA) subgroup, was consistently confirmed using unsupervised clustering algorithms. The maximum likelihood consensus tree is presented in Figure 2. The majority of South American samples clustered within the Transcontinental (subtype 1a) clade, primarily in the AA subgroup. However, 6 Peruvian cases (9.5%) fell outside the Andean-Amazonian subgroup, clustering instead with samples of worldwide origin, including isolates from Native Americans in Canada, Brazil, and Iran. A minority of Brazilian sequences (3.6%) clustered within the Japanese clade, potentially related to Japanese-descendant cases. One Peruvian sample (IRID034) showed direct phylogenetic relationship to the common Transcontinental ancestor, while two Peruvian isolates (IRID003 and IRID074) clustered separately from the Cosmopolitan subtype, showing closer genetic proximity to African subtypes. Under the prior assumption of African origin (early 1600s) for these two samples outside the Transcontinental clade, the structured coalescent analysis revealed an ancient origin of the South American clade, with a divergence time estimation of 7,409 (95% CI: 5,064-9,020) years before present. Most HTLV-1-related complications were observed in sequences from Transcontinental subtype viruses, with few HAM/TSP cases observed within the Japanese clade among publicly available complete HTLV-1 genomes.</w:t>
      </w:r>
    </w:p>
    <w:bookmarkEnd w:id="30"/>
    <w:bookmarkStart w:id="31" w:name="X965493fd10d0e159533a4e09a1632849c0b0b65"/>
    <w:p>
      <w:pPr>
        <w:pStyle w:val="Heading2"/>
      </w:pPr>
      <w:r>
        <w:t xml:space="preserve">HLA-I diversity in the Peruvian HTLV-1 cohort</w:t>
      </w:r>
    </w:p>
    <w:p>
      <w:pPr>
        <w:pStyle w:val="FirstParagraph"/>
      </w:pPr>
      <w:r>
        <w:t xml:space="preserve">The Peruvian HTLV-1 cohort exhibited a unique HLA-I allele distribution, with A*02:01 being the most frequent allele at the HLA-A locus (45%), followed by A*24:02 (16%) and A*68:01 (7%). The HLA-B locus showed similar frequencies for B*35:01, B*35:05, and B*48:01 (10%, 11%, and 10% respectively). The HLA-C locus was dominated by C*04:01 (27%), followed by C*01:02 (19%) and C*07:02 (14%). Notably, only one case exhibited potential loss of HLA heterogeinity (1.5%, IRID006) and carried a HTLV-1 defective virus (5’-deletion). We performed HLA association analyses for mortality risk using a dominant inheritance model in the Peruvian cohort. The A03 supertype showed a trend toward higher mortality risk (OR: 5.73, 95% CI:1.34-29.96, p-value:0.02), while A02 appeared protective (OR: 0.20, 95% CI: 0.04-0.95, p-value:0.04), though neither reached significance after correction. At allele nucleotide level, no significant associations were detected. At the amino acid level, several positions—mainly in HLA-A and HLA-C—showed signals, but none remained significant after Bonferroni correction. In addition, no associations were observed for HLA-I heterozygosity or HLA-NK ligands. In evolutionary terms, HLA-B locus divergence was associated with mortality risk, but this did not withstand multiple testing correction.</w:t>
      </w:r>
    </w:p>
    <w:p>
      <w:pPr>
        <w:pStyle w:val="BodyText"/>
      </w:pPr>
      <w:r>
        <w:t xml:space="preserve">Comparative analyses with a HTLV-1/ATLL cohort from Miyazaki (Japan) revealed population-specific structure (Fig x and Sup Fig Y). Hardy-Weinberg equilibrium was maintained for HLA-A (p = 0.11) and HLA-C (p = 0.25), while HLA-B showed significant deviation (p = 0.001), possibly reflecting HTLV-1 infection specific distribution. Pairwise F</w:t>
      </w:r>
      <w:r>
        <w:t xml:space="preserve">ST</w:t>
      </w:r>
      <w:r>
        <w:t xml:space="preserve"> </w:t>
      </w:r>
      <w:r>
        <w:t xml:space="preserve">analysis revealed significant genetic differentiation between the Peruvian and Japanese cohorts (mean F</w:t>
      </w:r>
      <w:r>
        <w:t xml:space="preserve">ST</w:t>
      </w:r>
      <w:r>
        <w:t xml:space="preserve"> </w:t>
      </w:r>
      <w:r>
        <w:t xml:space="preserve">= 0.047, 95% CI: 0.021–0.079), confirming distinct HLA allele frequency distributions between these populations.(Complete allele frequencies are detailed in Supplementary Table 1). Finally, we aimed to explore HLA-I evolutionary divergence (HLA-HED) between Miyazaki-Japanese and Peruvian HTLV-1 cohorts. We hypothesized that both populations exhibit differences in terms of diversity for peptide-binding(HLA-HED), which may explain differences in immune response between populations. Notably, the Peruvian cohort showed a reduced mean HLA-HED compared to the Japanese cohort(5.34 vs 6.87, respectively; p=0.0002), specifically this difference was mainly driven by HLA-A allele (Figure X).</w:t>
      </w:r>
    </w:p>
    <w:bookmarkEnd w:id="31"/>
    <w:bookmarkStart w:id="32" w:name="X4e3deb48fb8954e3d16d43c1de6823d36fe8429"/>
    <w:p>
      <w:pPr>
        <w:pStyle w:val="Heading2"/>
      </w:pPr>
      <w:r>
        <w:t xml:space="preserve">Clonal hematopoiesis in high-risk HTLV-1 carriers</w:t>
      </w:r>
    </w:p>
    <w:p>
      <w:pPr>
        <w:pStyle w:val="FirstParagraph"/>
      </w:pPr>
      <w:r>
        <w:t xml:space="preserve">We hypothesized that high-risk HTLV-1 carriers already harbor low-frequency mutations associated with adult T-cell leukemia/lymphoma (ATLL) development. To evaluate these early clonal lymphoid hematopoiesis events in high-risk HTLV-1 carriers, we performed ultra-deep targeted sequencing of 280 genes frequently mutated in hematological malignancies. Silent mutations were highly prevalent across the HTLV-1 cohort.</w:t>
      </w:r>
      <w:r>
        <w:t xml:space="preserve"> </w:t>
      </w:r>
      <w:r>
        <w:rPr>
          <w:i/>
          <w:iCs/>
        </w:rPr>
        <w:t xml:space="preserve">TRAF3</w:t>
      </w:r>
      <w:r>
        <w:t xml:space="preserve"> </w:t>
      </w:r>
      <w:r>
        <w:t xml:space="preserve">showed the highest recurrence rate at 98.5% of cases (median: 6 mutations per sample; IQR: 4-6), followed by</w:t>
      </w:r>
      <w:r>
        <w:t xml:space="preserve"> </w:t>
      </w:r>
      <w:r>
        <w:rPr>
          <w:i/>
          <w:iCs/>
        </w:rPr>
        <w:t xml:space="preserve">DUSP22</w:t>
      </w:r>
      <w:r>
        <w:t xml:space="preserve"> </w:t>
      </w:r>
      <w:r>
        <w:t xml:space="preserve">in 55.2% of cases (median: 3 mutations per sample; IQR: 2-4). The silent variations in</w:t>
      </w:r>
      <w:r>
        <w:t xml:space="preserve"> </w:t>
      </w:r>
      <w:r>
        <w:rPr>
          <w:i/>
          <w:iCs/>
        </w:rPr>
        <w:t xml:space="preserve">TRAF3</w:t>
      </w:r>
      <w:r>
        <w:t xml:space="preserve"> </w:t>
      </w:r>
      <w:r>
        <w:t xml:space="preserve">occurred predominantly in intronic regions (78.3%), with the most frequent variants being rs1274174947 (56% of cases) and rs180709957 (55% of cases). In contrast, silent variations in</w:t>
      </w:r>
      <w:r>
        <w:t xml:space="preserve"> </w:t>
      </w:r>
      <w:r>
        <w:rPr>
          <w:i/>
          <w:iCs/>
        </w:rPr>
        <w:t xml:space="preserve">DUSP22</w:t>
      </w:r>
      <w:r>
        <w:t xml:space="preserve"> </w:t>
      </w:r>
      <w:r>
        <w:t xml:space="preserve">showed a more balanced distribution across variant classifications, with rs55799519 (42% of cases) and rs3800260 (37% of cases) being the most prevalent variants. Analysis of the complete cohort revealed that the most recurrent polymorphisms were predominantly located in non-coding regions of</w:t>
      </w:r>
      <w:r>
        <w:t xml:space="preserve"> </w:t>
      </w:r>
      <w:r>
        <w:rPr>
          <w:i/>
          <w:iCs/>
        </w:rPr>
        <w:t xml:space="preserve">PRSS2</w:t>
      </w:r>
      <w:r>
        <w:t xml:space="preserve">,</w:t>
      </w:r>
      <w:r>
        <w:t xml:space="preserve"> </w:t>
      </w:r>
      <w:r>
        <w:rPr>
          <w:i/>
          <w:iCs/>
        </w:rPr>
        <w:t xml:space="preserve">AKT2</w:t>
      </w:r>
      <w:r>
        <w:t xml:space="preserve">,</w:t>
      </w:r>
      <w:r>
        <w:t xml:space="preserve"> </w:t>
      </w:r>
      <w:r>
        <w:rPr>
          <w:i/>
          <w:iCs/>
        </w:rPr>
        <w:t xml:space="preserve">TRAF3</w:t>
      </w:r>
      <w:r>
        <w:t xml:space="preserve">,</w:t>
      </w:r>
      <w:r>
        <w:t xml:space="preserve"> </w:t>
      </w:r>
      <w:r>
        <w:rPr>
          <w:i/>
          <w:iCs/>
        </w:rPr>
        <w:t xml:space="preserve">CD24</w:t>
      </w:r>
      <w:r>
        <w:t xml:space="preserve">, and</w:t>
      </w:r>
      <w:r>
        <w:t xml:space="preserve"> </w:t>
      </w:r>
      <w:r>
        <w:rPr>
          <w:i/>
          <w:iCs/>
        </w:rPr>
        <w:t xml:space="preserve">DUSP22</w:t>
      </w:r>
      <w:r>
        <w:t xml:space="preserve"> </w:t>
      </w:r>
      <w:r>
        <w:t xml:space="preserve">(Supplementary Table X). These polymorphisms may represent important background genomic variation specific to HTLV-1-infected individuals, potentially influencing disease progression through non-coding regulatory mechanisms that modulate immune responses and viral control.</w:t>
      </w:r>
    </w:p>
    <w:p>
      <w:pPr>
        <w:pStyle w:val="BodyText"/>
      </w:pPr>
      <w:r>
        <w:t xml:space="preserve">After excluding silent mutations (n=4,691), we identified 1,101 non-synonymous mutations across all 67 samples, with a median of 15 mutations per case (IQR: 8-24). The mutation burden showed a significant positive correlation with HTLV-1 proviral load (Spearman r=0.34, p=0.003), suggesting that higher viral burden is associated with increased genomic instability. Missense mutations were the predominant variant type (87%), followed by in-frame deletions (5%) and splice site mutations (4%). The most frequently mutated genes were</w:t>
      </w:r>
      <w:r>
        <w:t xml:space="preserve"> </w:t>
      </w:r>
      <w:r>
        <w:rPr>
          <w:i/>
          <w:iCs/>
        </w:rPr>
        <w:t xml:space="preserve">KMT2D</w:t>
      </w:r>
      <w:r>
        <w:t xml:space="preserve"> </w:t>
      </w:r>
      <w:r>
        <w:t xml:space="preserve">(55%),</w:t>
      </w:r>
      <w:r>
        <w:t xml:space="preserve"> </w:t>
      </w:r>
      <w:r>
        <w:rPr>
          <w:i/>
          <w:iCs/>
        </w:rPr>
        <w:t xml:space="preserve">ACAN</w:t>
      </w:r>
      <w:r>
        <w:t xml:space="preserve"> </w:t>
      </w:r>
      <w:r>
        <w:t xml:space="preserve">(54%),</w:t>
      </w:r>
      <w:r>
        <w:t xml:space="preserve"> </w:t>
      </w:r>
      <w:r>
        <w:rPr>
          <w:i/>
          <w:iCs/>
        </w:rPr>
        <w:t xml:space="preserve">NOTCH1</w:t>
      </w:r>
      <w:r>
        <w:t xml:space="preserve"> </w:t>
      </w:r>
      <w:r>
        <w:t xml:space="preserve">(49%),</w:t>
      </w:r>
      <w:r>
        <w:t xml:space="preserve"> </w:t>
      </w:r>
      <w:r>
        <w:rPr>
          <w:i/>
          <w:iCs/>
        </w:rPr>
        <w:t xml:space="preserve">FAT1</w:t>
      </w:r>
      <w:r>
        <w:t xml:space="preserve"> </w:t>
      </w:r>
      <w:r>
        <w:t xml:space="preserve">(34%),</w:t>
      </w:r>
      <w:r>
        <w:t xml:space="preserve"> </w:t>
      </w:r>
      <w:r>
        <w:rPr>
          <w:i/>
          <w:iCs/>
        </w:rPr>
        <w:t xml:space="preserve">DNMT3A</w:t>
      </w:r>
      <w:r>
        <w:t xml:space="preserve"> </w:t>
      </w:r>
      <w:r>
        <w:t xml:space="preserve">(30%),</w:t>
      </w:r>
      <w:r>
        <w:t xml:space="preserve"> </w:t>
      </w:r>
      <w:r>
        <w:rPr>
          <w:i/>
          <w:iCs/>
        </w:rPr>
        <w:t xml:space="preserve">ARID1B</w:t>
      </w:r>
      <w:r>
        <w:t xml:space="preserve"> </w:t>
      </w:r>
      <w:r>
        <w:t xml:space="preserve">(31%),</w:t>
      </w:r>
      <w:r>
        <w:t xml:space="preserve"> </w:t>
      </w:r>
      <w:r>
        <w:rPr>
          <w:i/>
          <w:iCs/>
        </w:rPr>
        <w:t xml:space="preserve">CREBBP</w:t>
      </w:r>
      <w:r>
        <w:t xml:space="preserve"> </w:t>
      </w:r>
      <w:r>
        <w:t xml:space="preserve">(28%), and</w:t>
      </w:r>
      <w:r>
        <w:t xml:space="preserve"> </w:t>
      </w:r>
      <w:r>
        <w:rPr>
          <w:i/>
          <w:iCs/>
        </w:rPr>
        <w:t xml:space="preserve">TP53</w:t>
      </w:r>
      <w:r>
        <w:t xml:space="preserve"> </w:t>
      </w:r>
      <w:r>
        <w:t xml:space="preserve">(27%). In addition, significant pathways identified in the cohort were NOTCH (67%) and RTK-RAS (60%) pathways, while signifcantly mutated gene-based pathways involved histones modifiers(66%), as well as NOTCH (49%) and RTK(42%) signaling.</w:t>
      </w:r>
    </w:p>
    <w:p>
      <w:pPr>
        <w:pStyle w:val="BodyText"/>
      </w:pPr>
      <w:r>
        <w:t xml:space="preserve">Direct comparison of———- serial samples</w:t>
      </w:r>
    </w:p>
    <w:p>
      <w:pPr>
        <w:pStyle w:val="BodyText"/>
      </w:pPr>
      <w:r>
        <w:t xml:space="preserve">These findings provide evidence for early clonal hematopoiesis in high-risk HTLV-1 carriers, characterized by both silent polymorphisms in immune regulatory genes and functionally relevant mutations in cancer-associated genes, potentially contributing to initial events of the complex pathogenesis of HTLV-1-progression</w:t>
      </w:r>
    </w:p>
    <w:bookmarkEnd w:id="32"/>
    <w:bookmarkStart w:id="114" w:name="discussion"/>
    <w:p>
      <w:pPr>
        <w:pStyle w:val="Heading2"/>
      </w:pPr>
      <w:r>
        <w:t xml:space="preserve">Discussion</w:t>
      </w:r>
    </w:p>
    <w:p>
      <w:pPr>
        <w:pStyle w:val="FirstParagraph"/>
      </w:pPr>
      <w:r>
        <w:t xml:space="preserve">In the present study, we report the first comprehensive integrated analysis of viral and host genomics in HTLV-1 infection across the South American region. Using ultra-deep sequencing and high-resolution HLA typing, we evaluated a prospective Peruvian hospital-based cohort characterized by high-risk infection (median PVL 19%) and elevated mortality rate (13.4%), providing novel insights into the complex interplay between viral evolution, host genetics, and disease progression in an underrepresented population with the highest reported ATLL incidence globally.</w:t>
      </w:r>
      <w:r>
        <w:t xml:space="preserve"> </w:t>
      </w:r>
      <w:r>
        <w:t xml:space="preserve">(25)</w:t>
      </w:r>
    </w:p>
    <w:p>
      <w:pPr>
        <w:pStyle w:val="BodyText"/>
      </w:pPr>
      <w:r>
        <w:t xml:space="preserve">The median PVL in this cohort was substantially higher than previously reported studies in other populations, including Australian Indigenous(&lt;1%),</w:t>
      </w:r>
      <w:r>
        <w:t xml:space="preserve"> </w:t>
      </w:r>
      <w:r>
        <w:t xml:space="preserve">(26)</w:t>
      </w:r>
      <w:r>
        <w:t xml:space="preserve"> </w:t>
      </w:r>
      <w:r>
        <w:t xml:space="preserve">Japanese (1.4%),</w:t>
      </w:r>
      <w:r>
        <w:t xml:space="preserve"> </w:t>
      </w:r>
      <w:r>
        <w:t xml:space="preserve">(27)</w:t>
      </w:r>
      <w:r>
        <w:t xml:space="preserve"> </w:t>
      </w:r>
      <w:r>
        <w:t xml:space="preserve">Brazilian (&lt;1% AC, ~20% HAM/TSP),</w:t>
      </w:r>
      <w:r>
        <w:t xml:space="preserve"> </w:t>
      </w:r>
      <w:r>
        <w:t xml:space="preserve">(28)</w:t>
      </w:r>
      <w:r>
        <w:t xml:space="preserve"> </w:t>
      </w:r>
      <w:r>
        <w:t xml:space="preserve">and Iranian cohorts (&lt;4%)</w:t>
      </w:r>
      <w:r>
        <w:t xml:space="preserve"> </w:t>
      </w:r>
      <w:r>
        <w:t xml:space="preserve">(29)</w:t>
      </w:r>
      <w:r>
        <w:t xml:space="preserve">, although similar to those found by another Peruvian group (11% AC, 26% HAM/TSP).</w:t>
      </w:r>
      <w:r>
        <w:t xml:space="preserve"> </w:t>
      </w:r>
      <w:r>
        <w:t xml:space="preserve">(30)</w:t>
      </w:r>
      <w:r>
        <w:t xml:space="preserve"> </w:t>
      </w:r>
      <w:r>
        <w:t xml:space="preserve">While the underlying basis for this elevated PVL remains uncertain, several factors may contribute to this observation. First, the centralized hospital-based recruitment strategy likely introduced ascertainment bias toward more symptomatic cases,</w:t>
      </w:r>
      <w:r>
        <w:t xml:space="preserve"> </w:t>
      </w:r>
      <w:r>
        <w:t xml:space="preserve">(31)</w:t>
      </w:r>
      <w:r>
        <w:t xml:space="preserve"> </w:t>
      </w:r>
      <w:r>
        <w:t xml:space="preserve">representing the</w:t>
      </w:r>
      <w:r>
        <w:t xml:space="preserve"> </w:t>
      </w:r>
      <w:r>
        <w:t xml:space="preserve">“</w:t>
      </w:r>
      <w:r>
        <w:t xml:space="preserve">tip of the iceberg</w:t>
      </w:r>
      <w:r>
        <w:t xml:space="preserve">”</w:t>
      </w:r>
      <w:r>
        <w:t xml:space="preserve"> </w:t>
      </w:r>
      <w:r>
        <w:t xml:space="preserve">of HTLV-1 infection burden in Peru. Second, population-specific genetic factors, including the reduced HLA evolutionary divergence observed in our cohort, may compromise viral control mechanisms compared to other populations. Speciifically, the role of HLA functional diversity has been previously demonstrated in human immunodeficiency virus (HIV) infection, where greater functional divergence of HLA-A and HLA-B allotypes were associated with slower HIV progression by increasing peptide-binding repertoire diversity.</w:t>
      </w:r>
      <w:r>
        <w:t xml:space="preserve"> </w:t>
      </w:r>
      <w:r>
        <w:t xml:space="preserve">(32)</w:t>
      </w:r>
      <w:r>
        <w:t xml:space="preserve"> </w:t>
      </w:r>
      <w:r>
        <w:t xml:space="preserve">Similar mechanisms may operate in HTLV-1 infection. For instance, the HLA-I landscape in our Peruvian cohort differed markedly from previously studied populations, with unique allele frequencies and significantly reduced evolutionary divergence compared to an independent Japanese cohort from Miyazaki (HLA-HED: 5.34 vs 6.87, p = 0.0002).</w:t>
      </w:r>
      <w:r>
        <w:t xml:space="preserve"> </w:t>
      </w:r>
      <w:r>
        <w:t xml:space="preserve">(33)</w:t>
      </w:r>
      <w:r>
        <w:t xml:space="preserve"> </w:t>
      </w:r>
      <w:r>
        <w:t xml:space="preserve">Additionally, most previously described individual HLA-specific effects could not be replicated in this cohort,</w:t>
      </w:r>
      <w:r>
        <w:t xml:space="preserve"> </w:t>
      </w:r>
      <w:r>
        <w:t xml:space="preserve">(19)</w:t>
      </w:r>
      <w:r>
        <w:t xml:space="preserve"> </w:t>
      </w:r>
      <w:r>
        <w:t xml:space="preserve">highlighting the critical need for population-specific HLA evaluations across diverse geographic and ethnic groups.</w:t>
      </w:r>
    </w:p>
    <w:p>
      <w:pPr>
        <w:pStyle w:val="BodyText"/>
      </w:pPr>
      <w:r>
        <w:t xml:space="preserve">Importantly, we observed a strong correlation between low PVL and poor NGS coverage, suggesting that standard sequencing approaches may not be optimal for low-risk cases with minimal viral replication. High PVL was significantly associated with increased mortality risk (OR: 1.07; 95% CI: 1.01–1.15; p = 0.033), independent of ATLL development. This mortality association aligns with recent meta-analytical evidence,</w:t>
      </w:r>
      <w:r>
        <w:t xml:space="preserve"> </w:t>
      </w:r>
      <w:r>
        <w:t xml:space="preserve">(2)</w:t>
      </w:r>
      <w:r>
        <w:t xml:space="preserve"> </w:t>
      </w:r>
      <w:r>
        <w:t xml:space="preserve">and suggest that elevated PVL represents a broader marker of immunological dysfunction and systemic inflammation rather than solely reflecting malignant transformation risk.</w:t>
      </w:r>
      <w:r>
        <w:t xml:space="preserve"> </w:t>
      </w:r>
      <w:r>
        <w:t xml:space="preserve">(15)</w:t>
      </w:r>
      <w:r>
        <w:t xml:space="preserve"> </w:t>
      </w:r>
      <w:r>
        <w:t xml:space="preserve">In addition, the use of a standardized percentage-based reporting system (with &gt;4% indicating high-risk infection) offers several advantages: 1) enhances clinical interpretability and health literacy among patients and providers, 2) facilitates meaningful comparisons across diverse populations and healthcare systems, and 3) provides a more intuitive framework for risk communication compared to traditional copy-number-based metrics.</w:t>
      </w:r>
      <w:r>
        <w:t xml:space="preserve"> </w:t>
      </w:r>
      <w:r>
        <w:t xml:space="preserve">(34)</w:t>
      </w:r>
    </w:p>
    <w:p>
      <w:pPr>
        <w:pStyle w:val="BodyText"/>
      </w:pPr>
      <w:r>
        <w:t xml:space="preserve">Contrary to previous hypotheses suggesting</w:t>
      </w:r>
      <w:r>
        <w:t xml:space="preserve"> </w:t>
      </w:r>
      <w:r>
        <w:rPr>
          <w:i/>
          <w:iCs/>
        </w:rPr>
        <w:t xml:space="preserve">Strongyloides</w:t>
      </w:r>
      <w:r>
        <w:t xml:space="preserve"> </w:t>
      </w:r>
      <w:r>
        <w:t xml:space="preserve">infection as an ATLL prognostic factor,</w:t>
      </w:r>
      <w:r>
        <w:t xml:space="preserve"> </w:t>
      </w:r>
      <w:r>
        <w:t xml:space="preserve">(35)</w:t>
      </w:r>
      <w:r>
        <w:t xml:space="preserve"> </w:t>
      </w:r>
      <w:r>
        <w:t xml:space="preserve">we could not confirm this association in our cohort. Our findings suggest that</w:t>
      </w:r>
      <w:r>
        <w:t xml:space="preserve"> </w:t>
      </w:r>
      <w:r>
        <w:rPr>
          <w:i/>
          <w:iCs/>
        </w:rPr>
        <w:t xml:space="preserve">Strongyloides</w:t>
      </w:r>
      <w:r>
        <w:t xml:space="preserve"> </w:t>
      </w:r>
      <w:r>
        <w:t xml:space="preserve">coinfection may represent a proxy marker or consequence of severe immunosuppression rather than directly fueling progression to ATLL. This interpretation is also supported by epidemiological data where</w:t>
      </w:r>
      <w:r>
        <w:t xml:space="preserve"> </w:t>
      </w:r>
      <w:r>
        <w:rPr>
          <w:i/>
          <w:iCs/>
        </w:rPr>
        <w:t xml:space="preserve">Strongyloides</w:t>
      </w:r>
      <w:r>
        <w:t xml:space="preserve"> </w:t>
      </w:r>
      <w:r>
        <w:t xml:space="preserve">prevalence was associated with elevated proviral loads.</w:t>
      </w:r>
      <w:r>
        <w:t xml:space="preserve"> </w:t>
      </w:r>
      <w:r>
        <w:t xml:space="preserve">(36)</w:t>
      </w:r>
      <w:r>
        <w:t xml:space="preserve"> </w:t>
      </w:r>
      <w:r>
        <w:t xml:space="preserve">Interestingly, HAM/TSP patients in our cohort exhibited lower rates of LSI compared to ACs, which may reflect distinct immunological profiles between these clinical states. In addition, the discovery of type II defective viruses, all associated with poor clinical outcomes, supports emerging evidence that defective proviruses may contribute to immune evasion and disease progression; however, their frequency was lower compared to a Japanese cohort (4.8% vs 18.8%), and other defective subtypes were absent in this cohort.</w:t>
      </w:r>
      <w:r>
        <w:t xml:space="preserve"> </w:t>
      </w:r>
      <w:r>
        <w:t xml:space="preserve">(14)</w:t>
      </w:r>
    </w:p>
    <w:p>
      <w:pPr>
        <w:pStyle w:val="BodyText"/>
      </w:pPr>
      <w:r>
        <w:t xml:space="preserve">Our phylogenomic analysis revealed the predominance of the Transcontinental (1a) subtype, with most isolates clustering within the newly proposed Andean-Amazonian subgroup. This finding provides the molecular evidence for population-specific viral evolution in South America, with an estimated divergence time of 7,409 years before present. While the origin and introduction of HTLV-1 remains as a more philosophically controversial question,</w:t>
      </w:r>
      <w:r>
        <w:t xml:space="preserve"> </w:t>
      </w:r>
      <w:r>
        <w:t xml:space="preserve">(37)</w:t>
      </w:r>
      <w:r>
        <w:t xml:space="preserve"> </w:t>
      </w:r>
      <w:r>
        <w:t xml:space="preserve">(38)</w:t>
      </w:r>
      <w:r>
        <w:t xml:space="preserve"> </w:t>
      </w:r>
      <w:r>
        <w:t xml:space="preserve">(39)</w:t>
      </w:r>
      <w:r>
        <w:t xml:space="preserve"> </w:t>
      </w:r>
      <w:r>
        <w:t xml:space="preserve">adequate priors based on ancient samples as well as more complete whole-genome sequenced isolates are required to increase credibility of Bayesian approaches. However, at least four distinct waves of HTLV-1 introduction into Peru can be described by phylogenomic analyses, highlighting the complex evolutionary history of the virus in this region.</w:t>
      </w:r>
    </w:p>
    <w:p>
      <w:pPr>
        <w:pStyle w:val="BodyText"/>
      </w:pPr>
      <w:r>
        <w:t xml:space="preserve">Our mutation analysis provides the first evidence of early clonal hematopoiesis in high-risk HTLV-1 carriers, characterized by recurrent mutations in cancer-associated genes including</w:t>
      </w:r>
      <w:r>
        <w:t xml:space="preserve"> </w:t>
      </w:r>
      <w:r>
        <w:rPr>
          <w:i/>
          <w:iCs/>
        </w:rPr>
        <w:t xml:space="preserve">KMT2D</w:t>
      </w:r>
      <w:r>
        <w:t xml:space="preserve"> </w:t>
      </w:r>
      <w:r>
        <w:t xml:space="preserve">(55%),</w:t>
      </w:r>
      <w:r>
        <w:t xml:space="preserve"> </w:t>
      </w:r>
      <w:r>
        <w:rPr>
          <w:i/>
          <w:iCs/>
        </w:rPr>
        <w:t xml:space="preserve">NOTCH1</w:t>
      </w:r>
      <w:r>
        <w:t xml:space="preserve"> </w:t>
      </w:r>
      <w:r>
        <w:t xml:space="preserve">(49%), and</w:t>
      </w:r>
      <w:r>
        <w:t xml:space="preserve"> </w:t>
      </w:r>
      <w:r>
        <w:rPr>
          <w:i/>
          <w:iCs/>
        </w:rPr>
        <w:t xml:space="preserve">TP53</w:t>
      </w:r>
      <w:r>
        <w:t xml:space="preserve"> </w:t>
      </w:r>
      <w:r>
        <w:t xml:space="preserve">(27%). The positive correlation between mutation burden and proviral load (Spearman r = 0.34, p = 0.003) suggests that viral replication directly contributes to genomic instability. The high frequency of</w:t>
      </w:r>
      <w:r>
        <w:t xml:space="preserve"> </w:t>
      </w:r>
      <w:r>
        <w:rPr>
          <w:i/>
          <w:iCs/>
        </w:rPr>
        <w:t xml:space="preserve">NOTCH</w:t>
      </w:r>
      <w:r>
        <w:t xml:space="preserve"> </w:t>
      </w:r>
      <w:r>
        <w:t xml:space="preserve">(67%) and RTK-RAS (60%) pathway alterations indicates early dysregulation of key oncogenic pathways, potentially priming infected cells for malignant transformation.</w:t>
      </w:r>
    </w:p>
    <w:p>
      <w:pPr>
        <w:pStyle w:val="BodyText"/>
      </w:pPr>
      <w:r>
        <w:t xml:space="preserve">Clonal positive evolution where most advantaged clones survive and expand upon an increased rate of point mutations related to high burden of infection</w:t>
      </w:r>
    </w:p>
    <w:p>
      <w:pPr>
        <w:pStyle w:val="BodyText"/>
      </w:pPr>
      <w:r>
        <w:t xml:space="preserve">The prevalence of silent mutations in immune regulatory genes, particularly</w:t>
      </w:r>
      <w:r>
        <w:t xml:space="preserve"> </w:t>
      </w:r>
      <w:r>
        <w:rPr>
          <w:i/>
          <w:iCs/>
        </w:rPr>
        <w:t xml:space="preserve">TRAF3</w:t>
      </w:r>
      <w:r>
        <w:t xml:space="preserve"> </w:t>
      </w:r>
      <w:r>
        <w:t xml:space="preserve">(98.5% of cases) and</w:t>
      </w:r>
      <w:r>
        <w:t xml:space="preserve"> </w:t>
      </w:r>
      <w:r>
        <w:rPr>
          <w:i/>
          <w:iCs/>
        </w:rPr>
        <w:t xml:space="preserve">DUSP22</w:t>
      </w:r>
      <w:r>
        <w:t xml:space="preserve"> </w:t>
      </w:r>
      <w:r>
        <w:t xml:space="preserve">(55.2% of cases), represents an unexpected finding with potential mechanistic implications. These polymorphisms may modulate immune responses and viral control through non-coding regulatory mechanisms, contributing to the variable clinical outcomes observed in HTLV-1 infection.</w:t>
      </w:r>
    </w:p>
    <w:p>
      <w:pPr>
        <w:pStyle w:val="BodyText"/>
      </w:pPr>
      <w:r>
        <w:t xml:space="preserve">Our mutational analysis identified pathogenic variants in 108 genes, with a high burden of mutations observed in several key driver genes. However, the main limitation of this study was the</w:t>
      </w:r>
    </w:p>
    <w:p>
      <w:pPr>
        <w:pStyle w:val="BodyText"/>
      </w:pPr>
      <w:r>
        <w:rPr>
          <w:b/>
          <w:bCs/>
        </w:rPr>
        <w:t xml:space="preserve">Study limitations</w:t>
      </w:r>
      <w:r>
        <w:t xml:space="preserve"> </w:t>
      </w:r>
      <w:r>
        <w:t xml:space="preserve">include several methodological considerations that may influence interpretation of our findings. The hospital-based recruitment strategy may introduce selection bias toward more severe cases, potentially overestimating disease severity markers compared to population-based studies. The relatively small sample size limits statistical power for estimating time-to-event clinical outcomes and detecting rare genetic associations. Additionally, since most patients were recruited with high proviral load values, the rate of disease progression may be underestimated due to enrichment for already advanced cases. The lack of functional validation for identified mutations and HLA associations limits mechanistic interpretation of our findings, requiring future experimental studies to establish causality. Sequencing was performed on unsorted whole peripheral blood mononuclear cells rather than purified cell populations, which may obscure cell-type-specific mutational patterns and clonal dynamics. Finally, the limited longitudinal follow-up and absence of serial genomic assessments restricted our ability to fully characterize the temporal dynamics of clonal evolution and disease progression, preventing assessment of mutation acquisition patterns over time.</w:t>
      </w:r>
    </w:p>
    <w:p>
      <w:pPr>
        <w:pStyle w:val="BodyText"/>
      </w:pPr>
      <w:r>
        <w:t xml:space="preserve">In conclusion, this comprehensive genomic characterization reveals population-specific features of HTLV-1 infection in Peru, including unique viral phylogeny, reduced HLA diversity, and evidence of early clonal evolution. These findings provide a foundation for developing population-tailored approaches to risk-based HTLV-1 management and highlight the critical need for expanded genomic surveillance for high-risk carriers in underrepresented populations bearing disproportionate infection burden. These findings emphasize the urgent need for investment in biobanking resources, the establishment of prospective cohorts, and the development of coordinated research strategies in Peru. Such efforts will be critical to advancing our understanding of HTLV-1 pathogenesis and improving outcomes for affected populations, as well as creating local capabilities through promoting local research and awareness among vulnerable communities.</w:t>
      </w:r>
    </w:p>
    <w:p>
      <w:pPr>
        <w:pStyle w:val="BodyText"/>
      </w:pPr>
      <w:r>
        <w:t xml:space="preserve">Suplementary Figure 1: NGS average coverage of HLA locus from the Peruvian HTLV-1 cohort and the Miyazaki-Japan HTLV-1 cohort.</w:t>
      </w:r>
    </w:p>
    <w:p>
      <w:pPr>
        <w:pStyle w:val="BodyText"/>
      </w:pPr>
      <w:r>
        <w:t xml:space="preserve">Figure 1: Haplotype frequency for HLA-I alleles greater than 5% in the Peruvian HTLV-1 cohort compared to a) relevant populations from the NMDP database and b) the Miyazaki-Japan HTLV-1 cohort.</w:t>
      </w:r>
    </w:p>
    <w:p>
      <w:pPr>
        <w:pStyle w:val="BodyText"/>
      </w:pPr>
      <w:r>
        <w:t xml:space="preserve">For ML inference, identical sequences were spared (duplicated sequences), n=4 IRID026 was eliminated IRID025_S236,</w:t>
      </w:r>
    </w:p>
    <w:p>
      <w:pPr>
        <w:pStyle w:val="BodyText"/>
      </w:pPr>
      <w:r>
        <w:t xml:space="preserve">iqtree2 -s 0923gp46all_2020liao.fa -m TN+F+I+R3 -B 10000 -alrt 10000 –polytomy -blmin 3.3e-7 -T 5 -mem 20G –prefix iqtree1002_</w:t>
      </w:r>
    </w:p>
    <w:p>
      <w:pPr>
        <w:pStyle w:val="BodyText"/>
      </w:pPr>
      <w:r>
        <w:t xml:space="preserve">were excluded for being too gapy M86840.1 NC_001436.1 KU</w:t>
      </w:r>
    </w:p>
    <w:p>
      <w:pPr>
        <w:pStyle w:val="BodyText"/>
      </w:pPr>
      <w:r>
        <w:t xml:space="preserve">#using aliview i checked Duplicates LC209998.1 (remains LC210057.1) LC210056.1 LC210015.1</w:t>
      </w:r>
    </w:p>
    <w:p>
      <w:pPr>
        <w:pStyle w:val="BodyText"/>
      </w:pPr>
      <w:r>
        <w:t xml:space="preserve">—IRID038, IRID011, IRID040, IRID032, IRID006, IRID016, IRID086, and IRID067—were excluded.</w:t>
      </w:r>
    </w:p>
    <w:bookmarkStart w:id="113" w:name="data-availability-and-reproducibility"/>
    <w:p>
      <w:pPr>
        <w:pStyle w:val="Heading3"/>
      </w:pPr>
      <w:r>
        <w:t xml:space="preserve">Data Availability and Reproducibility</w:t>
      </w:r>
    </w:p>
    <w:p>
      <w:pPr>
        <w:pStyle w:val="FirstParagraph"/>
      </w:pPr>
      <w:r>
        <w:t xml:space="preserve">Raw sequencing data and consensus sequences are available under BioProject [PRJNA######] in NCBI SRA (Accession numbers: [SRR######-SRR######]). All bioinformatics pipelines, custom scripts, and analytical workflows are publicly available in the project GitHub repository:</w:t>
      </w:r>
      <w:r>
        <w:t xml:space="preserve"> </w:t>
      </w:r>
      <w:hyperlink r:id="rId33">
        <w:r>
          <w:rPr>
            <w:rStyle w:val="Hyperlink"/>
          </w:rPr>
          <w:t xml:space="preserve">https://github.com/deve105/htlv_paper_2025.</w:t>
        </w:r>
      </w:hyperlink>
      <w:r>
        <w:t xml:space="preserve"> </w:t>
      </w:r>
      <w:r>
        <w:t xml:space="preserve">Detailed parameter files, configuration settings, and intermediate results are provided to ensure full reproducibility of analyses.</w:t>
      </w:r>
    </w:p>
    <w:bookmarkStart w:id="112" w:name="refs"/>
    <w:bookmarkStart w:id="35" w:name="ref-bangham2023"/>
    <w:p>
      <w:pPr>
        <w:pStyle w:val="Bibliography"/>
      </w:pPr>
      <w:r>
        <w:t xml:space="preserve">1.</w:t>
      </w:r>
      <w:r>
        <w:t xml:space="preserve"> </w:t>
      </w:r>
      <w:r>
        <w:t xml:space="preserve">	</w:t>
      </w:r>
      <w:r>
        <w:t xml:space="preserve">Bangham CRM. HTLV-1 persistence and the oncogenesis of adult T cell leukemia/lymphoma. Blood [Internet]. 2023 Feb 17;blood.2022019332. Available from:</w:t>
      </w:r>
      <w:r>
        <w:t xml:space="preserve"> </w:t>
      </w:r>
      <w:hyperlink r:id="rId34">
        <w:r>
          <w:rPr>
            <w:rStyle w:val="Hyperlink"/>
          </w:rPr>
          <w:t xml:space="preserve">https://ashpublications.org/blood/article/doi/10.1182/blood.2022019332/494602/HTLV-1-persistence-and-the-oncogenesis-of-adult-T</w:t>
        </w:r>
      </w:hyperlink>
    </w:p>
    <w:bookmarkEnd w:id="35"/>
    <w:bookmarkStart w:id="37" w:name="ref-schierhout2020"/>
    <w:p>
      <w:pPr>
        <w:pStyle w:val="Bibliography"/>
      </w:pPr>
      <w:r>
        <w:t xml:space="preserve">2.</w:t>
      </w:r>
      <w:r>
        <w:t xml:space="preserve"> </w:t>
      </w:r>
      <w:r>
        <w:t xml:space="preserve">	</w:t>
      </w:r>
      <w:r>
        <w:t xml:space="preserve">Schierhout G, McGregor S, Gessain A, Einsiedel L, Martinello M, Kaldor J. Association between HTLV-1 infection and adverse health outcomes: A systematic review and meta-analysis of epidemiological studies. The Lancet Infectious Diseases [Internet]. 2020;20(1):133–43. Available from:</w:t>
      </w:r>
      <w:r>
        <w:t xml:space="preserve"> </w:t>
      </w:r>
      <w:hyperlink r:id="rId36">
        <w:r>
          <w:rPr>
            <w:rStyle w:val="Hyperlink"/>
          </w:rPr>
          <w:t xml:space="preserve">http://dx.doi.org/10.1016/S1473-3099(19)30402-5</w:t>
        </w:r>
      </w:hyperlink>
    </w:p>
    <w:bookmarkEnd w:id="37"/>
    <w:bookmarkStart w:id="39" w:name="ref-valcarcel2022"/>
    <w:p>
      <w:pPr>
        <w:pStyle w:val="Bibliography"/>
      </w:pPr>
      <w:r>
        <w:t xml:space="preserve">3.</w:t>
      </w:r>
      <w:r>
        <w:t xml:space="preserve"> </w:t>
      </w:r>
      <w:r>
        <w:t xml:space="preserve">	</w:t>
      </w:r>
      <w:r>
        <w:t xml:space="preserve">Valcarcel B, Ampuero GS, Cruz-Ku G de la, Enriquez DJ, Malpica L.</w:t>
      </w:r>
      <w:r>
        <w:t xml:space="preserve"> </w:t>
      </w:r>
      <w:hyperlink r:id="rId38">
        <w:r>
          <w:rPr>
            <w:rStyle w:val="Hyperlink"/>
          </w:rPr>
          <w:t xml:space="preserve">Outcomes of HTLV-1 Carriers with Diffuse Large B-Cell Lymphoma: A Single-Center Retrospective Matched Cohort Study</w:t>
        </w:r>
      </w:hyperlink>
      <w:r>
        <w:t xml:space="preserve">. Clinical Lymphoma, Myeloma &amp; Leukemia. 2022 Apr;22(4):251–9.</w:t>
      </w:r>
      <w:r>
        <w:t xml:space="preserve"> </w:t>
      </w:r>
    </w:p>
    <w:bookmarkEnd w:id="39"/>
    <w:bookmarkStart w:id="41" w:name="ref-nishijima2019"/>
    <w:p>
      <w:pPr>
        <w:pStyle w:val="Bibliography"/>
      </w:pPr>
      <w:r>
        <w:t xml:space="preserve">4.</w:t>
      </w:r>
      <w:r>
        <w:t xml:space="preserve"> </w:t>
      </w:r>
      <w:r>
        <w:t xml:space="preserve">	</w:t>
      </w:r>
      <w:r>
        <w:t xml:space="preserve">Nishijima T, Shimada S, Noda H, Miyake K. Towards the elimination of HTLV-1 infection in japan. The Lancet Infectious Diseases [Internet]. 2019 Jan 1;19(1):15–6. Available from:</w:t>
      </w:r>
      <w:r>
        <w:t xml:space="preserve"> </w:t>
      </w:r>
      <w:hyperlink r:id="rId40">
        <w:r>
          <w:rPr>
            <w:rStyle w:val="Hyperlink"/>
          </w:rPr>
          <w:t xml:space="preserve">https://www.sciencedirect.com/science/article/pii/S1473309918307357</w:t>
        </w:r>
      </w:hyperlink>
    </w:p>
    <w:bookmarkEnd w:id="41"/>
    <w:bookmarkStart w:id="43" w:name="ref-martin2018"/>
    <w:p>
      <w:pPr>
        <w:pStyle w:val="Bibliography"/>
      </w:pPr>
      <w:r>
        <w:t xml:space="preserve">5.</w:t>
      </w:r>
      <w:r>
        <w:t xml:space="preserve"> </w:t>
      </w:r>
      <w:r>
        <w:t xml:space="preserve">	</w:t>
      </w:r>
      <w:r>
        <w:t xml:space="preserve">Martin F, Tagaya Y, Gallo R. Time to eradicate HTLV-1: An open letter to WHO. The Lancet [Internet]. 2018 May 12;391(10133):1893–4. Available from:</w:t>
      </w:r>
      <w:r>
        <w:t xml:space="preserve"> </w:t>
      </w:r>
      <w:hyperlink r:id="rId42">
        <w:r>
          <w:rPr>
            <w:rStyle w:val="Hyperlink"/>
          </w:rPr>
          <w:t xml:space="preserve">https://www.sciencedirect.com/science/article/pii/S0140673618309747</w:t>
        </w:r>
      </w:hyperlink>
    </w:p>
    <w:bookmarkEnd w:id="43"/>
    <w:bookmarkStart w:id="45" w:name="ref-vantienen2012"/>
    <w:p>
      <w:pPr>
        <w:pStyle w:val="Bibliography"/>
      </w:pPr>
      <w:r>
        <w:t xml:space="preserve">6.</w:t>
      </w:r>
      <w:r>
        <w:t xml:space="preserve"> </w:t>
      </w:r>
      <w:r>
        <w:t xml:space="preserve">	</w:t>
      </w:r>
      <w:r>
        <w:t xml:space="preserve">Van Tienen C, De Silva TI, Alcantara LCJ, Onyango CO, Jarju S, Gonçalves N, et al. Molecular Epidemiology of Endemic Human T-Lymphotropic Virus Type 1 in a Rural Community in Guinea-Bissau. Kashanchi F, editor. PLoS Neglected Tropical Diseases [Internet]. 2012 Jun 12;6(6):e1690. Available from:</w:t>
      </w:r>
      <w:r>
        <w:t xml:space="preserve"> </w:t>
      </w:r>
      <w:hyperlink r:id="rId44">
        <w:r>
          <w:rPr>
            <w:rStyle w:val="Hyperlink"/>
          </w:rPr>
          <w:t xml:space="preserve">https://dx.plos.org/10.1371/journal.pntd.0001690</w:t>
        </w:r>
      </w:hyperlink>
    </w:p>
    <w:bookmarkEnd w:id="45"/>
    <w:bookmarkStart w:id="47" w:name="ref-djuicy2018"/>
    <w:p>
      <w:pPr>
        <w:pStyle w:val="Bibliography"/>
      </w:pPr>
      <w:r>
        <w:t xml:space="preserve">7.</w:t>
      </w:r>
      <w:r>
        <w:t xml:space="preserve"> </w:t>
      </w:r>
      <w:r>
        <w:t xml:space="preserve">	</w:t>
      </w:r>
      <w:r>
        <w:t xml:space="preserve">Djuicy DD, Mouinga-Ondémé A, Cassar O, Ramassamy JL, Mamimandjiami AI, Bikangui R, et al. Risk factors for HTLV-1 infection in Central Africa: A rural population-based survey in Gabon. PLoS Neglected Tropical Diseases [Internet]. 2018 Oct 12;12(10):e0006832. Available from:</w:t>
      </w:r>
      <w:r>
        <w:t xml:space="preserve"> </w:t>
      </w:r>
      <w:hyperlink r:id="rId46">
        <w:r>
          <w:rPr>
            <w:rStyle w:val="Hyperlink"/>
          </w:rPr>
          <w:t xml:space="preserve">https://pmc.ncbi.nlm.nih.gov/articles/PMC6200283/</w:t>
        </w:r>
      </w:hyperlink>
    </w:p>
    <w:bookmarkEnd w:id="47"/>
    <w:bookmarkStart w:id="49" w:name="ref-einsiedel2021"/>
    <w:p>
      <w:pPr>
        <w:pStyle w:val="Bibliography"/>
      </w:pPr>
      <w:r>
        <w:t xml:space="preserve">8.</w:t>
      </w:r>
      <w:r>
        <w:t xml:space="preserve"> </w:t>
      </w:r>
      <w:r>
        <w:t xml:space="preserve">	</w:t>
      </w:r>
      <w:r>
        <w:t xml:space="preserve">Einsiedel L, Pham H, Talukder MR, Taylor K, Wilson K, Kaldor J, et al. Very high prevalence of infection with the human T cell leukaemia virus type 1c in remote Australian Aboriginal communities: Results of a large cross-sectional community survey. Matsuoka M, editor. PLOS Neglected Tropical Diseases [Internet]. 2021 Dec 8;15(12):e0009915. Available from:</w:t>
      </w:r>
      <w:r>
        <w:t xml:space="preserve"> </w:t>
      </w:r>
      <w:hyperlink r:id="rId48">
        <w:r>
          <w:rPr>
            <w:rStyle w:val="Hyperlink"/>
          </w:rPr>
          <w:t xml:space="preserve">https://dx.plos.org/10.1371/journal.pntd.0009915</w:t>
        </w:r>
      </w:hyperlink>
    </w:p>
    <w:bookmarkEnd w:id="49"/>
    <w:bookmarkStart w:id="51" w:name="ref-ita2014"/>
    <w:p>
      <w:pPr>
        <w:pStyle w:val="Bibliography"/>
      </w:pPr>
      <w:r>
        <w:t xml:space="preserve">9.</w:t>
      </w:r>
      <w:r>
        <w:t xml:space="preserve"> </w:t>
      </w:r>
      <w:r>
        <w:t xml:space="preserve">	</w:t>
      </w:r>
      <w:r>
        <w:t xml:space="preserve">Ita F, Mayer EF, Verdonck K, Gonzalez E, Clark D, Gotuzzo E.</w:t>
      </w:r>
      <w:r>
        <w:t xml:space="preserve"> </w:t>
      </w:r>
      <w:hyperlink r:id="rId50">
        <w:r>
          <w:rPr>
            <w:rStyle w:val="Hyperlink"/>
          </w:rPr>
          <w:t xml:space="preserve">Human t-lymphotropic virus type 1 infection is frequent in rural communities of the southern andes of peru</w:t>
        </w:r>
      </w:hyperlink>
      <w:r>
        <w:t xml:space="preserve">. International Journal of Infectious Diseases. 2014;19(1):46–52.</w:t>
      </w:r>
      <w:r>
        <w:t xml:space="preserve"> </w:t>
      </w:r>
    </w:p>
    <w:bookmarkEnd w:id="51"/>
    <w:bookmarkStart w:id="53" w:name="ref-sakihama2021"/>
    <w:p>
      <w:pPr>
        <w:pStyle w:val="Bibliography"/>
      </w:pPr>
      <w:r>
        <w:t xml:space="preserve">10.</w:t>
      </w:r>
      <w:r>
        <w:t xml:space="preserve"> </w:t>
      </w:r>
      <w:r>
        <w:t xml:space="preserve">	</w:t>
      </w:r>
      <w:r>
        <w:t xml:space="preserve">Sakihama S, Morichika K, Saito R, Miyara M, Miyagi T, Hayashi M, et al. Genetic profile of adult t</w:t>
      </w:r>
      <w:r>
        <w:t xml:space="preserve">-</w:t>
      </w:r>
      <w:r>
        <w:t xml:space="preserve">cell leukemia/lymphoma in okinawa: Association with prognosis, ethnicity, and HTLV</w:t>
      </w:r>
      <w:r>
        <w:t xml:space="preserve">-</w:t>
      </w:r>
      <w:r>
        <w:t xml:space="preserve">1 strains. Cancer Science [Internet]. 2021 Mar;112(3):1300–9. Available from:</w:t>
      </w:r>
      <w:r>
        <w:t xml:space="preserve"> </w:t>
      </w:r>
      <w:hyperlink r:id="rId52">
        <w:r>
          <w:rPr>
            <w:rStyle w:val="Hyperlink"/>
          </w:rPr>
          <w:t xml:space="preserve">https://www.ncbi.nlm.nih.gov/pmc/articles/PMC7935801/</w:t>
        </w:r>
      </w:hyperlink>
    </w:p>
    <w:bookmarkEnd w:id="53"/>
    <w:bookmarkStart w:id="55" w:name="ref-sakihama2017"/>
    <w:p>
      <w:pPr>
        <w:pStyle w:val="Bibliography"/>
      </w:pPr>
      <w:r>
        <w:t xml:space="preserve">11.</w:t>
      </w:r>
      <w:r>
        <w:t xml:space="preserve"> </w:t>
      </w:r>
      <w:r>
        <w:t xml:space="preserve">	</w:t>
      </w:r>
      <w:r>
        <w:t xml:space="preserve">Sakihama S, Saito M, Kuba-Miyara M, Tomoyose T, Taira N, Miyagi T, et al. Human t-cell leukemia virus type i</w:t>
      </w:r>
      <w:r>
        <w:t xml:space="preserve"> </w:t>
      </w:r>
      <w:r>
        <w:rPr>
          <w:i/>
          <w:iCs/>
        </w:rPr>
        <w:t xml:space="preserve">Tax</w:t>
      </w:r>
      <w:r>
        <w:t xml:space="preserve"> </w:t>
      </w:r>
      <w:r>
        <w:t xml:space="preserve">genotype analysis in okinawa, the southernmost and remotest islands of japan: Different distributions compared with mainland japan and the potential value for the prognosis of aggressive adult t-cell leukemia/lymphoma. Leukemia Research [Internet]. 2017 Oct 1;61:18–24. Available from:</w:t>
      </w:r>
      <w:r>
        <w:t xml:space="preserve"> </w:t>
      </w:r>
      <w:hyperlink r:id="rId54">
        <w:r>
          <w:rPr>
            <w:rStyle w:val="Hyperlink"/>
          </w:rPr>
          <w:t xml:space="preserve">https://www.sciencedirect.com/science/article/pii/S0145212617304873</w:t>
        </w:r>
      </w:hyperlink>
    </w:p>
    <w:bookmarkEnd w:id="55"/>
    <w:bookmarkStart w:id="57" w:name="ref-sugata2025"/>
    <w:p>
      <w:pPr>
        <w:pStyle w:val="Bibliography"/>
      </w:pPr>
      <w:r>
        <w:t xml:space="preserve">12.</w:t>
      </w:r>
      <w:r>
        <w:t xml:space="preserve"> </w:t>
      </w:r>
      <w:r>
        <w:t xml:space="preserve">	</w:t>
      </w:r>
      <w:r>
        <w:t xml:space="preserve">Sugata K, Takatori M, Reda O, Tan BJY, Tokunaga M, Sato T, et al. Effect of viral antigen mismatch on antiviral t-cell response and immunotherapeutic efficacy against adult t-cell leukemia/lymphoma. The Journal of Infectious Diseases [Internet]. 2025 Mar 15;231(3):816–21. Available from:</w:t>
      </w:r>
      <w:r>
        <w:t xml:space="preserve"> </w:t>
      </w:r>
      <w:hyperlink r:id="rId56">
        <w:r>
          <w:rPr>
            <w:rStyle w:val="Hyperlink"/>
          </w:rPr>
          <w:t xml:space="preserve">https://doi.org/10.1093/infdis/jiae457</w:t>
        </w:r>
      </w:hyperlink>
    </w:p>
    <w:bookmarkEnd w:id="57"/>
    <w:bookmarkStart w:id="59" w:name="ref-furukawa2000"/>
    <w:p>
      <w:pPr>
        <w:pStyle w:val="Bibliography"/>
      </w:pPr>
      <w:r>
        <w:t xml:space="preserve">13.</w:t>
      </w:r>
      <w:r>
        <w:t xml:space="preserve"> </w:t>
      </w:r>
      <w:r>
        <w:t xml:space="preserve">	</w:t>
      </w:r>
      <w:r>
        <w:t xml:space="preserve">Furukawa Y, Yamashita M, Usuku K, Izumo S, Nakagawa M, Osame M. Phylogenetic subgroups of human t cell lymphotropic virus (HTLV) type i in the tax gene and their association with different risks for HTLV-i</w:t>
      </w:r>
      <w:r>
        <w:t xml:space="preserve">associated myelopathy/tropical spastic paraparesis. The Journal of Infectious Diseases [Internet]. 2000 Nov 1;182(5):1343–9. Available from:</w:t>
      </w:r>
      <w:r>
        <w:t xml:space="preserve"> </w:t>
      </w:r>
      <w:hyperlink r:id="rId58">
        <w:r>
          <w:rPr>
            <w:rStyle w:val="Hyperlink"/>
          </w:rPr>
          <w:t xml:space="preserve">https://doi.org/10.1086/315897</w:t>
        </w:r>
      </w:hyperlink>
    </w:p>
    <w:bookmarkEnd w:id="59"/>
    <w:bookmarkStart w:id="61" w:name="ref-katsuya2019"/>
    <w:p>
      <w:pPr>
        <w:pStyle w:val="Bibliography"/>
      </w:pPr>
      <w:r>
        <w:t xml:space="preserve">14.</w:t>
      </w:r>
      <w:r>
        <w:t xml:space="preserve"> </w:t>
      </w:r>
      <w:r>
        <w:t xml:space="preserve">	</w:t>
      </w:r>
      <w:r>
        <w:t xml:space="preserve">Katsuya H, Islam S, Tan BJY, Ito J, Miyazato P, Matsuo M, et al. The Nature of the HTLV-1 Provirus in Naturally Infected Individuals Analyzed by the Viral DNA-Capture-Seq Approach. Cell Reports [Internet]. 2019 Oct;29(3):724–735.e4. Available from:</w:t>
      </w:r>
      <w:r>
        <w:t xml:space="preserve"> </w:t>
      </w:r>
      <w:hyperlink r:id="rId60">
        <w:r>
          <w:rPr>
            <w:rStyle w:val="Hyperlink"/>
          </w:rPr>
          <w:t xml:space="preserve">https://linkinghub.elsevier.com/retrieve/pii/S2211124719311933</w:t>
        </w:r>
      </w:hyperlink>
    </w:p>
    <w:bookmarkEnd w:id="61"/>
    <w:bookmarkStart w:id="63" w:name="ref-estrada-grossmann2025"/>
    <w:p>
      <w:pPr>
        <w:pStyle w:val="Bibliography"/>
      </w:pPr>
      <w:r>
        <w:t xml:space="preserve">15.</w:t>
      </w:r>
      <w:r>
        <w:t xml:space="preserve"> </w:t>
      </w:r>
      <w:r>
        <w:t xml:space="preserve">	</w:t>
      </w:r>
      <w:r>
        <w:t xml:space="preserve">Estrada-Grossmann JM, Alarcon-Braga E, Salazar-Valdivia F, Silvana-Jauregui A, Acurio K, Pacheco-Barrios N, et al. Risk factors for malignant progression to adult-t-cell leukemia/lymphoma in HTLV-1 carriers: A systematic review of cohort and case-control StudiesRisk factors for ATL in HTLV-1 carriers: review. Clinical Lymphoma Myeloma and Leukemia [Internet]. 2025 Apr 19; Available from:</w:t>
      </w:r>
      <w:r>
        <w:t xml:space="preserve"> </w:t>
      </w:r>
      <w:hyperlink r:id="rId62">
        <w:r>
          <w:rPr>
            <w:rStyle w:val="Hyperlink"/>
          </w:rPr>
          <w:t xml:space="preserve">https://www.sciencedirect.com/science/article/pii/S2152265025001442</w:t>
        </w:r>
      </w:hyperlink>
    </w:p>
    <w:bookmarkEnd w:id="63"/>
    <w:bookmarkStart w:id="65" w:name="ref-iwanaga2010"/>
    <w:p>
      <w:pPr>
        <w:pStyle w:val="Bibliography"/>
      </w:pPr>
      <w:r>
        <w:t xml:space="preserve">16.</w:t>
      </w:r>
      <w:r>
        <w:t xml:space="preserve"> </w:t>
      </w:r>
      <w:r>
        <w:t xml:space="preserve">	</w:t>
      </w:r>
      <w:r>
        <w:t xml:space="preserve">Iwanaga M, Watanabe T, Utsunomiya A, Okayama A, Uchimaru K, Koh KR, et al. Human t-cell leukemia virus type i (HTLV-1) proviral load and disease progression in asymptomatic HTLV-1 carriers: A nationwide prospective study in japan. Blood [Internet]. 2010 Aug 26;116(8):1211–9. Available from:</w:t>
      </w:r>
      <w:r>
        <w:t xml:space="preserve"> </w:t>
      </w:r>
      <w:hyperlink r:id="rId64">
        <w:r>
          <w:rPr>
            <w:rStyle w:val="Hyperlink"/>
          </w:rPr>
          <w:t xml:space="preserve">https://doi.org/10.1182/blood-2009-12-257410</w:t>
        </w:r>
      </w:hyperlink>
    </w:p>
    <w:bookmarkEnd w:id="65"/>
    <w:bookmarkStart w:id="67" w:name="ref-alvarez2016"/>
    <w:p>
      <w:pPr>
        <w:pStyle w:val="Bibliography"/>
      </w:pPr>
      <w:r>
        <w:t xml:space="preserve">17.</w:t>
      </w:r>
      <w:r>
        <w:t xml:space="preserve"> </w:t>
      </w:r>
      <w:r>
        <w:t xml:space="preserve">	</w:t>
      </w:r>
      <w:r>
        <w:t xml:space="preserve">Alvarez C, Gotuzzo E, Vandamme AM, Verdonck K. Family aggregation of human t-lymphotropic virus 1-associated diseases: A systematic review. Frontiers in Microbiology [Internet]. 2016 Oct 28;7. Available from:</w:t>
      </w:r>
      <w:r>
        <w:t xml:space="preserve"> </w:t>
      </w:r>
      <w:hyperlink r:id="rId66">
        <w:r>
          <w:rPr>
            <w:rStyle w:val="Hyperlink"/>
          </w:rPr>
          <w:t xml:space="preserve">https://www.frontiersin.orghttps://www.frontiersin.org/journals/microbiology/articles/10.3389/fmicb.2016.01674/full</w:t>
        </w:r>
      </w:hyperlink>
    </w:p>
    <w:bookmarkEnd w:id="67"/>
    <w:bookmarkStart w:id="69" w:name="ref-adams2016"/>
    <w:p>
      <w:pPr>
        <w:pStyle w:val="Bibliography"/>
      </w:pPr>
      <w:r>
        <w:t xml:space="preserve">18.</w:t>
      </w:r>
      <w:r>
        <w:t xml:space="preserve"> </w:t>
      </w:r>
      <w:r>
        <w:t xml:space="preserve">	</w:t>
      </w:r>
      <w:r>
        <w:t xml:space="preserve">Adams SV, Newcomb PA, Shustov AR. Racial patterns of peripheral t-cell lymphoma incidence and survival in the united states. Journal of Clinical Oncology [Internet]. 2016 Mar 20;34(9):963–71. Available from:</w:t>
      </w:r>
      <w:r>
        <w:t xml:space="preserve"> </w:t>
      </w:r>
      <w:hyperlink r:id="rId68">
        <w:r>
          <w:rPr>
            <w:rStyle w:val="Hyperlink"/>
          </w:rPr>
          <w:t xml:space="preserve">https://ascopubs.org/doi/10.1200/JCO.2015.63.5540</w:t>
        </w:r>
      </w:hyperlink>
    </w:p>
    <w:bookmarkEnd w:id="69"/>
    <w:bookmarkStart w:id="71" w:name="ref-mardi2025"/>
    <w:p>
      <w:pPr>
        <w:pStyle w:val="Bibliography"/>
      </w:pPr>
      <w:r>
        <w:t xml:space="preserve">19.</w:t>
      </w:r>
      <w:r>
        <w:t xml:space="preserve"> </w:t>
      </w:r>
      <w:r>
        <w:t xml:space="preserve">	</w:t>
      </w:r>
      <w:r>
        <w:t xml:space="preserve">Mardi S, Rashidian M, Bastan F, Molaverdi G, Mozhgani SH.</w:t>
      </w:r>
      <w:r>
        <w:t xml:space="preserve"> </w:t>
      </w:r>
      <w:hyperlink r:id="rId70">
        <w:r>
          <w:rPr>
            <w:rStyle w:val="Hyperlink"/>
          </w:rPr>
          <w:t xml:space="preserve">The role of human leukocyte antigen in HTLV-1 infection and progression to ATLL and HAM/TSP: a systematic review and meta-analysis</w:t>
        </w:r>
      </w:hyperlink>
      <w:r>
        <w:t xml:space="preserve">. Virology Journal. 2025 Jan 20;22(1):13.</w:t>
      </w:r>
      <w:r>
        <w:t xml:space="preserve"> </w:t>
      </w:r>
    </w:p>
    <w:bookmarkEnd w:id="71"/>
    <w:bookmarkStart w:id="73" w:name="ref-myers2024"/>
    <w:p>
      <w:pPr>
        <w:pStyle w:val="Bibliography"/>
      </w:pPr>
      <w:r>
        <w:t xml:space="preserve">20.</w:t>
      </w:r>
      <w:r>
        <w:t xml:space="preserve"> </w:t>
      </w:r>
      <w:r>
        <w:t xml:space="preserve">	</w:t>
      </w:r>
      <w:r>
        <w:t xml:space="preserve">Myers CS, Williams E, Cornejo CB, Pongas G, Toomey NL, Sanches JA, et al. Distinctive genomic features of human T-lymphotropic virus type 1-related adult T-cell leukemia-lymphoma in Western populations. Haematologica [Internet]. 2024 Aug 8;109(12):4021–39. Available from:</w:t>
      </w:r>
      <w:r>
        <w:t xml:space="preserve"> </w:t>
      </w:r>
      <w:hyperlink r:id="rId72">
        <w:r>
          <w:rPr>
            <w:rStyle w:val="Hyperlink"/>
          </w:rPr>
          <w:t xml:space="preserve">https://haematologica.org/article/view/haematol.2024.285233</w:t>
        </w:r>
      </w:hyperlink>
    </w:p>
    <w:bookmarkEnd w:id="73"/>
    <w:bookmarkStart w:id="75" w:name="ref-luchtel2022"/>
    <w:p>
      <w:pPr>
        <w:pStyle w:val="Bibliography"/>
      </w:pPr>
      <w:r>
        <w:t xml:space="preserve">21.</w:t>
      </w:r>
      <w:r>
        <w:t xml:space="preserve"> </w:t>
      </w:r>
      <w:r>
        <w:t xml:space="preserve">	</w:t>
      </w:r>
      <w:r>
        <w:t xml:space="preserve">Luchtel RA, Zhao Y, Aggarwal RK, Pradhan K, Maqbool SB.</w:t>
      </w:r>
      <w:r>
        <w:t xml:space="preserve"> </w:t>
      </w:r>
      <w:hyperlink r:id="rId74">
        <w:r>
          <w:rPr>
            <w:rStyle w:val="Hyperlink"/>
          </w:rPr>
          <w:t xml:space="preserve">ETS1 is a novel transcriptional regulator of adult T-cell leukemia/lymphoma of North American descent</w:t>
        </w:r>
      </w:hyperlink>
      <w:r>
        <w:t xml:space="preserve">. Blood Advances. 2022 Oct 25;6(20):5613–24.</w:t>
      </w:r>
      <w:r>
        <w:t xml:space="preserve"> </w:t>
      </w:r>
    </w:p>
    <w:bookmarkEnd w:id="75"/>
    <w:bookmarkStart w:id="77" w:name="ref-homburger2015"/>
    <w:p>
      <w:pPr>
        <w:pStyle w:val="Bibliography"/>
      </w:pPr>
      <w:r>
        <w:t xml:space="preserve">22.</w:t>
      </w:r>
      <w:r>
        <w:t xml:space="preserve"> </w:t>
      </w:r>
      <w:r>
        <w:t xml:space="preserve">	</w:t>
      </w:r>
      <w:r>
        <w:t xml:space="preserve">Homburger JR, Moreno-Estrada A, Gignoux CR, Nelson D, Sanchez E, Ortiz-Tello P, et al.</w:t>
      </w:r>
      <w:r>
        <w:t xml:space="preserve"> </w:t>
      </w:r>
      <w:hyperlink r:id="rId76">
        <w:r>
          <w:rPr>
            <w:rStyle w:val="Hyperlink"/>
          </w:rPr>
          <w:t xml:space="preserve">Genomic Insights into the Ancestry and Demographic History of South America</w:t>
        </w:r>
      </w:hyperlink>
      <w:r>
        <w:t xml:space="preserve">. PLoS genetics. 2015 Dec;11(12):e1005602.</w:t>
      </w:r>
      <w:r>
        <w:t xml:space="preserve"> </w:t>
      </w:r>
    </w:p>
    <w:bookmarkEnd w:id="77"/>
    <w:bookmarkStart w:id="79" w:name="ref-malpica2025"/>
    <w:p>
      <w:pPr>
        <w:pStyle w:val="Bibliography"/>
      </w:pPr>
      <w:r>
        <w:t xml:space="preserve">23.</w:t>
      </w:r>
      <w:r>
        <w:t xml:space="preserve"> </w:t>
      </w:r>
      <w:r>
        <w:t xml:space="preserve">	</w:t>
      </w:r>
      <w:r>
        <w:t xml:space="preserve">Malpica L, Idrobo H, Pavlovsky A, Miranda ECM, Castro D, Beltran B, et al. Epidemiology, clinical features, and outcomes of peripheral t-cell lymphoma in latin america: An international, retrospective, cohort study. The Lancet Haematology [Internet]. 2025 Apr 1;12(4):e258–68. Available from:</w:t>
      </w:r>
      <w:r>
        <w:t xml:space="preserve"> </w:t>
      </w:r>
      <w:hyperlink r:id="rId78">
        <w:r>
          <w:rPr>
            <w:rStyle w:val="Hyperlink"/>
          </w:rPr>
          <w:t xml:space="preserve">https://www.thelancet.com/journals/lanhae/article/PIIS2352-3026(25)00011-0/abstract</w:t>
        </w:r>
      </w:hyperlink>
    </w:p>
    <w:bookmarkEnd w:id="79"/>
    <w:bookmarkStart w:id="81" w:name="ref-yamagishi2021"/>
    <w:p>
      <w:pPr>
        <w:pStyle w:val="Bibliography"/>
      </w:pPr>
      <w:r>
        <w:t xml:space="preserve">24.</w:t>
      </w:r>
      <w:r>
        <w:t xml:space="preserve"> </w:t>
      </w:r>
      <w:r>
        <w:t xml:space="preserve">	</w:t>
      </w:r>
      <w:r>
        <w:t xml:space="preserve">Yamagishi M, Kubokawa M, Kuze Y, Suzuki A, Yokomizo A, Kobayashi S, et al. Chronological genome and single-cell transcriptome integration characterizes the evolutionary process of adult T cell leukemia-lymphoma. Nature Communications [Internet]. 2021 Aug 10;12(1). Available from:</w:t>
      </w:r>
      <w:r>
        <w:t xml:space="preserve"> </w:t>
      </w:r>
      <w:hyperlink r:id="rId80">
        <w:r>
          <w:rPr>
            <w:rStyle w:val="Hyperlink"/>
          </w:rPr>
          <w:t xml:space="preserve">https://www.nature.com/articles/s41467-021-25101-9</w:t>
        </w:r>
      </w:hyperlink>
    </w:p>
    <w:bookmarkEnd w:id="81"/>
    <w:bookmarkStart w:id="83" w:name="ref-valcarcel2025"/>
    <w:p>
      <w:pPr>
        <w:pStyle w:val="Bibliography"/>
      </w:pPr>
      <w:r>
        <w:t xml:space="preserve">25.</w:t>
      </w:r>
      <w:r>
        <w:t xml:space="preserve"> </w:t>
      </w:r>
      <w:r>
        <w:t xml:space="preserve">	</w:t>
      </w:r>
      <w:r>
        <w:t xml:space="preserve">Valcarcel B, Idrobo H, Pavlovsky A, Miranda ECM, Beltran B, Paredes S, et al. Prevalence and survival outcomes of adult t-cell leukemia/lymphoma in latin america: A multicenter cohort study and recommendations to improve diagnosis and outcomes. Cancer Epidemiology [Internet]. 2025 Oct 1;98:102890. Available from:</w:t>
      </w:r>
      <w:r>
        <w:t xml:space="preserve"> </w:t>
      </w:r>
      <w:hyperlink r:id="rId82">
        <w:r>
          <w:rPr>
            <w:rStyle w:val="Hyperlink"/>
          </w:rPr>
          <w:t xml:space="preserve">https://www.sciencedirect.com/science/article/pii/S187778212500150X</w:t>
        </w:r>
      </w:hyperlink>
    </w:p>
    <w:bookmarkEnd w:id="83"/>
    <w:bookmarkStart w:id="85" w:name="ref-einsiedel2016"/>
    <w:p>
      <w:pPr>
        <w:pStyle w:val="Bibliography"/>
      </w:pPr>
      <w:r>
        <w:t xml:space="preserve">26.</w:t>
      </w:r>
      <w:r>
        <w:t xml:space="preserve"> </w:t>
      </w:r>
      <w:r>
        <w:t xml:space="preserve">	</w:t>
      </w:r>
      <w:r>
        <w:t xml:space="preserve">Einsiedel L, Woodman RJ, Flynn M, Wilson K, Cassar O, Gessain A.</w:t>
      </w:r>
      <w:r>
        <w:t xml:space="preserve"> </w:t>
      </w:r>
      <w:hyperlink r:id="rId84">
        <w:r>
          <w:rPr>
            <w:rStyle w:val="Hyperlink"/>
          </w:rPr>
          <w:t xml:space="preserve">Human T-Lymphotropic Virus type 1 infection in an Indigenous Australian population: epidemiological insights from a hospital-based cohort study</w:t>
        </w:r>
      </w:hyperlink>
      <w:r>
        <w:t xml:space="preserve">. BMC public health. 2016 Aug 15;16:787.</w:t>
      </w:r>
      <w:r>
        <w:t xml:space="preserve"> </w:t>
      </w:r>
    </w:p>
    <w:bookmarkEnd w:id="85"/>
    <w:bookmarkStart w:id="87" w:name="ref-jimbo2025"/>
    <w:p>
      <w:pPr>
        <w:pStyle w:val="Bibliography"/>
      </w:pPr>
      <w:r>
        <w:t xml:space="preserve">27.</w:t>
      </w:r>
      <w:r>
        <w:t xml:space="preserve"> </w:t>
      </w:r>
      <w:r>
        <w:t xml:space="preserve">	</w:t>
      </w:r>
      <w:r>
        <w:t xml:space="preserve">Jimbo K, Nojima M, Toriuchi K, Yamagishi M, Nakashima M, Yamano Y, et al. Long-term kinetics of proviral load in HTLV-1 carriers: Defining risk for the development of adult t-cell leukemia/lymphoma. Biomarker Research [Internet]. 2025 Feb 26;13(1):34. Available from:</w:t>
      </w:r>
      <w:r>
        <w:t xml:space="preserve"> </w:t>
      </w:r>
      <w:hyperlink r:id="rId86">
        <w:r>
          <w:rPr>
            <w:rStyle w:val="Hyperlink"/>
          </w:rPr>
          <w:t xml:space="preserve">https://doi.org/10.1186/s40364-025-00747-5</w:t>
        </w:r>
      </w:hyperlink>
    </w:p>
    <w:bookmarkEnd w:id="87"/>
    <w:bookmarkStart w:id="89" w:name="ref-rodrigues2022"/>
    <w:p>
      <w:pPr>
        <w:pStyle w:val="Bibliography"/>
      </w:pPr>
      <w:r>
        <w:t xml:space="preserve">28.</w:t>
      </w:r>
      <w:r>
        <w:t xml:space="preserve"> </w:t>
      </w:r>
      <w:r>
        <w:t xml:space="preserve">	</w:t>
      </w:r>
      <w:r>
        <w:t xml:space="preserve">Rodrigues ES, Salustiano S, Santos EV, Slavov SN, Picanço-Castro V, Maçonetto JM, et al. Monitoring of HTLV-1-associated diseases by proviral load quantification using multiplex real-time PCR. Journal of NeuroVirology [Internet]. 2022 Feb;28(1):27–34. Available from:</w:t>
      </w:r>
      <w:r>
        <w:t xml:space="preserve"> </w:t>
      </w:r>
      <w:hyperlink r:id="rId88">
        <w:r>
          <w:rPr>
            <w:rStyle w:val="Hyperlink"/>
          </w:rPr>
          <w:t xml:space="preserve">https://link.springer.com/10.1007/s13365-020-00924-2</w:t>
        </w:r>
      </w:hyperlink>
    </w:p>
    <w:bookmarkEnd w:id="89"/>
    <w:bookmarkStart w:id="91" w:name="ref-saffari2022"/>
    <w:p>
      <w:pPr>
        <w:pStyle w:val="Bibliography"/>
      </w:pPr>
      <w:r>
        <w:t xml:space="preserve">29.</w:t>
      </w:r>
      <w:r>
        <w:t xml:space="preserve"> </w:t>
      </w:r>
      <w:r>
        <w:t xml:space="preserve">	</w:t>
      </w:r>
      <w:r>
        <w:t xml:space="preserve">Saffari M, Rahimzada M, Mirhosseini A, Ghezaldasht SA, Valizadeh N, Moshfegh M, et al. Coevolution of HTLV-1-</w:t>
      </w:r>
      <w:r>
        <w:rPr>
          <w:i/>
          <w:iCs/>
        </w:rPr>
        <w:t xml:space="preserve">HBZ</w:t>
      </w:r>
      <w:r>
        <w:t xml:space="preserve">,</w:t>
      </w:r>
      <w:r>
        <w:t xml:space="preserve"> </w:t>
      </w:r>
      <w:r>
        <w:rPr>
          <w:i/>
          <w:iCs/>
        </w:rPr>
        <w:t xml:space="preserve">Tax</w:t>
      </w:r>
      <w:r>
        <w:t xml:space="preserve">, and proviral load with host</w:t>
      </w:r>
      <w:r>
        <w:t xml:space="preserve"> </w:t>
      </w:r>
      <w:r>
        <w:rPr>
          <w:i/>
          <w:iCs/>
        </w:rPr>
        <w:t xml:space="preserve">IRF-1</w:t>
      </w:r>
      <w:r>
        <w:t xml:space="preserve"> </w:t>
      </w:r>
      <w:r>
        <w:t xml:space="preserve">and</w:t>
      </w:r>
      <w:r>
        <w:t xml:space="preserve"> </w:t>
      </w:r>
      <w:r>
        <w:rPr>
          <w:i/>
          <w:iCs/>
        </w:rPr>
        <w:t xml:space="preserve">CCNA-2</w:t>
      </w:r>
      <w:r>
        <w:t xml:space="preserve"> </w:t>
      </w:r>
      <w:r>
        <w:t xml:space="preserve">in HAM/TSP patients. Infection, Genetics and Evolution [Internet]. 2022 Sep 1;103:105337. Available from:</w:t>
      </w:r>
      <w:r>
        <w:t xml:space="preserve"> </w:t>
      </w:r>
      <w:hyperlink r:id="rId90">
        <w:r>
          <w:rPr>
            <w:rStyle w:val="Hyperlink"/>
          </w:rPr>
          <w:t xml:space="preserve">https://www.sciencedirect.com/science/article/pii/S1567134822001344</w:t>
        </w:r>
      </w:hyperlink>
    </w:p>
    <w:bookmarkEnd w:id="91"/>
    <w:bookmarkStart w:id="93" w:name="ref-talledo2010"/>
    <w:p>
      <w:pPr>
        <w:pStyle w:val="Bibliography"/>
      </w:pPr>
      <w:r>
        <w:t xml:space="preserve">30.</w:t>
      </w:r>
      <w:r>
        <w:t xml:space="preserve"> </w:t>
      </w:r>
      <w:r>
        <w:t xml:space="preserve">	</w:t>
      </w:r>
      <w:r>
        <w:t xml:space="preserve">Talledo M, López G, Huyghe JR, Verdonck K, Adaui V, González E, et al. Evaluation of host genetic and viral factors as surrogate markers for HTLV-1-associated myelopathy/tropical spastic paraparesis in Peruvian HTLV-1-infected patients. Journal of Medical Virology [Internet]. 2010;82(3):460–6. Available from:</w:t>
      </w:r>
      <w:r>
        <w:t xml:space="preserve"> </w:t>
      </w:r>
      <w:hyperlink r:id="rId92">
        <w:r>
          <w:rPr>
            <w:rStyle w:val="Hyperlink"/>
          </w:rPr>
          <w:t xml:space="preserve">https://onlinelibrary.wiley.com/doi/abs/10.1002/jmv.21675</w:t>
        </w:r>
      </w:hyperlink>
    </w:p>
    <w:bookmarkEnd w:id="93"/>
    <w:bookmarkStart w:id="95" w:name="ref-pineda2019"/>
    <w:p>
      <w:pPr>
        <w:pStyle w:val="Bibliography"/>
      </w:pPr>
      <w:r>
        <w:t xml:space="preserve">31.</w:t>
      </w:r>
      <w:r>
        <w:t xml:space="preserve"> </w:t>
      </w:r>
      <w:r>
        <w:t xml:space="preserve">	</w:t>
      </w:r>
      <w:r>
        <w:t xml:space="preserve">Pineda MV, Bouzas MB, Remesar M, Fridman A, Remondegui C, Mammana L, et al. Relevance of HTLV-1 proviral load in asymptomatic and symptomatic patients living in endemic and non-endemic areas of Argentina. Anguita E, editor. PLOS ONE [Internet]. 2019 Nov 22;14(11):e0225596. Available from:</w:t>
      </w:r>
      <w:r>
        <w:t xml:space="preserve"> </w:t>
      </w:r>
      <w:hyperlink r:id="rId94">
        <w:r>
          <w:rPr>
            <w:rStyle w:val="Hyperlink"/>
          </w:rPr>
          <w:t xml:space="preserve">https://dx.plos.org/10.1371/journal.pone.0225596</w:t>
        </w:r>
      </w:hyperlink>
    </w:p>
    <w:bookmarkEnd w:id="95"/>
    <w:bookmarkStart w:id="97" w:name="ref-viard2024"/>
    <w:p>
      <w:pPr>
        <w:pStyle w:val="Bibliography"/>
      </w:pPr>
      <w:r>
        <w:t xml:space="preserve">32.</w:t>
      </w:r>
      <w:r>
        <w:t xml:space="preserve"> </w:t>
      </w:r>
      <w:r>
        <w:t xml:space="preserve">	</w:t>
      </w:r>
      <w:r>
        <w:t xml:space="preserve">Viard M, O’hUigin C, Yuki Y, Bashirova AA, Collins DR, Urbach JM, et al. Impact of HLA class i functional divergence on HIV control. Science [Internet]. 2024 Jan 19;383(6680):319–25. Available from:</w:t>
      </w:r>
      <w:r>
        <w:t xml:space="preserve"> </w:t>
      </w:r>
      <w:hyperlink r:id="rId96">
        <w:r>
          <w:rPr>
            <w:rStyle w:val="Hyperlink"/>
          </w:rPr>
          <w:t xml:space="preserve">https://www.science.org/doi/10.1126/science.adk0777</w:t>
        </w:r>
      </w:hyperlink>
    </w:p>
    <w:bookmarkEnd w:id="97"/>
    <w:bookmarkStart w:id="99" w:name="ref-mochida2023"/>
    <w:p>
      <w:pPr>
        <w:pStyle w:val="Bibliography"/>
      </w:pPr>
      <w:r>
        <w:t xml:space="preserve">33.</w:t>
      </w:r>
      <w:r>
        <w:t xml:space="preserve"> </w:t>
      </w:r>
      <w:r>
        <w:t xml:space="preserve">	</w:t>
      </w:r>
      <w:r>
        <w:t xml:space="preserve">Mochida K, Nakahata S, Suzuki Y, Inoue K, Moriguchi S, Yamashita A, et al.</w:t>
      </w:r>
      <w:r>
        <w:t xml:space="preserve"> </w:t>
      </w:r>
      <w:hyperlink r:id="rId98">
        <w:r>
          <w:rPr>
            <w:rStyle w:val="Hyperlink"/>
          </w:rPr>
          <w:t xml:space="preserve">Prognostic analysis of smoldering ATLL with skin eruptions based on genomic aberrations</w:t>
        </w:r>
      </w:hyperlink>
      <w:r>
        <w:t xml:space="preserve">. Journal of Dermatological Science. 2023 Feb;109(2):80–8.</w:t>
      </w:r>
      <w:r>
        <w:t xml:space="preserve"> </w:t>
      </w:r>
    </w:p>
    <w:bookmarkEnd w:id="99"/>
    <w:bookmarkStart w:id="101" w:name="ref-lipkus2001"/>
    <w:p>
      <w:pPr>
        <w:pStyle w:val="Bibliography"/>
      </w:pPr>
      <w:r>
        <w:t xml:space="preserve">34.</w:t>
      </w:r>
      <w:r>
        <w:t xml:space="preserve"> </w:t>
      </w:r>
      <w:r>
        <w:t xml:space="preserve">	</w:t>
      </w:r>
      <w:r>
        <w:t xml:space="preserve">Lipkus IM, Samsa G, Rimer BK. General Performance on a Numeracy Scale among Highly Educated Samples. Medical Decision Making [Internet]. 2001 Feb 1;21(1):37–44. Available from:</w:t>
      </w:r>
      <w:r>
        <w:t xml:space="preserve"> </w:t>
      </w:r>
      <w:hyperlink r:id="rId100">
        <w:r>
          <w:rPr>
            <w:rStyle w:val="Hyperlink"/>
          </w:rPr>
          <w:t xml:space="preserve">https://doi.org/10.1177/0272989X0102100105</w:t>
        </w:r>
      </w:hyperlink>
    </w:p>
    <w:bookmarkEnd w:id="101"/>
    <w:bookmarkStart w:id="103" w:name="ref-gabet2000"/>
    <w:p>
      <w:pPr>
        <w:pStyle w:val="Bibliography"/>
      </w:pPr>
      <w:r>
        <w:t xml:space="preserve">35.</w:t>
      </w:r>
      <w:r>
        <w:t xml:space="preserve"> </w:t>
      </w:r>
      <w:r>
        <w:t xml:space="preserve">	</w:t>
      </w:r>
      <w:r>
        <w:t xml:space="preserve">Gabet A, Mortreux F, Talarmin A, Plumelle Y, Leclercq I, Leroy A, et al. High circulating proviral load with oligoclonal expansion of HTLV-1 bearing t cells in HTLV-1 carriers with strongyloidiasis. Oncogene [Internet]. 2000;19:4954–60. Available from:</w:t>
      </w:r>
      <w:r>
        <w:t xml:space="preserve"> </w:t>
      </w:r>
      <w:hyperlink r:id="rId102">
        <w:r>
          <w:rPr>
            <w:rStyle w:val="Hyperlink"/>
          </w:rPr>
          <w:t xml:space="preserve">https://consensus.app/papers/high-circulating-proviral-load-with-oligoclonal-plumelle-gessain/20e44edecdae5b5badaa4873dec0cea8/</w:t>
        </w:r>
      </w:hyperlink>
    </w:p>
    <w:bookmarkEnd w:id="103"/>
    <w:bookmarkStart w:id="105" w:name="ref-ye2022"/>
    <w:p>
      <w:pPr>
        <w:pStyle w:val="Bibliography"/>
      </w:pPr>
      <w:r>
        <w:t xml:space="preserve">36.</w:t>
      </w:r>
      <w:r>
        <w:t xml:space="preserve"> </w:t>
      </w:r>
      <w:r>
        <w:t xml:space="preserve">	</w:t>
      </w:r>
      <w:r>
        <w:t xml:space="preserve">Ye L, Taylor GP, Rosadas C. Human T-Cell Lymphotropic Virus Type 1 and Strongyloides stercoralis Co-infection: A Systematic Review and Meta-Analysis. Frontiers in Medicine [Internet]. 2022 Feb 14;9:832430. Available from:</w:t>
      </w:r>
      <w:r>
        <w:t xml:space="preserve"> </w:t>
      </w:r>
      <w:hyperlink r:id="rId104">
        <w:r>
          <w:rPr>
            <w:rStyle w:val="Hyperlink"/>
          </w:rPr>
          <w:t xml:space="preserve">https://www.frontiersin.org/articles/10.3389/fmed.2022.832430/full</w:t>
        </w:r>
      </w:hyperlink>
    </w:p>
    <w:bookmarkEnd w:id="105"/>
    <w:bookmarkStart w:id="107" w:name="ref-zanella2020"/>
    <w:p>
      <w:pPr>
        <w:pStyle w:val="Bibliography"/>
      </w:pPr>
      <w:r>
        <w:t xml:space="preserve">37.</w:t>
      </w:r>
      <w:r>
        <w:t xml:space="preserve"> </w:t>
      </w:r>
      <w:r>
        <w:t xml:space="preserve">	</w:t>
      </w:r>
      <w:r>
        <w:t xml:space="preserve">Zanella L, Riquelme I, Reyes ME, Tapia MJ, Reyes S, Mora B, et al. Phylogenetic dating analysis of HTLV-1 from Chile suggests transmissions events related to ancient migrations and contemporary expansion. International Journal of Infectious Diseases [Internet]. 2020 Oct;99:186–9. Available from:</w:t>
      </w:r>
      <w:r>
        <w:t xml:space="preserve"> </w:t>
      </w:r>
      <w:hyperlink r:id="rId106">
        <w:r>
          <w:rPr>
            <w:rStyle w:val="Hyperlink"/>
          </w:rPr>
          <w:t xml:space="preserve">https://linkinghub.elsevier.com/retrieve/pii/S1201971220305816</w:t>
        </w:r>
      </w:hyperlink>
    </w:p>
    <w:bookmarkEnd w:id="107"/>
    <w:bookmarkStart w:id="109" w:name="ref-gessain2012"/>
    <w:p>
      <w:pPr>
        <w:pStyle w:val="Bibliography"/>
      </w:pPr>
      <w:r>
        <w:t xml:space="preserve">38.</w:t>
      </w:r>
      <w:r>
        <w:t xml:space="preserve"> </w:t>
      </w:r>
      <w:r>
        <w:t xml:space="preserve">	</w:t>
      </w:r>
      <w:r>
        <w:t xml:space="preserve">Gessain A, Cassar O. Epidemiological aspects and world distribution of HTLV-1 infection. 2012; Available from:</w:t>
      </w:r>
      <w:r>
        <w:t xml:space="preserve"> </w:t>
      </w:r>
      <w:hyperlink r:id="rId108">
        <w:r>
          <w:rPr>
            <w:rStyle w:val="Hyperlink"/>
          </w:rPr>
          <w:t xml:space="preserve">www.frontiersin.org</w:t>
        </w:r>
      </w:hyperlink>
    </w:p>
    <w:bookmarkEnd w:id="109"/>
    <w:bookmarkStart w:id="111" w:name="ref-ishak2020"/>
    <w:p>
      <w:pPr>
        <w:pStyle w:val="Bibliography"/>
      </w:pPr>
      <w:r>
        <w:t xml:space="preserve">39.</w:t>
      </w:r>
      <w:r>
        <w:t xml:space="preserve"> </w:t>
      </w:r>
      <w:r>
        <w:t xml:space="preserve">	</w:t>
      </w:r>
      <w:r>
        <w:t xml:space="preserve">Ishak R, Guimarães Ishak M de O, Azevedo VN, Machado LFA, Vallinoto IMC, Queiroz MAF, et al. HTLV in South America: Origins of a silent ancient human infection. Virus Evolution [Internet]. 2020 Jul 1;6(2):veaa053. Available from:</w:t>
      </w:r>
      <w:r>
        <w:t xml:space="preserve"> </w:t>
      </w:r>
      <w:hyperlink r:id="rId110">
        <w:r>
          <w:rPr>
            <w:rStyle w:val="Hyperlink"/>
          </w:rPr>
          <w:t xml:space="preserve">https://academic.oup.com/ve/article/doi/10.1093/ve/veaa053/5876036</w:t>
        </w:r>
      </w:hyperlink>
    </w:p>
    <w:bookmarkEnd w:id="111"/>
    <w:bookmarkEnd w:id="112"/>
    <w:bookmarkEnd w:id="113"/>
    <w:bookmarkEnd w:id="114"/>
    <w:bookmarkEnd w:id="11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http://dx.doi.org/10.1016/S1473-3099(19)30402-5" TargetMode="External" /><Relationship Type="http://schemas.openxmlformats.org/officeDocument/2006/relationships/hyperlink" Id="rId110" Target="https://academic.oup.com/ve/article/doi/10.1093/ve/veaa053/5876036" TargetMode="External" /><Relationship Type="http://schemas.openxmlformats.org/officeDocument/2006/relationships/hyperlink" Id="rId68" Target="https://ascopubs.org/doi/10.1200/JCO.2015.63.5540" TargetMode="External" /><Relationship Type="http://schemas.openxmlformats.org/officeDocument/2006/relationships/hyperlink" Id="rId34" Target="https://ashpublications.org/blood/article/doi/10.1182/blood.2022019332/494602/HTLV-1-persistence-and-the-oncogenesis-of-adult-T" TargetMode="External" /><Relationship Type="http://schemas.openxmlformats.org/officeDocument/2006/relationships/hyperlink" Id="rId102" Target="https://consensus.app/papers/high-circulating-proviral-load-with-oligoclonal-plumelle-gessain/20e44edecdae5b5badaa4873dec0cea8/" TargetMode="External" /><Relationship Type="http://schemas.openxmlformats.org/officeDocument/2006/relationships/hyperlink" Id="rId38" Target="https://doi.org/10.1016/j.clml.2021.09.017" TargetMode="External" /><Relationship Type="http://schemas.openxmlformats.org/officeDocument/2006/relationships/hyperlink" Id="rId50" Target="https://doi.org/10.1016/j.ijid.2013.10.005" TargetMode="External" /><Relationship Type="http://schemas.openxmlformats.org/officeDocument/2006/relationships/hyperlink" Id="rId98" Target="https://doi.org/10.1016/j.jdermsci.2023.02.001" TargetMode="External" /><Relationship Type="http://schemas.openxmlformats.org/officeDocument/2006/relationships/hyperlink" Id="rId58" Target="https://doi.org/10.1086/315897" TargetMode="External" /><Relationship Type="http://schemas.openxmlformats.org/officeDocument/2006/relationships/hyperlink" Id="rId56" Target="https://doi.org/10.1093/infdis/jiae457" TargetMode="External" /><Relationship Type="http://schemas.openxmlformats.org/officeDocument/2006/relationships/hyperlink" Id="rId100" Target="https://doi.org/10.1177/0272989X0102100105" TargetMode="External" /><Relationship Type="http://schemas.openxmlformats.org/officeDocument/2006/relationships/hyperlink" Id="rId64" Target="https://doi.org/10.1182/blood-2009-12-257410" TargetMode="External" /><Relationship Type="http://schemas.openxmlformats.org/officeDocument/2006/relationships/hyperlink" Id="rId74" Target="https://doi.org/10.1182/bloodadvances.2022007725" TargetMode="External" /><Relationship Type="http://schemas.openxmlformats.org/officeDocument/2006/relationships/hyperlink" Id="rId84" Target="https://doi.org/10.1186/s12889-016-3366-5" TargetMode="External" /><Relationship Type="http://schemas.openxmlformats.org/officeDocument/2006/relationships/hyperlink" Id="rId70" Target="https://doi.org/10.1186/s12985-024-02612-7" TargetMode="External" /><Relationship Type="http://schemas.openxmlformats.org/officeDocument/2006/relationships/hyperlink" Id="rId86" Target="https://doi.org/10.1186/s40364-025-00747-5" TargetMode="External" /><Relationship Type="http://schemas.openxmlformats.org/officeDocument/2006/relationships/hyperlink" Id="rId76" Target="https://doi.org/10.1371/journal.pgen.1005602" TargetMode="External" /><Relationship Type="http://schemas.openxmlformats.org/officeDocument/2006/relationships/hyperlink" Id="rId44" Target="https://dx.plos.org/10.1371/journal.pntd.0001690" TargetMode="External" /><Relationship Type="http://schemas.openxmlformats.org/officeDocument/2006/relationships/hyperlink" Id="rId48" Target="https://dx.plos.org/10.1371/journal.pntd.0009915" TargetMode="External" /><Relationship Type="http://schemas.openxmlformats.org/officeDocument/2006/relationships/hyperlink" Id="rId94" Target="https://dx.plos.org/10.1371/journal.pone.0225596" TargetMode="External" /><Relationship Type="http://schemas.openxmlformats.org/officeDocument/2006/relationships/hyperlink" Id="rId33" Target="https://github.com/deve105/htlv_paper_2025." TargetMode="External" /><Relationship Type="http://schemas.openxmlformats.org/officeDocument/2006/relationships/hyperlink" Id="rId72" Target="https://haematologica.org/article/view/haematol.2024.285233" TargetMode="External" /><Relationship Type="http://schemas.openxmlformats.org/officeDocument/2006/relationships/hyperlink" Id="rId88" Target="https://link.springer.com/10.1007/s13365-020-00924-2" TargetMode="External" /><Relationship Type="http://schemas.openxmlformats.org/officeDocument/2006/relationships/hyperlink" Id="rId106" Target="https://linkinghub.elsevier.com/retrieve/pii/S1201971220305816" TargetMode="External" /><Relationship Type="http://schemas.openxmlformats.org/officeDocument/2006/relationships/hyperlink" Id="rId60" Target="https://linkinghub.elsevier.com/retrieve/pii/S2211124719311933" TargetMode="External" /><Relationship Type="http://schemas.openxmlformats.org/officeDocument/2006/relationships/hyperlink" Id="rId92" Target="https://onlinelibrary.wiley.com/doi/abs/10.1002/jmv.21675" TargetMode="External" /><Relationship Type="http://schemas.openxmlformats.org/officeDocument/2006/relationships/hyperlink" Id="rId46" Target="https://pmc.ncbi.nlm.nih.gov/articles/PMC6200283/" TargetMode="External" /><Relationship Type="http://schemas.openxmlformats.org/officeDocument/2006/relationships/hyperlink" Id="rId108" Target="https://www.frontiersin.org" TargetMode="External" /><Relationship Type="http://schemas.openxmlformats.org/officeDocument/2006/relationships/hyperlink" Id="rId104" Target="https://www.frontiersin.org/articles/10.3389/fmed.2022.832430/full" TargetMode="External" /><Relationship Type="http://schemas.openxmlformats.org/officeDocument/2006/relationships/hyperlink" Id="rId66" Target="https://www.frontiersin.orghttps://www.frontiersin.org/journals/microbiology/articles/10.3389/fmicb.2016.01674/full" TargetMode="External" /><Relationship Type="http://schemas.openxmlformats.org/officeDocument/2006/relationships/hyperlink" Id="rId80" Target="https://www.nature.com/articles/s41467-021-25101-9" TargetMode="External" /><Relationship Type="http://schemas.openxmlformats.org/officeDocument/2006/relationships/hyperlink" Id="rId52" Target="https://www.ncbi.nlm.nih.gov/pmc/articles/PMC7935801/" TargetMode="External" /><Relationship Type="http://schemas.openxmlformats.org/officeDocument/2006/relationships/hyperlink" Id="rId96" Target="https://www.science.org/doi/10.1126/science.adk0777" TargetMode="External" /><Relationship Type="http://schemas.openxmlformats.org/officeDocument/2006/relationships/hyperlink" Id="rId42" Target="https://www.sciencedirect.com/science/article/pii/S0140673618309747" TargetMode="External" /><Relationship Type="http://schemas.openxmlformats.org/officeDocument/2006/relationships/hyperlink" Id="rId54" Target="https://www.sciencedirect.com/science/article/pii/S0145212617304873" TargetMode="External" /><Relationship Type="http://schemas.openxmlformats.org/officeDocument/2006/relationships/hyperlink" Id="rId40" Target="https://www.sciencedirect.com/science/article/pii/S1473309918307357" TargetMode="External" /><Relationship Type="http://schemas.openxmlformats.org/officeDocument/2006/relationships/hyperlink" Id="rId90" Target="https://www.sciencedirect.com/science/article/pii/S1567134822001344" TargetMode="External" /><Relationship Type="http://schemas.openxmlformats.org/officeDocument/2006/relationships/hyperlink" Id="rId82" Target="https://www.sciencedirect.com/science/article/pii/S187778212500150X" TargetMode="External" /><Relationship Type="http://schemas.openxmlformats.org/officeDocument/2006/relationships/hyperlink" Id="rId62" Target="https://www.sciencedirect.com/science/article/pii/S2152265025001442" TargetMode="External" /><Relationship Type="http://schemas.openxmlformats.org/officeDocument/2006/relationships/hyperlink" Id="rId78" Target="https://www.thelancet.com/journals/lanhae/article/PIIS2352-3026(25)00011-0/abstract" TargetMode="External" /></Relationships>
</file>

<file path=word/_rels/footnotes.xml.rels><?xml version="1.0" encoding="UTF-8"?><Relationships xmlns="http://schemas.openxmlformats.org/package/2006/relationships"><Relationship Type="http://schemas.openxmlformats.org/officeDocument/2006/relationships/hyperlink" Id="rId36" Target="http://dx.doi.org/10.1016/S1473-3099(19)30402-5" TargetMode="External" /><Relationship Type="http://schemas.openxmlformats.org/officeDocument/2006/relationships/hyperlink" Id="rId110" Target="https://academic.oup.com/ve/article/doi/10.1093/ve/veaa053/5876036" TargetMode="External" /><Relationship Type="http://schemas.openxmlformats.org/officeDocument/2006/relationships/hyperlink" Id="rId68" Target="https://ascopubs.org/doi/10.1200/JCO.2015.63.5540" TargetMode="External" /><Relationship Type="http://schemas.openxmlformats.org/officeDocument/2006/relationships/hyperlink" Id="rId34" Target="https://ashpublications.org/blood/article/doi/10.1182/blood.2022019332/494602/HTLV-1-persistence-and-the-oncogenesis-of-adult-T" TargetMode="External" /><Relationship Type="http://schemas.openxmlformats.org/officeDocument/2006/relationships/hyperlink" Id="rId102" Target="https://consensus.app/papers/high-circulating-proviral-load-with-oligoclonal-plumelle-gessain/20e44edecdae5b5badaa4873dec0cea8/" TargetMode="External" /><Relationship Type="http://schemas.openxmlformats.org/officeDocument/2006/relationships/hyperlink" Id="rId38" Target="https://doi.org/10.1016/j.clml.2021.09.017" TargetMode="External" /><Relationship Type="http://schemas.openxmlformats.org/officeDocument/2006/relationships/hyperlink" Id="rId50" Target="https://doi.org/10.1016/j.ijid.2013.10.005" TargetMode="External" /><Relationship Type="http://schemas.openxmlformats.org/officeDocument/2006/relationships/hyperlink" Id="rId98" Target="https://doi.org/10.1016/j.jdermsci.2023.02.001" TargetMode="External" /><Relationship Type="http://schemas.openxmlformats.org/officeDocument/2006/relationships/hyperlink" Id="rId58" Target="https://doi.org/10.1086/315897" TargetMode="External" /><Relationship Type="http://schemas.openxmlformats.org/officeDocument/2006/relationships/hyperlink" Id="rId56" Target="https://doi.org/10.1093/infdis/jiae457" TargetMode="External" /><Relationship Type="http://schemas.openxmlformats.org/officeDocument/2006/relationships/hyperlink" Id="rId100" Target="https://doi.org/10.1177/0272989X0102100105" TargetMode="External" /><Relationship Type="http://schemas.openxmlformats.org/officeDocument/2006/relationships/hyperlink" Id="rId64" Target="https://doi.org/10.1182/blood-2009-12-257410" TargetMode="External" /><Relationship Type="http://schemas.openxmlformats.org/officeDocument/2006/relationships/hyperlink" Id="rId74" Target="https://doi.org/10.1182/bloodadvances.2022007725" TargetMode="External" /><Relationship Type="http://schemas.openxmlformats.org/officeDocument/2006/relationships/hyperlink" Id="rId84" Target="https://doi.org/10.1186/s12889-016-3366-5" TargetMode="External" /><Relationship Type="http://schemas.openxmlformats.org/officeDocument/2006/relationships/hyperlink" Id="rId70" Target="https://doi.org/10.1186/s12985-024-02612-7" TargetMode="External" /><Relationship Type="http://schemas.openxmlformats.org/officeDocument/2006/relationships/hyperlink" Id="rId86" Target="https://doi.org/10.1186/s40364-025-00747-5" TargetMode="External" /><Relationship Type="http://schemas.openxmlformats.org/officeDocument/2006/relationships/hyperlink" Id="rId76" Target="https://doi.org/10.1371/journal.pgen.1005602" TargetMode="External" /><Relationship Type="http://schemas.openxmlformats.org/officeDocument/2006/relationships/hyperlink" Id="rId44" Target="https://dx.plos.org/10.1371/journal.pntd.0001690" TargetMode="External" /><Relationship Type="http://schemas.openxmlformats.org/officeDocument/2006/relationships/hyperlink" Id="rId48" Target="https://dx.plos.org/10.1371/journal.pntd.0009915" TargetMode="External" /><Relationship Type="http://schemas.openxmlformats.org/officeDocument/2006/relationships/hyperlink" Id="rId94" Target="https://dx.plos.org/10.1371/journal.pone.0225596" TargetMode="External" /><Relationship Type="http://schemas.openxmlformats.org/officeDocument/2006/relationships/hyperlink" Id="rId33" Target="https://github.com/deve105/htlv_paper_2025." TargetMode="External" /><Relationship Type="http://schemas.openxmlformats.org/officeDocument/2006/relationships/hyperlink" Id="rId72" Target="https://haematologica.org/article/view/haematol.2024.285233" TargetMode="External" /><Relationship Type="http://schemas.openxmlformats.org/officeDocument/2006/relationships/hyperlink" Id="rId88" Target="https://link.springer.com/10.1007/s13365-020-00924-2" TargetMode="External" /><Relationship Type="http://schemas.openxmlformats.org/officeDocument/2006/relationships/hyperlink" Id="rId106" Target="https://linkinghub.elsevier.com/retrieve/pii/S1201971220305816" TargetMode="External" /><Relationship Type="http://schemas.openxmlformats.org/officeDocument/2006/relationships/hyperlink" Id="rId60" Target="https://linkinghub.elsevier.com/retrieve/pii/S2211124719311933" TargetMode="External" /><Relationship Type="http://schemas.openxmlformats.org/officeDocument/2006/relationships/hyperlink" Id="rId92" Target="https://onlinelibrary.wiley.com/doi/abs/10.1002/jmv.21675" TargetMode="External" /><Relationship Type="http://schemas.openxmlformats.org/officeDocument/2006/relationships/hyperlink" Id="rId46" Target="https://pmc.ncbi.nlm.nih.gov/articles/PMC6200283/" TargetMode="External" /><Relationship Type="http://schemas.openxmlformats.org/officeDocument/2006/relationships/hyperlink" Id="rId108" Target="https://www.frontiersin.org" TargetMode="External" /><Relationship Type="http://schemas.openxmlformats.org/officeDocument/2006/relationships/hyperlink" Id="rId104" Target="https://www.frontiersin.org/articles/10.3389/fmed.2022.832430/full" TargetMode="External" /><Relationship Type="http://schemas.openxmlformats.org/officeDocument/2006/relationships/hyperlink" Id="rId66" Target="https://www.frontiersin.orghttps://www.frontiersin.org/journals/microbiology/articles/10.3389/fmicb.2016.01674/full" TargetMode="External" /><Relationship Type="http://schemas.openxmlformats.org/officeDocument/2006/relationships/hyperlink" Id="rId80" Target="https://www.nature.com/articles/s41467-021-25101-9" TargetMode="External" /><Relationship Type="http://schemas.openxmlformats.org/officeDocument/2006/relationships/hyperlink" Id="rId52" Target="https://www.ncbi.nlm.nih.gov/pmc/articles/PMC7935801/" TargetMode="External" /><Relationship Type="http://schemas.openxmlformats.org/officeDocument/2006/relationships/hyperlink" Id="rId96" Target="https://www.science.org/doi/10.1126/science.adk0777" TargetMode="External" /><Relationship Type="http://schemas.openxmlformats.org/officeDocument/2006/relationships/hyperlink" Id="rId42" Target="https://www.sciencedirect.com/science/article/pii/S0140673618309747" TargetMode="External" /><Relationship Type="http://schemas.openxmlformats.org/officeDocument/2006/relationships/hyperlink" Id="rId54" Target="https://www.sciencedirect.com/science/article/pii/S0145212617304873" TargetMode="External" /><Relationship Type="http://schemas.openxmlformats.org/officeDocument/2006/relationships/hyperlink" Id="rId40" Target="https://www.sciencedirect.com/science/article/pii/S1473309918307357" TargetMode="External" /><Relationship Type="http://schemas.openxmlformats.org/officeDocument/2006/relationships/hyperlink" Id="rId90" Target="https://www.sciencedirect.com/science/article/pii/S1567134822001344" TargetMode="External" /><Relationship Type="http://schemas.openxmlformats.org/officeDocument/2006/relationships/hyperlink" Id="rId82" Target="https://www.sciencedirect.com/science/article/pii/S187778212500150X" TargetMode="External" /><Relationship Type="http://schemas.openxmlformats.org/officeDocument/2006/relationships/hyperlink" Id="rId62" Target="https://www.sciencedirect.com/science/article/pii/S2152265025001442" TargetMode="External" /><Relationship Type="http://schemas.openxmlformats.org/officeDocument/2006/relationships/hyperlink" Id="rId78" Target="https://www.thelancet.com/journals/lanhae/article/PIIS2352-3026(25)00011-0/abstrac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2025-08-24T11:34:30Z</dcterms:created>
  <dcterms:modified xsi:type="dcterms:W3CDTF">2025-08-24T11:34:30Z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vancouver.csl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