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Strongyloides (-)</w:t>
            </w:r>
            \line 
            <w:r>
              <w:rPr>
                <w:rFonts w:ascii="Calibri" w:hAnsi="Calibri"/>
                <w:sz w:val="20"/>
              </w:rPr>
              <w:t xml:space="preserve">N = 29 (43.3%)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Strongyloides (+)</w:t>
            </w:r>
            \line 
            <w:r>
              <w:rPr>
                <w:rFonts w:ascii="Calibri" w:hAnsi="Calibri"/>
                <w:sz w:val="20"/>
              </w:rPr>
              <w:t xml:space="preserve">N = 38 (56.7%)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Total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(38.5, 55.0)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(39.0, 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(39.0, 54.0)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Birthplace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Amazonian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Andean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Coastal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Proviral Load (PVL,%)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13.29 (4.52, 25.40)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20.42 (13.75, 33.78)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19.20 (10.74, 30.66)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(0.10, 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(0.11, 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(0.11, 0.21)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7-year Disease 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Asymptomatic carriers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HAM/TSP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7-year Vital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(15%)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test; Wilcoxon rank sum test; Fisher's exact test; Wilcoxon rank sum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2025-08-24T12:32:17Z</dcterms:created>
  <dcterms:modified xsi:type="dcterms:W3CDTF">2025-08-24T12:32:17Z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