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  \line 
            <w:r>
              <w:rPr>
                <w:rFonts w:ascii="Calibri" w:hAnsi="Calibri"/>
                <w:sz w:val="20"/>
              </w:rPr>
              <w:t xml:space="preserve">N = 64 (100.0%)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Strongyloides (-)</w:t>
            </w:r>
            \line 
            <w:r>
              <w:rPr>
                <w:rFonts w:ascii="Calibri" w:hAnsi="Calibri"/>
                <w:sz w:val="20"/>
              </w:rPr>
              <w:t xml:space="preserve">N = 26 (40.6%)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Strongyloides (+)</w:t>
            </w:r>
            \line 
            <w:r>
              <w:rPr>
                <w:rFonts w:ascii="Calibri" w:hAnsi="Calibri"/>
                <w:sz w:val="20"/>
              </w:rPr>
              <w:t xml:space="preserve">N = 38 (59.4%)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 (56%)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 (68%)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 (49%)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 (44%)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(32%)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 (51%)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Age(years)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 (39, 54)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 (38, 54)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 (39, 54)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Birthplace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Amazonian region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(3.6%)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(6.1%)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Andean region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 (39%)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(35%)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 (42%)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Coastal region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 (57%)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 (65%)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 (52%)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Asymptomatic carriers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 (80%)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 (58%)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 (95%)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ATLL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(4.7%)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(7.7%)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(2.6%)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HAM/TSP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(16%)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 (35%)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(2.6%)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Mortality rate at 5 years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Alive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 (85%)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 (79%)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 (89%)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Death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 (15%)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(21%)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n (%); Median (Q1, Q3)</w:t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  <w:r>
              <w:rPr>
                <w:rFonts w:ascii="Calibri" w:hAnsi="Calibri"/>
                <w:sz w:val="20"/>
              </w:rPr>
              <w:t xml:space="default">Pearson's Chi-squared test; Wilcoxon rank sum test; Fisher's exact test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2025-03-07T16:21:01Z</dcterms:created>
  <dcterms:modified xsi:type="dcterms:W3CDTF">2025-03-07T16:21:01Z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