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X7d75054cffde72ef48c2ca799cb20d1a02839ad"/>
    <w:p>
      <w:pPr>
        <w:pStyle w:val="Heading1"/>
      </w:pPr>
      <w:r>
        <w:t xml:space="preserve">Title: The Viral and Host Genomic Landscape of Human T-cell Leukemia Virus Type I in Peru</w:t>
      </w:r>
    </w:p>
    <w:bookmarkStart w:id="20" w:name="Xc7b5cebace63ef874fc247570eaaac10292bdb6"/>
    <w:p>
      <w:pPr>
        <w:pStyle w:val="Heading4"/>
      </w:pPr>
      <w:r>
        <w:t xml:space="preserve">Keywords:</w:t>
      </w:r>
      <w:r>
        <w:t xml:space="preserve"> </w:t>
      </w:r>
      <w:r>
        <w:t xml:space="preserve">“</w:t>
      </w:r>
      <w:r>
        <w:t xml:space="preserve">Human T-lymphotropic virus 1</w:t>
      </w:r>
      <w:r>
        <w:t xml:space="preserve">”</w:t>
      </w:r>
      <w:r>
        <w:t xml:space="preserve">,</w:t>
      </w:r>
      <w:r>
        <w:t xml:space="preserve"> </w:t>
      </w:r>
      <w:r>
        <w:t xml:space="preserve">“</w:t>
      </w:r>
      <w:r>
        <w:t xml:space="preserve">Leukemia-Lymphoma, Adult T-Cell</w:t>
      </w:r>
      <w:r>
        <w:t xml:space="preserve">”</w:t>
      </w:r>
      <w:r>
        <w:t xml:space="preserve">,</w:t>
      </w:r>
      <w:r>
        <w:t xml:space="preserve"> </w:t>
      </w:r>
      <w:r>
        <w:t xml:space="preserve">“</w:t>
      </w:r>
      <w:r>
        <w:t xml:space="preserve">Clonal Hematopoiesis</w:t>
      </w:r>
      <w:r>
        <w:t xml:space="preserve">”</w:t>
      </w:r>
      <w:r>
        <w:t xml:space="preserve">,</w:t>
      </w:r>
      <w:r>
        <w:t xml:space="preserve"> </w:t>
      </w:r>
      <w:r>
        <w:t xml:space="preserve">“</w:t>
      </w:r>
      <w:r>
        <w:t xml:space="preserve">Health Disparities</w:t>
      </w:r>
      <w:r>
        <w:t xml:space="preserve">”</w:t>
      </w:r>
      <w:r>
        <w:t xml:space="preserve">,</w:t>
      </w:r>
      <w:r>
        <w:t xml:space="preserve"> </w:t>
      </w:r>
      <w:r>
        <w:t xml:space="preserve">“</w:t>
      </w:r>
      <w:r>
        <w:t xml:space="preserve">Neglected Diseases</w:t>
      </w:r>
      <w:r>
        <w:t xml:space="preserve">”</w:t>
      </w:r>
      <w:r>
        <w:t xml:space="preserve">,</w:t>
      </w:r>
      <w:r>
        <w:t xml:space="preserve"> </w:t>
      </w:r>
      <w:r>
        <w:t xml:space="preserve">“</w:t>
      </w:r>
      <w:r>
        <w:t xml:space="preserve">Latin America</w:t>
      </w:r>
      <w:r>
        <w:t xml:space="preserve">”</w:t>
      </w:r>
    </w:p>
    <w:bookmarkEnd w:id="20"/>
    <w:bookmarkStart w:id="21" w:name="abstract"/>
    <w:p>
      <w:pPr>
        <w:pStyle w:val="Heading3"/>
      </w:pPr>
      <w:r>
        <w:t xml:space="preserve">Abstract</w:t>
      </w:r>
    </w:p>
    <w:p>
      <w:pPr>
        <w:pStyle w:val="FirstParagraph"/>
      </w:pPr>
      <w:r>
        <w:rPr>
          <w:b/>
          <w:bCs/>
        </w:rPr>
        <w:t xml:space="preserve">Background:</w:t>
      </w:r>
      <w:r>
        <w:t xml:space="preserve"> </w:t>
      </w:r>
      <w:r>
        <w:t xml:space="preserve">The human T-cell leukemia virus type 1 (HTLV-1) is a neglected oncogenic retrovirus responsible for adult T-cell leukemia/lymphoma (ATLL) and autoimmune diseases that disproportionately affects marginalized populations worldwide. Peru reports the highest global ATLL incidence, yet comprehensive genomic studies remain limited. We aimed to characterize the virological, immunological, and host genetic landscape of HTLV-1 infection to identify population-specific high-risk features.</w:t>
      </w:r>
      <w:r>
        <w:t xml:space="preserve"> </w:t>
      </w:r>
      <w:r>
        <w:rPr>
          <w:b/>
          <w:bCs/>
        </w:rPr>
        <w:t xml:space="preserve">Methods:</w:t>
      </w:r>
      <w:r>
        <w:t xml:space="preserve"> </w:t>
      </w:r>
      <w:r>
        <w:t xml:space="preserve">We conducted a prospective cohort study (2017-2018) of 67 HTLV-1-infected individuals from Lima, Peru, using an integrated high-throughput genomic approach. This included whole-genome HTLV-1 sequencing, targeted ultra-deep sequencing of 280 hematological malignancy-associated genes, high-resolution HLA typing and GATK-based variant calling, and comprehensive clinical follow-up over 7 years. Phylogenomic analyses were performed using maximum likelihood and Bayesian approaches.</w:t>
      </w:r>
      <w:r>
        <w:t xml:space="preserve"> </w:t>
      </w:r>
      <w:r>
        <w:rPr>
          <w:b/>
          <w:bCs/>
        </w:rPr>
        <w:t xml:space="preserve">Results:</w:t>
      </w:r>
      <w:r>
        <w:t xml:space="preserve"> </w:t>
      </w:r>
      <w:r>
        <w:t xml:space="preserve">The cohort exhibited exceptionally high-risk characteristics with median proviral load (PVL) of 19% (IQR: 10.7-30.6%) and 13.4% cumulative mortality over 7 years. Phylogenomic analysis revealed 96.8% of isolates belonged to the Transcontinental subtype, with most clustering in a newly identified Andean-Amazonian subgroup with estimated divergence of 7,409 years before present. Ultra-deep sequencing identified early clonal hematopoiesis with prevalent mutations in cancer-associated genes including KMT2D (55%), NOTCH1 (49%), and TP53 (27%). Mutation burden correlated significantly with proviral load (r = 0.34, p = 0.003), and longitudinal analysis revealed progressive genomic instability with more than two-fold increase in mutations over 3 years (7.25 vs 19.5, p = 0.01). High PVL (&gt;4%) was the only independent predictor of mortality (OR: 1.07; 95% CI: 1.01-1.15; p = 0.033). Contrary to previous reports, Strongyloides coinfection was not associated with disease progression.</w:t>
      </w:r>
      <w:r>
        <w:t xml:space="preserve"> </w:t>
      </w:r>
      <w:r>
        <w:rPr>
          <w:b/>
          <w:bCs/>
        </w:rPr>
        <w:t xml:space="preserve">Conclusions:</w:t>
      </w:r>
      <w:r>
        <w:t xml:space="preserve"> </w:t>
      </w:r>
      <w:r>
        <w:t xml:space="preserve">This first comprehensive genomic characterization of HTLV-1 in South America reveals population-specific viral evolution, reduced HLA diversity, and evidence of early oncogenic transformation events. The exceptionally high proviral loads and unique mutational landscape provide novel insights into HTLV-1 pathogenesis and support the development of population-tailored risk stratification approaches. These findings emphasize the urgent need for expanded genomic surveillance and targeted interventions in underrepresented populations bearing disproportionate HTLV-1 burden.</w:t>
      </w:r>
    </w:p>
    <w:bookmarkEnd w:id="21"/>
    <w:bookmarkStart w:id="22" w:name="introduction"/>
    <w:p>
      <w:pPr>
        <w:pStyle w:val="Heading3"/>
      </w:pPr>
      <w:r>
        <w:t xml:space="preserve">Introduction</w:t>
      </w:r>
    </w:p>
    <w:p>
      <w:pPr>
        <w:pStyle w:val="FirstParagraph"/>
      </w:pPr>
      <w:r>
        <w:t xml:space="preserve">The human T-cell leukemia virus type 1 (HTLV-1) is a neglected oncogenic retrovirus that disproportionately affects marginalized and isolated populations worldwide. Following several decades of chronic infection, HTLV-1 directly causes an aggressive form of T-cell lymphoma (adult T-cell leukemia/lymphoma, ATLL) and several autoimmune disorders, most notably HTLV-1-associated myelopathy/tropical spastic paraparesis (HAM/TSP).</w:t>
      </w:r>
      <w:r>
        <w:t xml:space="preserve"> </w:t>
      </w:r>
      <w:r>
        <w:t xml:space="preserve">(1)</w:t>
      </w:r>
      <w:r>
        <w:t xml:space="preserve"> </w:t>
      </w:r>
      <w:r>
        <w:t xml:space="preserve">Even seemingly asymptomatic carriers (ACs) face significantly elevated mortality risk from indirect complications, independent of malignant transformation.</w:t>
      </w:r>
      <w:r>
        <w:t xml:space="preserve"> </w:t>
      </w:r>
      <w:r>
        <w:t xml:space="preserve">(2)</w:t>
      </w:r>
      <w:r>
        <w:t xml:space="preserve"> </w:t>
      </w:r>
      <w:r>
        <w:t xml:space="preserve">(3)</w:t>
      </w:r>
      <w:r>
        <w:t xml:space="preserve"> </w:t>
      </w:r>
      <w:r>
        <w:t xml:space="preserve">While transmission has been successfully controlled in some developed regions, HTLV-1 remains largely neglected across most of the global south, where it continues to cause substantial morbidity and mortality.</w:t>
      </w:r>
      <w:r>
        <w:t xml:space="preserve"> </w:t>
      </w:r>
      <w:r>
        <w:t xml:space="preserve">(4)</w:t>
      </w:r>
      <w:r>
        <w:t xml:space="preserve"> </w:t>
      </w:r>
      <w:r>
        <w:t xml:space="preserve">(5)</w:t>
      </w:r>
      <w:r>
        <w:t xml:space="preserve"> </w:t>
      </w:r>
      <w:r>
        <w:t xml:space="preserve">The burden is particularly pronounced in rural populations with limited genetic admixture and restricted access to healthcare.</w:t>
      </w:r>
      <w:r>
        <w:t xml:space="preserve"> </w:t>
      </w:r>
      <w:r>
        <w:t xml:space="preserve">(6)</w:t>
      </w:r>
      <w:r>
        <w:t xml:space="preserve"> </w:t>
      </w:r>
      <w:r>
        <w:t xml:space="preserve">(7)</w:t>
      </w:r>
      <w:r>
        <w:t xml:space="preserve"> </w:t>
      </w:r>
      <w:r>
        <w:t xml:space="preserve">(8)</w:t>
      </w:r>
      <w:r>
        <w:t xml:space="preserve"> </w:t>
      </w:r>
      <w:r>
        <w:t xml:space="preserve">(9)</w:t>
      </w:r>
      <w:r>
        <w:t xml:space="preserve"> </w:t>
      </w:r>
      <w:r>
        <w:t xml:space="preserve">Efforts to identify high-risk ACs have been focused on three key determinants: viral, host, and environmental factors. Among viral factors, current HTLV-1 classification systems (e.g., Cosmopolitan [a–d], Japanese, West African) are based on the long terminal repeat (LTR) and</w:t>
      </w:r>
      <w:r>
        <w:t xml:space="preserve"> </w:t>
      </w:r>
      <w:r>
        <w:rPr>
          <w:i/>
          <w:iCs/>
        </w:rPr>
        <w:t xml:space="preserve">env</w:t>
      </w:r>
      <w:r>
        <w:t xml:space="preserve"> </w:t>
      </w:r>
      <w:r>
        <w:t xml:space="preserve">gene diversity, which correlates with geographical distribution but lacks clear associations with clinical outcomes. Functional genomic differences remain controversial, though Tax A (Transcontinental) variants demonstrate trends toward increased HAM/TSP incidence, reduced survival among ATLL cases, and diminished cytotoxic T-lymphocyte activity compared to Tax B (Japanese) variants.</w:t>
      </w:r>
      <w:r>
        <w:t xml:space="preserve"> </w:t>
      </w:r>
      <w:r>
        <w:t xml:space="preserve">(10)</w:t>
      </w:r>
      <w:r>
        <w:t xml:space="preserve"> </w:t>
      </w:r>
      <w:r>
        <w:t xml:space="preserve">(11)</w:t>
      </w:r>
      <w:r>
        <w:t xml:space="preserve"> </w:t>
      </w:r>
      <w:r>
        <w:t xml:space="preserve">(12)</w:t>
      </w:r>
      <w:r>
        <w:t xml:space="preserve"> </w:t>
      </w:r>
      <w:r>
        <w:t xml:space="preserve">(13)</w:t>
      </w:r>
      <w:r>
        <w:t xml:space="preserve"> </w:t>
      </w:r>
      <w:r>
        <w:t xml:space="preserve">Clinically, proviral load (PVL) and oligoclonality index (OCI) represent the most widely adopted viral prognostic biomarkers, while emerging evidence suggests that defective proviruses may facilitate immune evasion during ATLL progression.</w:t>
      </w:r>
      <w:r>
        <w:t xml:space="preserve"> </w:t>
      </w:r>
      <w:r>
        <w:t xml:space="preserve">(14)</w:t>
      </w:r>
      <w:r>
        <w:t xml:space="preserve"> </w:t>
      </w:r>
      <w:r>
        <w:t xml:space="preserve">(15)</w:t>
      </w:r>
      <w:r>
        <w:t xml:space="preserve"> </w:t>
      </w:r>
      <w:r>
        <w:t xml:space="preserve">However, these findings have been predominantly validated in Japanese populations, limiting their broader applicability. Host genetic factors appear central to determining why only a small proportion (less than 10%) of ACs eventually develop ATLL or HAM/TSP. Early epidemiological observations—including familial clustering and disproportionate disease prevalence in specific ethnic populations—strongly implicate genetic susceptibility factors.</w:t>
      </w:r>
      <w:r>
        <w:t xml:space="preserve"> </w:t>
      </w:r>
      <w:r>
        <w:t xml:space="preserve">(16)</w:t>
      </w:r>
      <w:r>
        <w:t xml:space="preserve"> </w:t>
      </w:r>
      <w:r>
        <w:t xml:space="preserve">(17)</w:t>
      </w:r>
      <w:r>
        <w:t xml:space="preserve"> </w:t>
      </w:r>
      <w:r>
        <w:t xml:space="preserve">(18)</w:t>
      </w:r>
      <w:r>
        <w:t xml:space="preserve"> </w:t>
      </w:r>
      <w:r>
        <w:t xml:space="preserve">Supporting this hypothesis, a recent meta-analysis identified specific human leukocyte antigen (HLA) alleles associated with either protection against HTLV-1 infection or modulation of disease progression.</w:t>
      </w:r>
      <w:r>
        <w:t xml:space="preserve"> </w:t>
      </w:r>
      <w:r>
        <w:t xml:space="preserve">(19)</w:t>
      </w:r>
      <w:r>
        <w:t xml:space="preserve"> </w:t>
      </w:r>
      <w:r>
        <w:t xml:space="preserve">Furthermore, genomic and transcriptomic studies have revealed distinct age- and population-specific differences between Western and Japanese cohorts, highlighting how host-pathogen interactions and genetic background influence HTLV-1-related disease susceptibility and severity.</w:t>
      </w:r>
      <w:r>
        <w:t xml:space="preserve"> </w:t>
      </w:r>
      <w:r>
        <w:t xml:space="preserve">(20)</w:t>
      </w:r>
      <w:r>
        <w:t xml:space="preserve"> </w:t>
      </w:r>
      <w:r>
        <w:t xml:space="preserve">(21)</w:t>
      </w:r>
      <w:r>
        <w:t xml:space="preserve"> </w:t>
      </w:r>
      <w:r>
        <w:t xml:space="preserve">Environmental factors, particularly Strongyloides coinfection, have also been linked to ATLL progression, though the underlying mechanisms remain poorly understood. In that sense, South America (SA) exhibits high prevalence rates for both HTLV-1 and Strongyloides infection. Specifically, Peru represents a population of particular scientific interest since it reported the highest ATLL incidence globally and the largest proportion of Indigenous ancestry in the South American region.</w:t>
      </w:r>
      <w:r>
        <w:t xml:space="preserve"> </w:t>
      </w:r>
      <w:r>
        <w:t xml:space="preserve">(22)</w:t>
      </w:r>
      <w:r>
        <w:t xml:space="preserve"> </w:t>
      </w:r>
      <w:r>
        <w:t xml:space="preserve">(23)</w:t>
      </w:r>
      <w:r>
        <w:t xml:space="preserve"> </w:t>
      </w:r>
      <w:r>
        <w:t xml:space="preserve">Despite this epidemiological significance, comprehensive genomic studies of HTLV-1-infected individuals in Peru remain limited. In consequence, we aimed to characterize the virological, immunological, and host genetic landscape of HTLV-1 infection using an integrated high-throughput genomic approach in a well-characterized Peruvian cohort, with the purpose of identifying high-risk features and advancing our understanding of HTLV-1 pathogenesis in underrepresented populations.</w:t>
      </w:r>
    </w:p>
    <w:bookmarkEnd w:id="22"/>
    <w:bookmarkStart w:id="28" w:name="methods"/>
    <w:p>
      <w:pPr>
        <w:pStyle w:val="Heading2"/>
      </w:pPr>
      <w:r>
        <w:t xml:space="preserve">Methods</w:t>
      </w:r>
    </w:p>
    <w:bookmarkStart w:id="23" w:name="X435ea2f7b2f21747f74fa58e91214d3fb92e03e"/>
    <w:p>
      <w:pPr>
        <w:pStyle w:val="Heading3"/>
      </w:pPr>
      <w:r>
        <w:t xml:space="preserve">Population study, HTLV-1 confirmation and PVL measurement</w:t>
      </w:r>
    </w:p>
    <w:p>
      <w:pPr>
        <w:pStyle w:val="FirstParagraph"/>
      </w:pPr>
      <w:r>
        <w:t xml:space="preserve">After informed consent was obtained, blood samples were collected from participants in the prospective HTLV-1 cohort at Instituto de Medicina Tropical Alexander von Humboldt (Universidad Peruana Cayetano Heredia, Lima, Peru) between 2017-2018. The study was approved by the ethics committees of Universidad Peruana Cayetano Heredia, Miyazaki University, and Kagoshima University. All participants had previously been screened for HTLV-1 and confirmed positive by enzyme-linked immunosorbent assay (ELISA), Western-blot, and PCR-based testing at Universidad Peruana Cayetano Heredia. DNA was extracted from peripheral blood mononuclear cells (PBMCs) using the Ficoll gradient technique (Genomic DNA Isolation Kit, Norgen Biotek Corp., Thorold, ON, Canada). DNA purity was assessed using the Qubit dsDNA HS Assay Kit (Thermo Fisher Scientific, Waltham, MA, USA)</w:t>
      </w:r>
    </w:p>
    <w:p>
      <w:pPr>
        <w:pStyle w:val="BodyText"/>
      </w:pPr>
      <w:r>
        <w:t xml:space="preserve">HTLV-1 PVL was quantified using real-time quantitative PCR (qPCR) targeting the HTLV-1</w:t>
      </w:r>
      <w:r>
        <w:t xml:space="preserve"> </w:t>
      </w:r>
      <w:r>
        <w:rPr>
          <w:i/>
          <w:iCs/>
        </w:rPr>
        <w:t xml:space="preserve">pX</w:t>
      </w:r>
      <w:r>
        <w:t xml:space="preserve"> </w:t>
      </w:r>
      <w:r>
        <w:t xml:space="preserve">gene and</w:t>
      </w:r>
      <w:r>
        <w:t xml:space="preserve"> </w:t>
      </w:r>
      <w:r>
        <w:rPr>
          <w:i/>
          <w:iCs/>
        </w:rPr>
        <w:t xml:space="preserve">β-globin</w:t>
      </w:r>
      <w:r>
        <w:t xml:space="preserve"> </w:t>
      </w:r>
      <w:r>
        <w:t xml:space="preserve">gene as an internal control. The</w:t>
      </w:r>
      <w:r>
        <w:t xml:space="preserve"> </w:t>
      </w:r>
      <w:r>
        <w:rPr>
          <w:i/>
          <w:iCs/>
        </w:rPr>
        <w:t xml:space="preserve">pX</w:t>
      </w:r>
      <w:r>
        <w:t xml:space="preserve"> </w:t>
      </w:r>
      <w:r>
        <w:t xml:space="preserve">primers were: forward 5’-GGGATTACCGGCTCCATGTC-3’ and reverse 5’-TCAAGGCCTCGTCTGTTCTG-3’, amplifying an 80 base-pair product. The</w:t>
      </w:r>
      <w:r>
        <w:t xml:space="preserve"> </w:t>
      </w:r>
      <w:r>
        <w:rPr>
          <w:i/>
          <w:iCs/>
        </w:rPr>
        <w:t xml:space="preserve">β-globin</w:t>
      </w:r>
      <w:r>
        <w:t xml:space="preserve"> </w:t>
      </w:r>
      <w:r>
        <w:t xml:space="preserve">primers were: forward 5’-GCAAGGTGAACGTGGATG-3’ and reverse 5’-TAAGGGTGGGAAAATAGACC-3’. The qPCR reactions were performed using the Applied Biosystems StepOnePlus™ Real-Time PCR System with THUNDERBIRD® SYBR® qPCR Mix (201-T, TOYOBO). The thermal cycling conditions included initial pre-denaturation at 95°C for 60 seconds, followed by 30 cycles of denaturation at 95°C for 15 seconds, annealing at 59°C for 15 seconds, and extension at 72°C for 45 seconds. Each sample was analyzed in triplicate, and standard curves were generated using serial dilutions of high-quality DNA extracted from the MT-2 cell lines. The HTLV-1 proviral load was calculated as:</w:t>
      </w:r>
      <w:r>
        <w:t xml:space="preserve"> </w:t>
      </w:r>
      <w:r>
        <w:rPr>
          <w:b/>
          <w:bCs/>
        </w:rPr>
        <w:t xml:space="preserve">PVL (%) = [(HTLV-1 copy number) / (β-globin copy number)] × 2 × 100.</w:t>
      </w:r>
      <w:r>
        <w:t xml:space="preserve"> </w:t>
      </w:r>
      <w:r>
        <w:t xml:space="preserve">The calculation assumes diploid human genome (2 copies of β-globin per cell) and uses MT-2 cells containing 8 integrated HTLV-1 proviral copies as the reference standard for quantification. Results were expressed as the percentage of HTLV-1 proviral copies per 100 PBMCs. Samples with coefficient of variation &gt;15% between triplicates were repeated. The detection limit was established at 0.001% based on the lowest dilution of positive controls showing consistent amplification.</w:t>
      </w:r>
    </w:p>
    <w:bookmarkEnd w:id="23"/>
    <w:bookmarkStart w:id="24" w:name="X775128af412ab27a94c2570b490fb203ba3902f"/>
    <w:p>
      <w:pPr>
        <w:pStyle w:val="Heading3"/>
      </w:pPr>
      <w:r>
        <w:t xml:space="preserve">Next-Generation Sequencing and Human Targeted Sequencing</w:t>
      </w:r>
    </w:p>
    <w:p>
      <w:pPr>
        <w:pStyle w:val="FirstParagraph"/>
      </w:pPr>
      <w:r>
        <w:t xml:space="preserve">Next-Generation Sequencing (NGS) Library preparation was performed using the SureSelect XT HS Kit (Agilent Technologies, Santa Clara CA, USA) following the manufacturer’s protocol. Target sequencing for 280 human genes and HTLV-1 genome was performed as previously described (panel-based ultra-deep sequencing).</w:t>
      </w:r>
      <w:r>
        <w:t xml:space="preserve"> </w:t>
      </w:r>
      <w:r>
        <w:t xml:space="preserve">(24)</w:t>
      </w:r>
      <w:r>
        <w:t xml:space="preserve"> </w:t>
      </w:r>
      <w:r>
        <w:t xml:space="preserve">Sequencing was conducted on Illumina Hiseq3000 sequencer with 100base-pair paired-end reads. Raw reads were first analyzed for quality and adapter removal using FastQC, Fastp, and multiQC. The sequenced data were aligned to the human reference genome hg38 plus HTLV-1 (J02029.1) as an additional chromosome, using BWA-MEM2 in a customized bash script available in the paper’s repository. The clonality of HTLV-1-infected cells was assessed using previously established methods, including the calculation of the oligoclonality index (OCI) based on Gini’s index. The OCI was derived from consistently chimeric well-paired reads and compared across multiple algorithms, including Virusbreakend, Isling, and Viruscan.</w:t>
      </w:r>
      <w:r>
        <w:t xml:space="preserve"> </w:t>
      </w:r>
      <w:r>
        <w:t xml:space="preserve">(25)</w:t>
      </w:r>
    </w:p>
    <w:p>
      <w:pPr>
        <w:pStyle w:val="BodyText"/>
      </w:pPr>
      <w:r>
        <w:t xml:space="preserve">Post-alignment processing was performed following the GATK best practices pipeline, including marking or removing duplicates with Picard, and base quality recalibration. Variant calling was conducted using GATK’s Mutect2, followed by annotation with Funcotator, leveraging standard databases such as dbSNP, HUGO, and COSMIC for functional interpretation. A pool of normals (PON) derived from the 1000 Genomes Project was used to filter out germline variants and sequencing artifacts, ensuring high specificity for somatic mutation detection. Candidate mutations were filtered based on the following criteria: 1) at least 5 consistent paired reads supporting the variant, 2) a variant allele frequency (VAF) ≥ 0.01, and 3) a minimum read depth of 200. This rigorous filtering approach ensures the identification of high-confidence somatic mutations while minimizing false positives. Quality control of the filtered variants was evaluated using IVG.</w:t>
      </w:r>
    </w:p>
    <w:bookmarkEnd w:id="24"/>
    <w:bookmarkStart w:id="25" w:name="Xa41955d69ca46d83aba1861d4657b8b91a260f9"/>
    <w:p>
      <w:pPr>
        <w:pStyle w:val="Heading3"/>
      </w:pPr>
      <w:r>
        <w:t xml:space="preserve">HTLV-1 Genome Sequencing and Phylogenetic Analysis</w:t>
      </w:r>
    </w:p>
    <w:p>
      <w:pPr>
        <w:pStyle w:val="FirstParagraph"/>
      </w:pPr>
      <w:r>
        <w:t xml:space="preserve">Consensus HTLV-1 sequences were generated using a standardized bioinformatics pipeline. Raw sequencing reads were quality-filtered and mapped to the HTLV-1 reference genome (J02029.1) using BWA-MEM2. Post-mapping processing was performed using Samtools with stringent quality parameters (minimum base quality 20, frequency threshold 0.8), followed by consensus sequence generation using IVAR. Quality control measures included removal of low-quality sequences, PCR duplicates, and sequences with &lt;60% pairwise identity to the reference genome. Four samples (IRID011, IRID038, IRID040, IRID067) were excluded due to insufficient sequence quality or coverage (&lt;6,000 bp after trimming). A comprehensive reference dataset of curated HTLV-1 complete genomes was retrieved from NCBI GenBank (accessed January 2024), including sequences from global collections representing major geographical regions and subtypes. All sequences were trimmed to remove variable terminal regions (22 nucleotides from 5’LTR and 13 nucleotides from 3’LTR) to ensure consistent alignment boundaries. Multiple sequence alignment (MSA) was performed using MAFFT v7.4 with the L-INS-i algorithm, optimized for sequences with conserved domains and local homology. Alignment quality was assessed through visual inspection and automated gap analysis, with sequences showing &lt;60% pairwise identity excluded from downstream analyses. Optimal evolutionary models were selected using ModelFinder implemented in IQ-TREE, with PartitionFinder used to determine the best-fitting three-partition scheme (LTR + env + whole genome) based on Akaike Information Criterion (AIC) and Bayesian Information Criterion (BIC). Maximum likelihood (ML) phylogenetic reconstruction was performed using RAxML-NG with 5,000 bootstrap replicates to assess node support. Convergence was verified through multiple independent runs and examination of likelihood scores. Cluster analysis and genetic diversity patterns were explored using multiple complementary approaches: ML phylogenetics, Bayesian inference, Discriminant Analysis of Principal Components (DAPC), and k-means clustering. Bayesian phylodynamic and phylogeographic analyses were conducted using BEAST v2.7 to estimate divergence times and ancestral geographic states. For tree visualization and comparison, identical sequences were collapsed to reduce computational burden while maintaining phylogenetic signal.</w:t>
      </w:r>
    </w:p>
    <w:bookmarkEnd w:id="25"/>
    <w:bookmarkStart w:id="26" w:name="recombination-analyses"/>
    <w:p>
      <w:pPr>
        <w:pStyle w:val="Heading3"/>
      </w:pPr>
      <w:r>
        <w:t xml:space="preserve">Recombination analyses</w:t>
      </w:r>
    </w:p>
    <w:p>
      <w:pPr>
        <w:pStyle w:val="FirstParagraph"/>
      </w:pPr>
      <w:r>
        <w:t xml:space="preserve">Recombination events were systematically evaluated using a multi-step approach to ensure robust detection and minimize false positives. Initial screening was performed using the phi-test for overall recombination signal detection, followed by comprehensive exploratory analysis using seven independent algorithms implemented in RDP4.5: RDP, GENECONV, Bootscan, MaxChi, SisCan, 3Seq, and LARD. Each method employs distinct statistical approaches to identify potential recombination breakpoints and assess significance. Potential recombination events were considered significant when detected by at least four independent methods with Bonferroni-corrected p-values ≤ 0.05. This conservative threshold was chosen to minimize false positives while maintaining sensitivity for genuine recombination events. Sequences showing evidence of recombination were subsequently analyzed using the Genetic Algorithm for Recombination Detection (GARD) implemented in HyPhy to confirm breakpoint locations and assess statistical support. Following recombination confirmation, affected sequences were excluded from downstream phylogenetic analyses to prevent artifacts in tree topology and divergence time estimation. The final dataset comprised only sequences without evidence of recombination, ensuring phylogenetic signal integrity for subsequent molecular evolutionary analyses. Quality control measures included visual inspection of recombination plots, assessment of breakpoint confidence intervals, and evaluation of phylogenetic incongruence patterns. All recombination analysis parameters and results are documented in Supplementary Table X, with detailed breakpoint coordinates and supporting statistics provided for transparency and reproducibility.</w:t>
      </w:r>
    </w:p>
    <w:bookmarkEnd w:id="26"/>
    <w:bookmarkStart w:id="27" w:name="hla-analysis"/>
    <w:p>
      <w:pPr>
        <w:pStyle w:val="Heading3"/>
      </w:pPr>
      <w:r>
        <w:t xml:space="preserve">HLA Analysis</w:t>
      </w:r>
    </w:p>
    <w:p>
      <w:pPr>
        <w:pStyle w:val="FirstParagraph"/>
      </w:pPr>
      <w:r>
        <w:t xml:space="preserve">Following reads extraction from the chromosome 6, coverage and quality score analyses were performed for all HLA regions. High-resolution HLA typing was carried out using OptiType (2-field resolution for HLA-I) and HLA-LA (3-field resolution for HLA-I/II). Allotypes failing quality thresholds (score &lt;0.8 or average coverage &lt;20) were discarded. Results from both bioinformatics tools were pairwise compared, and, considering the low average coverage for HLA-II, only HLA-I was considered for further analysis. The concordances and Cohen’s Kappa between HLA-LA and Optitype were 93%, 85%, and 100% for HLA-A, HLA-B, and HLA-C, respectively. The HLA-LA pipeline was selected for further analyses. Hardy-Weinberg Equilibrium (HWE) was tested for each locus using the exact test implemented on the pegas package with 1000 replicates with a significance threshold of α=0.05. Pairwise F</w:t>
      </w:r>
      <w:r>
        <w:t xml:space="preserve">ST</w:t>
      </w:r>
      <w:r>
        <w:t xml:space="preserve"> </w:t>
      </w:r>
      <w:r>
        <w:t xml:space="preserve">was estimated using Weir &amp; Cockerham’s method with 10,000 bootstrap replicates implemented on the package hierfstat. Significant differentiation was inferred when 95% CIs excluded zero. HLA class I allele frequencies were calculated after reduction to 2-field resolution using the</w:t>
      </w:r>
      <w:r>
        <w:t xml:space="preserve"> </w:t>
      </w:r>
      <w:r>
        <w:rPr>
          <w:i/>
          <w:iCs/>
        </w:rPr>
        <w:t xml:space="preserve">reduceHlaCalls</w:t>
      </w:r>
      <w:r>
        <w:t xml:space="preserve"> </w:t>
      </w:r>
      <w:r>
        <w:t xml:space="preserve">function from the package midasHLA. Frequencies for the Peruvian population were obtained using the function</w:t>
      </w:r>
      <w:r>
        <w:t xml:space="preserve"> </w:t>
      </w:r>
      <w:r>
        <w:rPr>
          <w:i/>
          <w:iCs/>
        </w:rPr>
        <w:t xml:space="preserve">getHlaFrequencies</w:t>
      </w:r>
      <w:r>
        <w:t xml:space="preserve"> </w:t>
      </w:r>
      <w:r>
        <w:t xml:space="preserve">and compared to the USA National Marrow Donor Program (NMDP) populations that were retrieved from Allele Frequency Net Database (http://www.allelefrequencies.net/). The HLA-I associations analyses at allele and aminoacid levels were performed using the dominant inheritance genetic model, Bonferrini correction, and filtering for at least 10% frequency of HLA alleles. The event of interest for association studies was confirmed mortality. The HLA-I associations analyses were explored in Rstudio using the package midasHLA. Evolutionary divergence of the HLA-I genes (HED) was evaluated using the Grantham distance at HLA-A, HLA-B, and HLA-C. Grantham distance takes into account composition, polarity, and volume. HED was calculated using a custom Python script.</w:t>
      </w:r>
    </w:p>
    <w:bookmarkEnd w:id="27"/>
    <w:bookmarkEnd w:id="28"/>
    <w:bookmarkStart w:id="33" w:name="results"/>
    <w:p>
      <w:pPr>
        <w:pStyle w:val="Heading2"/>
      </w:pPr>
      <w:r>
        <w:t xml:space="preserve">Results</w:t>
      </w:r>
    </w:p>
    <w:bookmarkStart w:id="29" w:name="X69ab17cb9488389e0eca6d65cc5caef94d71513"/>
    <w:p>
      <w:pPr>
        <w:pStyle w:val="Heading3"/>
      </w:pPr>
      <w:r>
        <w:t xml:space="preserve">1. Clinical and epidemiological features of the Peruvian HTLV-1 cohort</w:t>
      </w:r>
    </w:p>
    <w:p>
      <w:pPr>
        <w:pStyle w:val="FirstParagraph"/>
      </w:pPr>
      <w:r>
        <w:t xml:space="preserve">A total of 67 patients with confirmed HTLV-1 infection were enrolled in the study, including 10 HAM/TSP patients and 57 ACs. Detailed demographic and epidemiological characteristics are presented in</w:t>
      </w:r>
      <w:r>
        <w:t xml:space="preserve"> </w:t>
      </w:r>
      <w:r>
        <w:rPr>
          <w:b/>
          <w:bCs/>
        </w:rPr>
        <w:t xml:space="preserve">Table 1</w:t>
      </w:r>
      <w:r>
        <w:t xml:space="preserve">. The overall lifetime </w:t>
      </w:r>
      <w:r>
        <w:rPr>
          <w:i/>
          <w:iCs/>
        </w:rPr>
        <w:t xml:space="preserve">Strongyloides</w:t>
      </w:r>
      <w:r>
        <w:t xml:space="preserve"> infection (LSI) rate was 56.7%, with a higher prevalence among males. Over the 7-year follow-up, the progression rate to ATL was 5.3% (2 in ACs cases, and 1 in HAM/TSP cases). No association was observed between LSI and ATLL development or mortality. Interestingly, HAM/TSP patients had a lower frequency of LSI compared to ACs. The proviral load (PVL) in this cohort was high, with a median of 4.5 ± 3.8, indicating that it represents a high-risk carrier population (15). Furthermore, the PVL was higher in the LSI group (5%) compared to the non-LSI group (3.3%), but this difference did not reach statistical significance. Notably, high-risk HTLV-1 infection (PVL &gt; 4%) was observed to be more frequent in the LSI group than in the non-LSI group (68 vs. 48%, respectively). Generalized linear models, including both beta regression and robust regression, were applied to evaluate predictors of PVL. Neither demographic (age, sex, birthplace) nor LSI were significantly associated with higher PVL in either model (all p &gt; 0.05,</w:t>
      </w:r>
      <w:r>
        <w:t xml:space="preserve"> </w:t>
      </w:r>
      <w:r>
        <w:rPr>
          <w:b/>
          <w:bCs/>
        </w:rPr>
        <w:t xml:space="preserve">Supplementary Table 1</w:t>
      </w:r>
      <w:r>
        <w:t xml:space="preserve">). Strikingly, the 7-year cumulative mortality risk was 13.4%, (95% CI: 6.3%–24.0%), with additional 12% of patients lost to follow-up during the COVID-19 pandemic. In a multivariable regression model adjusted for age, sex, PVL, and Strongyloides status, PVL was the only independent factor significantly associated with increased mortality (OR: 1.07; 95% CI: 1.03-1.79; p = 0.047,</w:t>
      </w:r>
      <w:r>
        <w:t xml:space="preserve"> </w:t>
      </w:r>
      <w:r>
        <w:rPr>
          <w:b/>
          <w:bCs/>
        </w:rPr>
        <w:t xml:space="preserve">Supplementary Table 2</w:t>
      </w:r>
      <w:r>
        <w:t xml:space="preserve">).</w:t>
      </w:r>
    </w:p>
    <w:bookmarkEnd w:id="29"/>
    <w:bookmarkStart w:id="30" w:name="X10cbb3bb4a26969f49f07cb03c8026eee3c24b4"/>
    <w:p>
      <w:pPr>
        <w:pStyle w:val="Heading3"/>
      </w:pPr>
      <w:r>
        <w:t xml:space="preserve">2. HTLV-1 genomics and phylogenomics features</w:t>
      </w:r>
    </w:p>
    <w:p>
      <w:pPr>
        <w:pStyle w:val="FirstParagraph"/>
      </w:pPr>
      <w:r>
        <w:t xml:space="preserve">A total of 71 DNA samples—corresponding to 67 patients were analyzed (including 4 patients with time serial samples). The median HTLV-1 genome coverage in the Peruvian cohort was 158x (IQR: 23-218); (</w:t>
      </w:r>
      <w:r>
        <w:rPr>
          <w:b/>
          <w:bCs/>
        </w:rPr>
        <w:t xml:space="preserve">Supplementary Figure 1A</w:t>
      </w:r>
      <w:r>
        <w:t xml:space="preserve">). After excluding 4 samples with less than 5x coverage for HTLV-1 genome that coincidentally had less or equal than 0.25% of PVL, 63 cases were included in the final dataset (</w:t>
      </w:r>
      <w:r>
        <w:rPr>
          <w:b/>
          <w:bCs/>
        </w:rPr>
        <w:t xml:space="preserve">Supplementary Figure 1B</w:t>
      </w:r>
      <w:r>
        <w:t xml:space="preserve">). Among them, 3 cases (4.8%) harbored type II defective viruses (5’LTR-deleted; </w:t>
      </w:r>
      <w:r>
        <w:rPr>
          <w:b/>
          <w:bCs/>
        </w:rPr>
        <w:t xml:space="preserve">Figure 1A</w:t>
      </w:r>
      <w:r>
        <w:t xml:space="preserve">). Notably, two of these cases developed ATLL and died eventually, while the third case died without apparent transformation during the COVID-19 pandemic. No type I defective viruses were detected in this cohort. The mean oligoclonality index (OCI) for the entire cohort was 0.21 (95% CI: 0.17–0.26), and exhibited a low but significant correlation with PVL (</w:t>
      </w:r>
      <w:r>
        <w:rPr>
          <w:b/>
          <w:bCs/>
        </w:rPr>
        <w:t xml:space="preserve">Figure 1B</w:t>
      </w:r>
      <w:r>
        <w:t xml:space="preserve">). No significant differences in OCI were observed regarding Strongyloides status.</w:t>
      </w:r>
    </w:p>
    <w:p>
      <w:pPr>
        <w:pStyle w:val="BodyText"/>
      </w:pPr>
      <w:r>
        <w:t xml:space="preserve">In the viral genomic analyses, 63 complete HTLV-1 genomes from Peru and 320 curated HTLV-1 genomes retrieved from NCBI were included (112 Brazilian, 1 Chilean, and 207 from other regions,</w:t>
      </w:r>
      <w:r>
        <w:t xml:space="preserve"> </w:t>
      </w:r>
      <w:r>
        <w:rPr>
          <w:b/>
          <w:bCs/>
        </w:rPr>
        <w:t xml:space="preserve">Supplementary Figure 2</w:t>
      </w:r>
      <w:r>
        <w:t xml:space="preserve">). After recombination screening using RDP4, SimPlot, and Bootscan, three sequences showed consistent recombination signals in at least three algorithms (KF797883, KY007245, KY007246, all of Brazilian origin) and were excluded from further phylogenetic analysis (</w:t>
      </w:r>
      <w:r>
        <w:rPr>
          <w:b/>
          <w:bCs/>
        </w:rPr>
        <w:t xml:space="preserve">Supplementary Table 3</w:t>
      </w:r>
      <w:r>
        <w:t xml:space="preserve">). Traditional genomic classification of the 63 Peruvian HTLV-1 isolates revealed that 61 (96.8%) belonged to the Cosmopolitan/Transcontinental (1a) subtype, while 2 (3.2%) were classified as African subtype (previously denominated as Black Peruvian) (</w:t>
      </w:r>
      <w:r>
        <w:rPr>
          <w:b/>
          <w:bCs/>
        </w:rPr>
        <w:t xml:space="preserve">Figure 1C</w:t>
      </w:r>
      <w:r>
        <w:t xml:space="preserve">). Both African subtype cases originated from the coastal region of Peru, were of mestizo ethnicity, and one individual presented with HAM/TSP. The Andean-Amazonian (AA) subgroup was consistently identified as a distinct and well-defined clade within the Transcontinental cluster using unsupervised clustering algorithms (</w:t>
      </w:r>
      <w:r>
        <w:rPr>
          <w:b/>
          <w:bCs/>
        </w:rPr>
        <w:t xml:space="preserve">Figure 1D-E</w:t>
      </w:r>
      <w:r>
        <w:t xml:space="preserve">). The maximum likelihood consensus tree is presented in</w:t>
      </w:r>
      <w:r>
        <w:t xml:space="preserve"> </w:t>
      </w:r>
      <w:r>
        <w:rPr>
          <w:b/>
          <w:bCs/>
        </w:rPr>
        <w:t xml:space="preserve">Figure 2</w:t>
      </w:r>
      <w:r>
        <w:t xml:space="preserve">. The majority of South American samples clustered within the Transcontinental (subtype 1a) clade, primarily in the AA subgroup. However, 6 Peruvian cases (9.5%) fell outside the Andean-Amazonian subgroup, clustering instead with samples of worldwide origin, including isolates from Native Americans in Canada, Brazil, and Iran. A minority of Brazilian sequences (3.6%) clustered within the Japanese clade, potentially related to Japanese-descendant cases. One Peruvian sample (IRID034) showed direct phylogenetic relationship to the common Transcontinental ancestor, while two Peruvian isolates (IRID003 and IRID074) clustered separately from the Cosmopolitan subtype, showing closer genetic proximity to African subtypes. Under the prior assumption of African origin (early 1600s) for these two samples outside the Transcontinental clade, the structured coalescent analysis revealed an ancient origin of the South American clade, with a divergence time estimation of 7,409 (95% CI: 5,064-9,020) years before present (</w:t>
      </w:r>
      <w:r>
        <w:rPr>
          <w:b/>
          <w:bCs/>
        </w:rPr>
        <w:t xml:space="preserve">Supplementary Figure 3</w:t>
      </w:r>
      <w:r>
        <w:t xml:space="preserve">). In this cohorts, most HTLV-1-related complications were observed in sequences from Transcontinental subtype viruses, with few HAM/TSP cases observed within the Japanese clade among publicly available complete HTLV-1 genomes.</w:t>
      </w:r>
    </w:p>
    <w:bookmarkEnd w:id="30"/>
    <w:bookmarkStart w:id="31" w:name="X965493fd10d0e159533a4e09a1632849c0b0b65"/>
    <w:p>
      <w:pPr>
        <w:pStyle w:val="Heading3"/>
      </w:pPr>
      <w:r>
        <w:t xml:space="preserve">3. HLA-I diversity in the Peruvian HTLV-1 cohort</w:t>
      </w:r>
    </w:p>
    <w:p>
      <w:pPr>
        <w:pStyle w:val="FirstParagraph"/>
      </w:pPr>
      <w:r>
        <w:t xml:space="preserve">The Peruvian HTLV-1 cohort exhibited a unique HLA-I allele distribution, with A*02:01 being the most frequent allele at the HLA-A locus (45%), followed by A*24:02 (16%) and A*68:01 (7%). The HLA-B locus showed similar frequencies for B*35:01, B*35:05, and B*48:01 (10%, 11%, and 10% respectively). The HLA-C locus was dominated by C*04:01 (27%), followed by C*01:02 (19%) and C*07:02 (14%) (</w:t>
      </w:r>
      <w:r>
        <w:rPr>
          <w:b/>
          <w:bCs/>
        </w:rPr>
        <w:t xml:space="preserve">Figure 3A</w:t>
      </w:r>
      <w:r>
        <w:t xml:space="preserve">). Notably, only one case exhibited potential loss of HLA heterogeinity (1.5%, IRID006), and coincidentally carried a HTLV-1 defective virus (5’-deletion). We performed HLA association analyses for mortality risk using a dominant inheritance model in the Peruvian cohort. The A03 supertype showed a trend toward higher mortality risk (OR: 5.73, 95% CI:1.34-29.96, p-value:0.02), while A02 supertype appeared protective (OR: 0.20, 95% CI: 0.04-0.95, p-value:0.04), though neither reached significance after correction (</w:t>
      </w:r>
      <w:r>
        <w:rPr>
          <w:b/>
          <w:bCs/>
        </w:rPr>
        <w:t xml:space="preserve">Supplementary Table 4</w:t>
      </w:r>
      <w:r>
        <w:t xml:space="preserve">). At allele nucleotide level, no significant associations were detected. At the amino acid level, several positions—mainly in HLA-A and HLA-C—showed signals, but none remained significant after Bonferroni correction (Supplementary Table 4). In addition, no associations were observed for HLA-I heterozygosity or HLA-NK ligands. In evolutionary terms, HLA-B locus divergence was associated with mortality risk, but this did not withstand multiple testing correction (Supplementary Table 4). Finally, we aimed to explore HLA-I evolutionary divergence (HLA-HED) regarding Strongyloides status (LSI vs. non-LSI) in the Peruvian HTLV-1 cohort, however, no significant differences were found in HLA-HED diversity (</w:t>
      </w:r>
      <w:r>
        <w:rPr>
          <w:b/>
          <w:bCs/>
        </w:rPr>
        <w:t xml:space="preserve">Supplementary Figure 3</w:t>
      </w:r>
      <w:r>
        <w:t xml:space="preserve">).</w:t>
      </w:r>
    </w:p>
    <w:bookmarkEnd w:id="31"/>
    <w:bookmarkStart w:id="32" w:name="X4e3deb48fb8954e3d16d43c1de6823d36fe8429"/>
    <w:p>
      <w:pPr>
        <w:pStyle w:val="Heading3"/>
      </w:pPr>
      <w:r>
        <w:t xml:space="preserve">4. Clonal hematopoiesis in high-risk HTLV-1 carriers</w:t>
      </w:r>
    </w:p>
    <w:p>
      <w:pPr>
        <w:pStyle w:val="FirstParagraph"/>
      </w:pPr>
      <w:r>
        <w:t xml:space="preserve">We hypothesized that high-risk HTLV-1 carriers already harbor low-frequency mutations associated with ATLL development. To evaluate these early clonal lymphoid hematopoiesis events in high-risk HTLV-1 carriers, we performed ultra-deep targeted sequencing of 280 genes frequently mutated in hematological malignancies. Silent mutations were highly prevalent across the HTLV-1 cohort (</w:t>
      </w:r>
      <w:r>
        <w:rPr>
          <w:b/>
          <w:bCs/>
        </w:rPr>
        <w:t xml:space="preserve">Supplementary Figure 6</w:t>
      </w:r>
      <w:r>
        <w:t xml:space="preserve">).</w:t>
      </w:r>
      <w:r>
        <w:t xml:space="preserve"> </w:t>
      </w:r>
      <w:r>
        <w:rPr>
          <w:i/>
          <w:iCs/>
        </w:rPr>
        <w:t xml:space="preserve">TRAF3</w:t>
      </w:r>
      <w:r>
        <w:t xml:space="preserve"> </w:t>
      </w:r>
      <w:r>
        <w:t xml:space="preserve">showed the highest recurrence rate at 98.5% of cases (median: 6 mutations per sample; IQR: 4-6), followed by</w:t>
      </w:r>
      <w:r>
        <w:t xml:space="preserve"> </w:t>
      </w:r>
      <w:r>
        <w:rPr>
          <w:i/>
          <w:iCs/>
        </w:rPr>
        <w:t xml:space="preserve">DUSP22</w:t>
      </w:r>
      <w:r>
        <w:t xml:space="preserve"> </w:t>
      </w:r>
      <w:r>
        <w:t xml:space="preserve">in 55.2% of cases (median: 3 mutations per sample; IQR: 2-4). The silent variations in</w:t>
      </w:r>
      <w:r>
        <w:t xml:space="preserve"> </w:t>
      </w:r>
      <w:r>
        <w:rPr>
          <w:i/>
          <w:iCs/>
        </w:rPr>
        <w:t xml:space="preserve">TRAF3</w:t>
      </w:r>
      <w:r>
        <w:t xml:space="preserve"> </w:t>
      </w:r>
      <w:r>
        <w:t xml:space="preserve">occurred predominantly in intronic regions (78.3%), with the most frequent variants being rs1274174947 (56% of cases) and rs180709957 (55% of cases). In contrast, silent variations in</w:t>
      </w:r>
      <w:r>
        <w:t xml:space="preserve"> </w:t>
      </w:r>
      <w:r>
        <w:rPr>
          <w:i/>
          <w:iCs/>
        </w:rPr>
        <w:t xml:space="preserve">DUSP22</w:t>
      </w:r>
      <w:r>
        <w:t xml:space="preserve"> </w:t>
      </w:r>
      <w:r>
        <w:t xml:space="preserve">showed a more balanced distribution across variant classifications, with rs55799519 (42% of cases) and rs3800260 (37% of cases) being the most prevalent variants. Analysis of the complete cohort revealed that the most recurrent polymorphisms were predominantly located in non-coding regions of</w:t>
      </w:r>
      <w:r>
        <w:t xml:space="preserve"> </w:t>
      </w:r>
      <w:r>
        <w:rPr>
          <w:i/>
          <w:iCs/>
        </w:rPr>
        <w:t xml:space="preserve">PRSS2</w:t>
      </w:r>
      <w:r>
        <w:t xml:space="preserve">,</w:t>
      </w:r>
      <w:r>
        <w:t xml:space="preserve"> </w:t>
      </w:r>
      <w:r>
        <w:rPr>
          <w:i/>
          <w:iCs/>
        </w:rPr>
        <w:t xml:space="preserve">AKT2</w:t>
      </w:r>
      <w:r>
        <w:t xml:space="preserve">,</w:t>
      </w:r>
      <w:r>
        <w:t xml:space="preserve"> </w:t>
      </w:r>
      <w:r>
        <w:rPr>
          <w:i/>
          <w:iCs/>
        </w:rPr>
        <w:t xml:space="preserve">TRAF3</w:t>
      </w:r>
      <w:r>
        <w:t xml:space="preserve">,</w:t>
      </w:r>
      <w:r>
        <w:t xml:space="preserve"> </w:t>
      </w:r>
      <w:r>
        <w:rPr>
          <w:i/>
          <w:iCs/>
        </w:rPr>
        <w:t xml:space="preserve">CD24</w:t>
      </w:r>
      <w:r>
        <w:t xml:space="preserve">, and</w:t>
      </w:r>
      <w:r>
        <w:t xml:space="preserve"> </w:t>
      </w:r>
      <w:r>
        <w:rPr>
          <w:i/>
          <w:iCs/>
        </w:rPr>
        <w:t xml:space="preserve">DUSP22</w:t>
      </w:r>
      <w:r>
        <w:t xml:space="preserve"> </w:t>
      </w:r>
      <w:r>
        <w:t xml:space="preserve">(Supplementary Table 5). These polymorphisms may represent important background genomic variation specific to HTLV-1-infected individuals, potentially influencing disease progression through non-coding regulatory mechanisms that modulate immune responses and viral control.</w:t>
      </w:r>
    </w:p>
    <w:p>
      <w:pPr>
        <w:pStyle w:val="BodyText"/>
      </w:pPr>
      <w:r>
        <w:t xml:space="preserve">After excluding silent mutations (n=4,691), we identified 1,101 non-synonymous mutations across all 67 samples, with a median of 15 mutations per case (IQR: 8-24). The mutation burden showed a significant positive correlation with HTLV-1 proviral load (Spearman r=0.34, p=0.003,</w:t>
      </w:r>
      <w:r>
        <w:t xml:space="preserve"> </w:t>
      </w:r>
      <w:r>
        <w:rPr>
          <w:b/>
          <w:bCs/>
        </w:rPr>
        <w:t xml:space="preserve">Figure 4A</w:t>
      </w:r>
      <w:r>
        <w:t xml:space="preserve">), suggesting that higher viral burden is associated with increased genomic instability. Missense mutations were the predominant variant type (87%), followed by in-frame deletions (5%) and splice site mutations (4%). The most frequently mutated genes were</w:t>
      </w:r>
      <w:r>
        <w:t xml:space="preserve"> </w:t>
      </w:r>
      <w:r>
        <w:rPr>
          <w:i/>
          <w:iCs/>
        </w:rPr>
        <w:t xml:space="preserve">KMT2D</w:t>
      </w:r>
      <w:r>
        <w:t xml:space="preserve"> </w:t>
      </w:r>
      <w:r>
        <w:t xml:space="preserve">(55%),</w:t>
      </w:r>
      <w:r>
        <w:t xml:space="preserve"> </w:t>
      </w:r>
      <w:r>
        <w:rPr>
          <w:i/>
          <w:iCs/>
        </w:rPr>
        <w:t xml:space="preserve">ACAN</w:t>
      </w:r>
      <w:r>
        <w:t xml:space="preserve"> </w:t>
      </w:r>
      <w:r>
        <w:t xml:space="preserve">(54%),</w:t>
      </w:r>
      <w:r>
        <w:t xml:space="preserve"> </w:t>
      </w:r>
      <w:r>
        <w:rPr>
          <w:i/>
          <w:iCs/>
        </w:rPr>
        <w:t xml:space="preserve">NOTCH1</w:t>
      </w:r>
      <w:r>
        <w:t xml:space="preserve"> </w:t>
      </w:r>
      <w:r>
        <w:t xml:space="preserve">(49%),</w:t>
      </w:r>
      <w:r>
        <w:t xml:space="preserve"> </w:t>
      </w:r>
      <w:r>
        <w:rPr>
          <w:i/>
          <w:iCs/>
        </w:rPr>
        <w:t xml:space="preserve">FAT1</w:t>
      </w:r>
      <w:r>
        <w:t xml:space="preserve"> </w:t>
      </w:r>
      <w:r>
        <w:t xml:space="preserve">(34%),</w:t>
      </w:r>
      <w:r>
        <w:t xml:space="preserve"> </w:t>
      </w:r>
      <w:r>
        <w:rPr>
          <w:i/>
          <w:iCs/>
        </w:rPr>
        <w:t xml:space="preserve">DNMT3A</w:t>
      </w:r>
      <w:r>
        <w:t xml:space="preserve"> </w:t>
      </w:r>
      <w:r>
        <w:t xml:space="preserve">(30%),</w:t>
      </w:r>
      <w:r>
        <w:t xml:space="preserve"> </w:t>
      </w:r>
      <w:r>
        <w:rPr>
          <w:i/>
          <w:iCs/>
        </w:rPr>
        <w:t xml:space="preserve">ARID1B</w:t>
      </w:r>
      <w:r>
        <w:t xml:space="preserve"> </w:t>
      </w:r>
      <w:r>
        <w:t xml:space="preserve">(31%),</w:t>
      </w:r>
      <w:r>
        <w:t xml:space="preserve"> </w:t>
      </w:r>
      <w:r>
        <w:rPr>
          <w:i/>
          <w:iCs/>
        </w:rPr>
        <w:t xml:space="preserve">CREBBP</w:t>
      </w:r>
      <w:r>
        <w:t xml:space="preserve"> </w:t>
      </w:r>
      <w:r>
        <w:t xml:space="preserve">(28%), and</w:t>
      </w:r>
      <w:r>
        <w:t xml:space="preserve"> </w:t>
      </w:r>
      <w:r>
        <w:rPr>
          <w:i/>
          <w:iCs/>
        </w:rPr>
        <w:t xml:space="preserve">TP53</w:t>
      </w:r>
      <w:r>
        <w:t xml:space="preserve"> </w:t>
      </w:r>
      <w:r>
        <w:t xml:space="preserve">(27%)</w:t>
      </w:r>
      <w:r>
        <w:t xml:space="preserve"> </w:t>
      </w:r>
      <w:r>
        <w:rPr>
          <w:b/>
          <w:bCs/>
        </w:rPr>
        <w:t xml:space="preserve">(Figure 4B)</w:t>
      </w:r>
      <w:r>
        <w:t xml:space="preserve">. In addition, significant pathways identified in the cohort were NOTCH (67%) and RTK-RAS (60%) pathways, while signifcantly mutated gene-based pathways involved histones modifiers (66%), as well as NOTCH (49%) and RTK(42%) signaling.</w:t>
      </w:r>
      <w:r>
        <w:t xml:space="preserve"> </w:t>
      </w:r>
      <w:r>
        <w:rPr>
          <w:i/>
          <w:iCs/>
        </w:rPr>
        <w:t xml:space="preserve">CSNK1A1</w:t>
      </w:r>
      <w:r>
        <w:t xml:space="preserve"> </w:t>
      </w:r>
      <w:r>
        <w:t xml:space="preserve">and</w:t>
      </w:r>
      <w:r>
        <w:t xml:space="preserve"> </w:t>
      </w:r>
      <w:r>
        <w:rPr>
          <w:i/>
          <w:iCs/>
        </w:rPr>
        <w:t xml:space="preserve">TP53</w:t>
      </w:r>
      <w:r>
        <w:t xml:space="preserve"> </w:t>
      </w:r>
      <w:r>
        <w:t xml:space="preserve">showed significantly co-occurring mutations, as did</w:t>
      </w:r>
      <w:r>
        <w:t xml:space="preserve"> </w:t>
      </w:r>
      <w:r>
        <w:rPr>
          <w:i/>
          <w:iCs/>
        </w:rPr>
        <w:t xml:space="preserve">MGAM</w:t>
      </w:r>
      <w:r>
        <w:t xml:space="preserve"> </w:t>
      </w:r>
      <w:r>
        <w:t xml:space="preserve">and</w:t>
      </w:r>
      <w:r>
        <w:t xml:space="preserve"> </w:t>
      </w:r>
      <w:r>
        <w:rPr>
          <w:i/>
          <w:iCs/>
        </w:rPr>
        <w:t xml:space="preserve">TUBB8</w:t>
      </w:r>
      <w:r>
        <w:t xml:space="preserve">, while</w:t>
      </w:r>
      <w:r>
        <w:t xml:space="preserve"> </w:t>
      </w:r>
      <w:r>
        <w:rPr>
          <w:i/>
          <w:iCs/>
        </w:rPr>
        <w:t xml:space="preserve">OVGP1</w:t>
      </w:r>
      <w:r>
        <w:t xml:space="preserve"> </w:t>
      </w:r>
      <w:r>
        <w:t xml:space="preserve">and</w:t>
      </w:r>
      <w:r>
        <w:t xml:space="preserve"> </w:t>
      </w:r>
      <w:r>
        <w:rPr>
          <w:i/>
          <w:iCs/>
        </w:rPr>
        <w:t xml:space="preserve">ASXL1</w:t>
      </w:r>
      <w:r>
        <w:t xml:space="preserve"> </w:t>
      </w:r>
      <w:r>
        <w:t xml:space="preserve">exhibited mutually exclusive mutation patterns.</w:t>
      </w:r>
    </w:p>
    <w:p>
      <w:pPr>
        <w:pStyle w:val="BodyText"/>
      </w:pPr>
      <w:r>
        <w:t xml:space="preserve">Finally, we evaluated PVL, OCI, and mutation burden in 4 representative samples with two serial collections to characterize the dynamics of clonal evolution over time</w:t>
      </w:r>
      <w:r>
        <w:t xml:space="preserve"> </w:t>
      </w:r>
      <w:r>
        <w:rPr>
          <w:b/>
          <w:bCs/>
        </w:rPr>
        <w:t xml:space="preserve">(Figure 4C).</w:t>
      </w:r>
      <w:r>
        <w:t xml:space="preserve"> </w:t>
      </w:r>
      <w:r>
        <w:t xml:space="preserve">While PVL and OCI did not show significant changes between baseline and follow-up (3-years), the total number of mutations increased more than two-fold (7.25 vs 19.5, p = 0.01). Interestingly, cumulative multi-hit mutations (e.g.,</w:t>
      </w:r>
      <w:r>
        <w:t xml:space="preserve"> </w:t>
      </w:r>
      <w:r>
        <w:rPr>
          <w:i/>
          <w:iCs/>
        </w:rPr>
        <w:t xml:space="preserve">ACAN</w:t>
      </w:r>
      <w:r>
        <w:t xml:space="preserve">,</w:t>
      </w:r>
      <w:r>
        <w:t xml:space="preserve"> </w:t>
      </w:r>
      <w:r>
        <w:rPr>
          <w:i/>
          <w:iCs/>
        </w:rPr>
        <w:t xml:space="preserve">EP300</w:t>
      </w:r>
      <w:r>
        <w:t xml:space="preserve">,</w:t>
      </w:r>
      <w:r>
        <w:t xml:space="preserve"> </w:t>
      </w:r>
      <w:r>
        <w:rPr>
          <w:i/>
          <w:iCs/>
        </w:rPr>
        <w:t xml:space="preserve">KMT2D</w:t>
      </w:r>
      <w:r>
        <w:t xml:space="preserve">) emerged during follow-up</w:t>
      </w:r>
      <w:r>
        <w:t xml:space="preserve"> </w:t>
      </w:r>
      <w:r>
        <w:rPr>
          <w:b/>
          <w:bCs/>
        </w:rPr>
        <w:t xml:space="preserve">(Figure 4D),</w:t>
      </w:r>
      <w:r>
        <w:t xml:space="preserve"> </w:t>
      </w:r>
      <w:r>
        <w:t xml:space="preserve">while others became absent, suggesting progressive genomic instability and positive clonal selection during chronic HTLV-1 infection.</w:t>
      </w:r>
    </w:p>
    <w:bookmarkEnd w:id="32"/>
    <w:bookmarkEnd w:id="33"/>
    <w:bookmarkStart w:id="34" w:name="discussion"/>
    <w:p>
      <w:pPr>
        <w:pStyle w:val="Heading2"/>
      </w:pPr>
      <w:r>
        <w:t xml:space="preserve">Discussion</w:t>
      </w:r>
    </w:p>
    <w:p>
      <w:pPr>
        <w:pStyle w:val="FirstParagraph"/>
      </w:pPr>
      <w:r>
        <w:t xml:space="preserve">In the present study, we report the first comprehensive integrated analysis of viral and host genomics in HTLV-1 infection across the South American region. Using ultra-deep sequencing and high-resolution HLA typing, we evaluated a prospective Peruvian hospital-based cohort characterized by high-risk infection (median PVL 4.5%) and elevated mortality rate (13.4%), providing novel insights into the complex interplay between viral evolution, host genetics, and disease progression in an underrepresented population with the highest reported ATLL incidence globally.</w:t>
      </w:r>
      <w:r>
        <w:t xml:space="preserve"> </w:t>
      </w:r>
      <w:r>
        <w:t xml:space="preserve">(26)</w:t>
      </w:r>
    </w:p>
    <w:p>
      <w:pPr>
        <w:pStyle w:val="BodyText"/>
      </w:pPr>
      <w:r>
        <w:t xml:space="preserve">The median PVL in this cohort was substantially higher than previously reported studies in other populations, including Australian Indigenous(&lt;1%),</w:t>
      </w:r>
      <w:r>
        <w:t xml:space="preserve"> </w:t>
      </w:r>
      <w:r>
        <w:t xml:space="preserve">(27)</w:t>
      </w:r>
      <w:r>
        <w:t xml:space="preserve"> </w:t>
      </w:r>
      <w:r>
        <w:t xml:space="preserve">Japanese (1.4%),</w:t>
      </w:r>
      <w:r>
        <w:t xml:space="preserve"> </w:t>
      </w:r>
      <w:r>
        <w:t xml:space="preserve">(28)</w:t>
      </w:r>
      <w:r>
        <w:t xml:space="preserve"> </w:t>
      </w:r>
      <w:r>
        <w:t xml:space="preserve">Brazilian (&lt;1% AC, ~20% HAM/TSP),</w:t>
      </w:r>
      <w:r>
        <w:t xml:space="preserve"> </w:t>
      </w:r>
      <w:r>
        <w:t xml:space="preserve">(29)</w:t>
      </w:r>
      <w:r>
        <w:t xml:space="preserve"> </w:t>
      </w:r>
      <w:r>
        <w:t xml:space="preserve">and Iranian cohorts (&lt;4%)</w:t>
      </w:r>
      <w:r>
        <w:t xml:space="preserve"> </w:t>
      </w:r>
      <w:r>
        <w:t xml:space="preserve">(30)</w:t>
      </w:r>
      <w:r>
        <w:t xml:space="preserve">, although similar to those found by another Peruvian group (11% AC, 26% HAM/TSP).</w:t>
      </w:r>
      <w:r>
        <w:t xml:space="preserve"> </w:t>
      </w:r>
      <w:r>
        <w:t xml:space="preserve">(31)</w:t>
      </w:r>
      <w:r>
        <w:t xml:space="preserve"> </w:t>
      </w:r>
      <w:r>
        <w:t xml:space="preserve">While the underlying basis for this elevated PVL remains uncertain, several factors may contribute to this observation. First, the centralized hospital-based recruitment strategy likely introduced ascertainment bias toward more symptomatic cases,</w:t>
      </w:r>
      <w:r>
        <w:t xml:space="preserve"> </w:t>
      </w:r>
      <w:r>
        <w:t xml:space="preserve">(32)</w:t>
      </w:r>
      <w:r>
        <w:t xml:space="preserve"> </w:t>
      </w:r>
      <w:r>
        <w:t xml:space="preserve">representing the</w:t>
      </w:r>
      <w:r>
        <w:t xml:space="preserve"> </w:t>
      </w:r>
      <w:r>
        <w:t xml:space="preserve">“</w:t>
      </w:r>
      <w:r>
        <w:t xml:space="preserve">tip of the iceberg</w:t>
      </w:r>
      <w:r>
        <w:t xml:space="preserve">”</w:t>
      </w:r>
      <w:r>
        <w:t xml:space="preserve"> </w:t>
      </w:r>
      <w:r>
        <w:t xml:space="preserve">of HTLV-1 infection burden in Peru. Second, population-specific genetic factors, including the reduced HLA evolutionary divergence observed in our cohort, may compromise viral control mechanisms compared to other populations. Specifically, the role of HLA functional diversity has been previously demonstrated in human immunodeficiency virus (HIV) infection, where greater functional divergence of HLA-A and HLA-B allotypes were associated with slower HIV progression by increasing peptide-binding repertoire diversity.</w:t>
      </w:r>
      <w:r>
        <w:t xml:space="preserve"> </w:t>
      </w:r>
      <w:r>
        <w:t xml:space="preserve">(33)</w:t>
      </w:r>
      <w:r>
        <w:t xml:space="preserve"> </w:t>
      </w:r>
      <w:r>
        <w:t xml:space="preserve">Similar mechanisms may operate in HTLV-1 infection. For instance, the HLA-I landscape in our Peruvian cohort differed markedly from previously studied populations with unique allele frequencies. Additionally, most previously described individual HLA-specific effects could not be replicated in this cohort,</w:t>
      </w:r>
      <w:r>
        <w:t xml:space="preserve"> </w:t>
      </w:r>
      <w:r>
        <w:t xml:space="preserve">(19)</w:t>
      </w:r>
      <w:r>
        <w:t xml:space="preserve"> </w:t>
      </w:r>
      <w:r>
        <w:t xml:space="preserve">highlighting the critical need for population-specific HLA evaluations across diverse geographic and ethnic groups.</w:t>
      </w:r>
    </w:p>
    <w:p>
      <w:pPr>
        <w:pStyle w:val="BodyText"/>
      </w:pPr>
      <w:r>
        <w:t xml:space="preserve">Importantly, we observed a strong correlation between low PVL and poor NGS coverage, suggesting that standard sequencing approaches may not be optimal for low-risk cases with minimal viral replication. High PVL was significantly associated with increased mortality risk (OR: 1.07; 95% CI: 1.01–1.15; p = 0.033), independent of ATLL development. This mortality association aligns with recent meta-analytical evidence,</w:t>
      </w:r>
      <w:r>
        <w:t xml:space="preserve"> </w:t>
      </w:r>
      <w:r>
        <w:t xml:space="preserve">(2)</w:t>
      </w:r>
      <w:r>
        <w:t xml:space="preserve"> </w:t>
      </w:r>
      <w:r>
        <w:t xml:space="preserve">and suggest that elevated PVL represents a broader marker of immunological dysfunction and systemic inflammation rather than solely reflecting malignant transformation risk.</w:t>
      </w:r>
      <w:r>
        <w:t xml:space="preserve"> </w:t>
      </w:r>
      <w:r>
        <w:t xml:space="preserve">(15)</w:t>
      </w:r>
      <w:r>
        <w:t xml:space="preserve"> </w:t>
      </w:r>
      <w:r>
        <w:t xml:space="preserve">In addition, the use of a standardized percentage-based reporting system (with &gt;4% indicating high-risk infection) offers several advantages: 1) enhances clinical interpretability and health literacy among patients and providers, 2) facilitates meaningful comparisons across diverse populations and healthcare systems, and 3) provides a more intuitive framework for risk communication compared to traditional copy-number-based metrics.</w:t>
      </w:r>
      <w:r>
        <w:t xml:space="preserve"> </w:t>
      </w:r>
      <w:r>
        <w:t xml:space="preserve">(34)</w:t>
      </w:r>
    </w:p>
    <w:p>
      <w:pPr>
        <w:pStyle w:val="BodyText"/>
      </w:pPr>
      <w:r>
        <w:t xml:space="preserve">Contrary to previous hypotheses suggesting</w:t>
      </w:r>
      <w:r>
        <w:t xml:space="preserve"> </w:t>
      </w:r>
      <w:r>
        <w:rPr>
          <w:i/>
          <w:iCs/>
        </w:rPr>
        <w:t xml:space="preserve">Strongyloides</w:t>
      </w:r>
      <w:r>
        <w:t xml:space="preserve"> </w:t>
      </w:r>
      <w:r>
        <w:t xml:space="preserve">infection as an ATLL prognostic factor,</w:t>
      </w:r>
      <w:r>
        <w:t xml:space="preserve"> </w:t>
      </w:r>
      <w:r>
        <w:t xml:space="preserve">(35)</w:t>
      </w:r>
      <w:r>
        <w:t xml:space="preserve"> </w:t>
      </w:r>
      <w:r>
        <w:t xml:space="preserve">we could not confirm this association in our cohort. Our findings suggest that</w:t>
      </w:r>
      <w:r>
        <w:t xml:space="preserve"> </w:t>
      </w:r>
      <w:r>
        <w:rPr>
          <w:i/>
          <w:iCs/>
        </w:rPr>
        <w:t xml:space="preserve">Strongyloides</w:t>
      </w:r>
      <w:r>
        <w:t xml:space="preserve"> </w:t>
      </w:r>
      <w:r>
        <w:t xml:space="preserve">coinfection may represent a proxy marker or consequence of severe immunosuppression rather than directly fueling progression to ATLL. This interpretation is also supported by epidemiological data where</w:t>
      </w:r>
      <w:r>
        <w:t xml:space="preserve"> </w:t>
      </w:r>
      <w:r>
        <w:rPr>
          <w:i/>
          <w:iCs/>
        </w:rPr>
        <w:t xml:space="preserve">Strongyloides</w:t>
      </w:r>
      <w:r>
        <w:t xml:space="preserve"> </w:t>
      </w:r>
      <w:r>
        <w:t xml:space="preserve">prevalence was associated with elevated proviral loads.</w:t>
      </w:r>
      <w:r>
        <w:t xml:space="preserve"> </w:t>
      </w:r>
      <w:r>
        <w:t xml:space="preserve">(36)</w:t>
      </w:r>
      <w:r>
        <w:t xml:space="preserve"> </w:t>
      </w:r>
      <w:r>
        <w:t xml:space="preserve">Interestingly, HAM/TSP patients in our cohort exhibited lower rates of LSI compared to ACs, which may reflect distinct immunological profiles between these clinical states. In addition, the discovery of type II defective viruses, all associated with poor clinical outcomes, supports emerging evidence that defective proviruses may contribute to immune evasion and disease progression; however, their frequency was lower compared to a Japanese cohort (4.8% vs 18.8%), and other defective subtypes were absent in this cohort.</w:t>
      </w:r>
      <w:r>
        <w:t xml:space="preserve"> </w:t>
      </w:r>
      <w:r>
        <w:t xml:space="preserve">(14)</w:t>
      </w:r>
    </w:p>
    <w:p>
      <w:pPr>
        <w:pStyle w:val="BodyText"/>
      </w:pPr>
      <w:r>
        <w:t xml:space="preserve">Our phylogenomic analysis revealed the predominance of the Transcontinental (1a) subtype, with most isolates clustering within the newly proposed Andean-Amazonian subgroup. This finding provides the molecular evidence for population-specific viral evolution in South America, with an estimated divergence time of 7,409 years before present. While the origin and introduction of HTLV-1 remains as a more philosophically controversial question,</w:t>
      </w:r>
      <w:r>
        <w:t xml:space="preserve"> </w:t>
      </w:r>
      <w:r>
        <w:t xml:space="preserve">(37)</w:t>
      </w:r>
      <w:r>
        <w:t xml:space="preserve"> </w:t>
      </w:r>
      <w:r>
        <w:t xml:space="preserve">(38)</w:t>
      </w:r>
      <w:r>
        <w:t xml:space="preserve"> </w:t>
      </w:r>
      <w:r>
        <w:t xml:space="preserve">(39)</w:t>
      </w:r>
      <w:r>
        <w:t xml:space="preserve"> </w:t>
      </w:r>
      <w:r>
        <w:t xml:space="preserve">adequate priors based on ancient samples as well as more complete whole-genome sequenced isolates are required to increase credibility of Bayesian approaches. However, at least four distinct waves of HTLV-1 introduction into Peru can be described by phylogenomic analyses, highlighting the complex evolutionary history of the virus in this region.</w:t>
      </w:r>
    </w:p>
    <w:p>
      <w:pPr>
        <w:pStyle w:val="BodyText"/>
      </w:pPr>
      <w:r>
        <w:t xml:space="preserve">Our mutation analysis provides the first evidence of early clonal hematopoiesis in high-risk HTLV-1 carriers, characterized by recurrent mutations in cancer-associated genes including</w:t>
      </w:r>
      <w:r>
        <w:t xml:space="preserve"> </w:t>
      </w:r>
      <w:r>
        <w:rPr>
          <w:i/>
          <w:iCs/>
        </w:rPr>
        <w:t xml:space="preserve">KMT2D</w:t>
      </w:r>
      <w:r>
        <w:t xml:space="preserve"> </w:t>
      </w:r>
      <w:r>
        <w:t xml:space="preserve">(55%),</w:t>
      </w:r>
      <w:r>
        <w:t xml:space="preserve"> </w:t>
      </w:r>
      <w:r>
        <w:rPr>
          <w:i/>
          <w:iCs/>
        </w:rPr>
        <w:t xml:space="preserve">NOTCH1</w:t>
      </w:r>
      <w:r>
        <w:t xml:space="preserve"> </w:t>
      </w:r>
      <w:r>
        <w:t xml:space="preserve">(49%), and</w:t>
      </w:r>
      <w:r>
        <w:t xml:space="preserve"> </w:t>
      </w:r>
      <w:r>
        <w:rPr>
          <w:i/>
          <w:iCs/>
        </w:rPr>
        <w:t xml:space="preserve">TP53</w:t>
      </w:r>
      <w:r>
        <w:t xml:space="preserve"> </w:t>
      </w:r>
      <w:r>
        <w:t xml:space="preserve">(27%). The positive correlation between mutation burden and proviral load (Spearman r = 0.34, p = 0.003), combined with the observed increase in mutation frequency during longitudinal follow-up, suggests that ongoing viral replication directly contributes to genomic instability in HTLV-1-infected cells. This finding supports a model whereby chronic viral activity promotes DNA damage and repair defects, leading to progressive accumulation of somatic mutations that may predispose to malignant transformation through positive clonal evolution. The high frequency of</w:t>
      </w:r>
      <w:r>
        <w:t xml:space="preserve"> </w:t>
      </w:r>
      <w:r>
        <w:rPr>
          <w:i/>
          <w:iCs/>
        </w:rPr>
        <w:t xml:space="preserve">NOTCH</w:t>
      </w:r>
      <w:r>
        <w:t xml:space="preserve"> </w:t>
      </w:r>
      <w:r>
        <w:t xml:space="preserve">(67%) and RTK-RAS (60%) pathway alterations indicates early dysregulation of key oncogenic pathways, potentially priming infected cells for malignant transformation. While most of these mutations have been reported in large-scale studies with conflicting results,</w:t>
      </w:r>
      <w:r>
        <w:t xml:space="preserve"> </w:t>
      </w:r>
      <w:r>
        <w:t xml:space="preserve">(20)</w:t>
      </w:r>
      <w:r>
        <w:t xml:space="preserve"> </w:t>
      </w:r>
      <w:r>
        <w:t xml:space="preserve">(24)</w:t>
      </w:r>
      <w:r>
        <w:t xml:space="preserve"> </w:t>
      </w:r>
      <w:r>
        <w:t xml:space="preserve">@ these early clonal mutations appear to be implicated in the initial pathogenesis of HTLV-1-associated malignancies, particularly in Latin American populations. The prevalence of silent mutations in immune regulatory genes, particularly</w:t>
      </w:r>
      <w:r>
        <w:t xml:space="preserve"> </w:t>
      </w:r>
      <w:r>
        <w:rPr>
          <w:i/>
          <w:iCs/>
        </w:rPr>
        <w:t xml:space="preserve">TRAF3</w:t>
      </w:r>
      <w:r>
        <w:t xml:space="preserve"> </w:t>
      </w:r>
      <w:r>
        <w:t xml:space="preserve">(98.5% of cases) and</w:t>
      </w:r>
      <w:r>
        <w:t xml:space="preserve"> </w:t>
      </w:r>
      <w:r>
        <w:rPr>
          <w:i/>
          <w:iCs/>
        </w:rPr>
        <w:t xml:space="preserve">DUSP22</w:t>
      </w:r>
      <w:r>
        <w:t xml:space="preserve"> </w:t>
      </w:r>
      <w:r>
        <w:t xml:space="preserve">(55.2% of cases), represents an unexpected finding with potential mechanistic implications. These polymorphisms may modulate immune responses and viral control through non-coding regulatory mechanisms, contributing to the variable clinical outcomes observed in HTLV-1 infection.</w:t>
      </w:r>
    </w:p>
    <w:p>
      <w:pPr>
        <w:pStyle w:val="BodyText"/>
      </w:pPr>
      <w:r>
        <w:rPr>
          <w:b/>
          <w:bCs/>
        </w:rPr>
        <w:t xml:space="preserve">Study limitations</w:t>
      </w:r>
      <w:r>
        <w:t xml:space="preserve"> </w:t>
      </w:r>
      <w:r>
        <w:t xml:space="preserve">include several methodological considerations that may influence interpretation of our findings. The hospital-based recruitment strategy may introduce selection bias toward more severe cases, potentially overestimating disease severity markers compared to population-based studies. The relatively small sample size limits statistical power for estimating time-to-event clinical outcomes and detecting rare genetic associations. Additionally, since most patients were recruited with high proviral load values, the rate of disease progression may be underestimated due to enrichment for already advanced cases. The lack of functional validation for identified mutations and HLA associations limits mechanistic interpretation of our findings, requiring future experimental studies to establish causality. Sequencing was performed on unsorted whole peripheral blood mononuclear cells rather than purified cell populations, which may obscure cell-type-specific mutational patterns and clonal dynamics. Finally, the limited longitudinal follow-up and absence of serial genomic assessments restricted our ability to fully characterize the temporal dynamics of clonal evolution and disease progression, preventing assessment of mutation acquisition patterns over time.</w:t>
      </w:r>
    </w:p>
    <w:p>
      <w:pPr>
        <w:pStyle w:val="BodyText"/>
      </w:pPr>
      <w:r>
        <w:t xml:space="preserve">In conclusion, this comprehensive genomic characterization reveals population-specific features of HTLV-1 infection in Peru, including unique viral phylogeny, reduced HLA diversity, and evidence of early clonal evolution. These findings provide a foundation to develop population-tailored and risk-based approaches for HTLV-1 management, and to highlight the critical need for expanded genomic surveillance for high-risk carriers in underrepresented populations bearing disproportionate infection burden. We emphasize the urgent need for investment in biobanking resources, establishment of prospective cohorts, and development of coordinated research strategies in Peru. Such efforts will be critical to advancing our understanding of HTLV-1 pathogenesis and improving outcomes for affected populations, as well as creating local capabilities through promoting local research and increasing awareness among vulnerable communities.</w:t>
      </w:r>
    </w:p>
    <w:bookmarkEnd w:id="34"/>
    <w:bookmarkStart w:id="36" w:name="data-availability-and-reproducibility"/>
    <w:p>
      <w:pPr>
        <w:pStyle w:val="Heading2"/>
      </w:pPr>
      <w:r>
        <w:t xml:space="preserve">Data Availability and Reproducibility</w:t>
      </w:r>
    </w:p>
    <w:p>
      <w:pPr>
        <w:pStyle w:val="FirstParagraph"/>
      </w:pPr>
      <w:r>
        <w:t xml:space="preserve">Due to ethical concerns regarding participant confidentiality, the full sequencing dataset cannot be made publicly available. Data may be made available upon reasonable request by contacting the corresponding authors. Requests will be considered in accordance with ethical approval and applicable data protection regulations. All bioinformatics pipelines, custom scripts, and analytical workflows are publicly available in the project GitHub repository:</w:t>
      </w:r>
      <w:r>
        <w:t xml:space="preserve"> </w:t>
      </w:r>
      <w:hyperlink r:id="rId35">
        <w:r>
          <w:rPr>
            <w:rStyle w:val="Hyperlink"/>
          </w:rPr>
          <w:t xml:space="preserve">https://github.com/deve105/htlv_paper_2025.</w:t>
        </w:r>
      </w:hyperlink>
    </w:p>
    <w:bookmarkEnd w:id="36"/>
    <w:bookmarkStart w:id="37" w:name="author-contributions"/>
    <w:p>
      <w:pPr>
        <w:pStyle w:val="Heading2"/>
      </w:pPr>
      <w:r>
        <w:t xml:space="preserve">Author Contributions</w:t>
      </w:r>
    </w:p>
    <w:p>
      <w:pPr>
        <w:pStyle w:val="FirstParagraph"/>
      </w:pPr>
      <w:r>
        <w:t xml:space="preserve">D.E.-V. conceived the study design, performed data collection, conducted all bioinformatics analyses including genomic sequencing, phylogenomic reconstruction, HLA typing, mutation analysis, and statistical modeling, interpreted results, and wrote the manuscript. M.M.-D. conducted the collection of patient samples in Peru. J.N.-A. performed data collection. Y.S. obtained the raw next-generation sequencing data. M.M.-D., E.G., K. Morishita and S.N. conceived the study design, and critically reviewed the manuscript, provided scientific input, and approved the final version for submission. K. Morishita, M.M.-D. and S.N. secured funding for the research project and provided overall project supervision. All authors read and approved the final manuscript.</w:t>
      </w:r>
    </w:p>
    <w:bookmarkEnd w:id="37"/>
    <w:bookmarkStart w:id="38" w:name="funding"/>
    <w:p>
      <w:pPr>
        <w:pStyle w:val="Heading2"/>
      </w:pPr>
      <w:r>
        <w:t xml:space="preserve">Funding</w:t>
      </w:r>
    </w:p>
    <w:p>
      <w:pPr>
        <w:pStyle w:val="FirstParagraph"/>
      </w:pPr>
      <w:r>
        <w:t xml:space="preserve">This study was partially supported by JSPS KAKENHI (Grant Number 17H04600, K. Morishita), and by the Kobayashi Foundation for Cancer Research (S. N.). D. E.-V. was supported through the JICA SDGs Global Leader program.</w:t>
      </w:r>
    </w:p>
    <w:bookmarkEnd w:id="38"/>
    <w:bookmarkStart w:id="39" w:name="acknowledgements"/>
    <w:p>
      <w:pPr>
        <w:pStyle w:val="Heading2"/>
      </w:pPr>
      <w:r>
        <w:t xml:space="preserve">Acknowledgements</w:t>
      </w:r>
    </w:p>
    <w:p>
      <w:pPr>
        <w:pStyle w:val="FirstParagraph"/>
      </w:pPr>
      <w:r>
        <w:t xml:space="preserve">The authors gratefully acknowledge the technical assistance of Dr. Maki Yoshihama (Division of Tumor and Cellular Biochemistry, Department of Medical Sciences, University of Miyazaki).</w:t>
      </w:r>
    </w:p>
    <w:bookmarkEnd w:id="39"/>
    <w:bookmarkStart w:id="119" w:name="references"/>
    <w:p>
      <w:pPr>
        <w:pStyle w:val="Heading2"/>
      </w:pPr>
      <w:r>
        <w:t xml:space="preserve">References</w:t>
      </w:r>
    </w:p>
    <w:bookmarkStart w:id="118" w:name="refs"/>
    <w:bookmarkStart w:id="41" w:name="ref-bangham2023"/>
    <w:p>
      <w:pPr>
        <w:pStyle w:val="Bibliography"/>
      </w:pPr>
      <w:r>
        <w:t xml:space="preserve">1.</w:t>
      </w:r>
      <w:r>
        <w:t xml:space="preserve"> </w:t>
      </w:r>
      <w:r>
        <w:t xml:space="preserve">	</w:t>
      </w:r>
      <w:r>
        <w:t xml:space="preserve">Bangham CRM. HTLV-1 persistence and the oncogenesis of adult T cell leukemia/lymphoma. Blood [Internet]. 2023 Feb 17;blood.2022019332. Available from:</w:t>
      </w:r>
      <w:r>
        <w:t xml:space="preserve"> </w:t>
      </w:r>
      <w:hyperlink r:id="rId40">
        <w:r>
          <w:rPr>
            <w:rStyle w:val="Hyperlink"/>
          </w:rPr>
          <w:t xml:space="preserve">https://ashpublications.org/blood/article/doi/10.1182/blood.2022019332/494602/HTLV-1-persistence-and-the-oncogenesis-of-adult-T</w:t>
        </w:r>
      </w:hyperlink>
    </w:p>
    <w:bookmarkEnd w:id="41"/>
    <w:bookmarkStart w:id="43" w:name="ref-schierhout2020"/>
    <w:p>
      <w:pPr>
        <w:pStyle w:val="Bibliography"/>
      </w:pPr>
      <w:r>
        <w:t xml:space="preserve">2.</w:t>
      </w:r>
      <w:r>
        <w:t xml:space="preserve"> </w:t>
      </w:r>
      <w:r>
        <w:t xml:space="preserve">	</w:t>
      </w:r>
      <w:r>
        <w:t xml:space="preserve">Schierhout G, McGregor S, Gessain A, Einsiedel L, Martinello M, Kaldor J. Association between HTLV-1 infection and adverse health outcomes: A systematic review and meta-analysis of epidemiological studies. The Lancet Infectious Diseases [Internet]. 2020;20(1):133–43. Available from:</w:t>
      </w:r>
      <w:r>
        <w:t xml:space="preserve"> </w:t>
      </w:r>
      <w:hyperlink r:id="rId42">
        <w:r>
          <w:rPr>
            <w:rStyle w:val="Hyperlink"/>
          </w:rPr>
          <w:t xml:space="preserve">http://dx.doi.org/10.1016/S1473-3099(19)30402-5</w:t>
        </w:r>
      </w:hyperlink>
    </w:p>
    <w:bookmarkEnd w:id="43"/>
    <w:bookmarkStart w:id="45" w:name="ref-valcarcel2022"/>
    <w:p>
      <w:pPr>
        <w:pStyle w:val="Bibliography"/>
      </w:pPr>
      <w:r>
        <w:t xml:space="preserve">3.</w:t>
      </w:r>
      <w:r>
        <w:t xml:space="preserve"> </w:t>
      </w:r>
      <w:r>
        <w:t xml:space="preserve">	</w:t>
      </w:r>
      <w:r>
        <w:t xml:space="preserve">Valcarcel B, Ampuero GS, Cruz-Ku G de la, Enriquez DJ, Malpica L.</w:t>
      </w:r>
      <w:r>
        <w:t xml:space="preserve"> </w:t>
      </w:r>
      <w:hyperlink r:id="rId44">
        <w:r>
          <w:rPr>
            <w:rStyle w:val="Hyperlink"/>
          </w:rPr>
          <w:t xml:space="preserve">Outcomes of HTLV-1 Carriers with Diffuse Large B-Cell Lymphoma: A Single-Center Retrospective Matched Cohort Study</w:t>
        </w:r>
      </w:hyperlink>
      <w:r>
        <w:t xml:space="preserve">. Clinical Lymphoma, Myeloma &amp; Leukemia. 2022 Apr;22(4):251–9.</w:t>
      </w:r>
      <w:r>
        <w:t xml:space="preserve"> </w:t>
      </w:r>
    </w:p>
    <w:bookmarkEnd w:id="45"/>
    <w:bookmarkStart w:id="47" w:name="ref-nishijima2019"/>
    <w:p>
      <w:pPr>
        <w:pStyle w:val="Bibliography"/>
      </w:pPr>
      <w:r>
        <w:t xml:space="preserve">4.</w:t>
      </w:r>
      <w:r>
        <w:t xml:space="preserve"> </w:t>
      </w:r>
      <w:r>
        <w:t xml:space="preserve">	</w:t>
      </w:r>
      <w:r>
        <w:t xml:space="preserve">Nishijima T, Shimada S, Noda H, Miyake K. Towards the elimination of HTLV-1 infection in japan. The Lancet Infectious Diseases [Internet]. 2019 Jan 1;19(1):15–6. Available from:</w:t>
      </w:r>
      <w:r>
        <w:t xml:space="preserve"> </w:t>
      </w:r>
      <w:hyperlink r:id="rId46">
        <w:r>
          <w:rPr>
            <w:rStyle w:val="Hyperlink"/>
          </w:rPr>
          <w:t xml:space="preserve">https://www.sciencedirect.com/science/article/pii/S1473309918307357</w:t>
        </w:r>
      </w:hyperlink>
    </w:p>
    <w:bookmarkEnd w:id="47"/>
    <w:bookmarkStart w:id="49" w:name="ref-martin2018"/>
    <w:p>
      <w:pPr>
        <w:pStyle w:val="Bibliography"/>
      </w:pPr>
      <w:r>
        <w:t xml:space="preserve">5.</w:t>
      </w:r>
      <w:r>
        <w:t xml:space="preserve"> </w:t>
      </w:r>
      <w:r>
        <w:t xml:space="preserve">	</w:t>
      </w:r>
      <w:r>
        <w:t xml:space="preserve">Martin F, Tagaya Y, Gallo R. Time to eradicate HTLV-1: An open letter to WHO. The Lancet [Internet]. 2018 May 12;391(10133):1893–4. Available from:</w:t>
      </w:r>
      <w:r>
        <w:t xml:space="preserve"> </w:t>
      </w:r>
      <w:hyperlink r:id="rId48">
        <w:r>
          <w:rPr>
            <w:rStyle w:val="Hyperlink"/>
          </w:rPr>
          <w:t xml:space="preserve">https://www.sciencedirect.com/science/article/pii/S0140673618309747</w:t>
        </w:r>
      </w:hyperlink>
    </w:p>
    <w:bookmarkEnd w:id="49"/>
    <w:bookmarkStart w:id="51" w:name="ref-vantienen2012"/>
    <w:p>
      <w:pPr>
        <w:pStyle w:val="Bibliography"/>
      </w:pPr>
      <w:r>
        <w:t xml:space="preserve">6.</w:t>
      </w:r>
      <w:r>
        <w:t xml:space="preserve"> </w:t>
      </w:r>
      <w:r>
        <w:t xml:space="preserve">	</w:t>
      </w:r>
      <w:r>
        <w:t xml:space="preserve">Van Tienen C, De Silva TI, Alcantara LCJ, Onyango CO, Jarju S, Gonçalves N, et al. Molecular Epidemiology of Endemic Human T-Lymphotropic Virus Type 1 in a Rural Community in Guinea-Bissau. Kashanchi F, editor. PLoS Neglected Tropical Diseases [Internet]. 2012 Jun 12;6(6):e1690. Available from:</w:t>
      </w:r>
      <w:r>
        <w:t xml:space="preserve"> </w:t>
      </w:r>
      <w:hyperlink r:id="rId50">
        <w:r>
          <w:rPr>
            <w:rStyle w:val="Hyperlink"/>
          </w:rPr>
          <w:t xml:space="preserve">https://dx.plos.org/10.1371/journal.pntd.0001690</w:t>
        </w:r>
      </w:hyperlink>
    </w:p>
    <w:bookmarkEnd w:id="51"/>
    <w:bookmarkStart w:id="53" w:name="ref-djuicy2018"/>
    <w:p>
      <w:pPr>
        <w:pStyle w:val="Bibliography"/>
      </w:pPr>
      <w:r>
        <w:t xml:space="preserve">7.</w:t>
      </w:r>
      <w:r>
        <w:t xml:space="preserve"> </w:t>
      </w:r>
      <w:r>
        <w:t xml:space="preserve">	</w:t>
      </w:r>
      <w:r>
        <w:t xml:space="preserve">Djuicy DD, Mouinga-Ondémé A, Cassar O, Ramassamy JL, Mamimandjiami AI, Bikangui R, et al. Risk factors for HTLV-1 infection in Central Africa: A rural population-based survey in Gabon. PLoS Neglected Tropical Diseases [Internet]. 2018 Oct 12;12(10):e0006832. Available from:</w:t>
      </w:r>
      <w:r>
        <w:t xml:space="preserve"> </w:t>
      </w:r>
      <w:hyperlink r:id="rId52">
        <w:r>
          <w:rPr>
            <w:rStyle w:val="Hyperlink"/>
          </w:rPr>
          <w:t xml:space="preserve">https://pmc.ncbi.nlm.nih.gov/articles/PMC6200283/</w:t>
        </w:r>
      </w:hyperlink>
    </w:p>
    <w:bookmarkEnd w:id="53"/>
    <w:bookmarkStart w:id="55" w:name="ref-einsiedel2021"/>
    <w:p>
      <w:pPr>
        <w:pStyle w:val="Bibliography"/>
      </w:pPr>
      <w:r>
        <w:t xml:space="preserve">8.</w:t>
      </w:r>
      <w:r>
        <w:t xml:space="preserve"> </w:t>
      </w:r>
      <w:r>
        <w:t xml:space="preserve">	</w:t>
      </w:r>
      <w:r>
        <w:t xml:space="preserve">Einsiedel L, Pham H, Talukder MR, Taylor K, Wilson K, Kaldor J, et al. Very high prevalence of infection with the human T cell leukaemia virus type 1c in remote Australian Aboriginal communities: Results of a large cross-sectional community survey. Matsuoka M, editor. PLOS Neglected Tropical Diseases [Internet]. 2021 Dec 8;15(12):e0009915. Available from:</w:t>
      </w:r>
      <w:r>
        <w:t xml:space="preserve"> </w:t>
      </w:r>
      <w:hyperlink r:id="rId54">
        <w:r>
          <w:rPr>
            <w:rStyle w:val="Hyperlink"/>
          </w:rPr>
          <w:t xml:space="preserve">https://dx.plos.org/10.1371/journal.pntd.0009915</w:t>
        </w:r>
      </w:hyperlink>
    </w:p>
    <w:bookmarkEnd w:id="55"/>
    <w:bookmarkStart w:id="57" w:name="ref-ita2014"/>
    <w:p>
      <w:pPr>
        <w:pStyle w:val="Bibliography"/>
      </w:pPr>
      <w:r>
        <w:t xml:space="preserve">9.</w:t>
      </w:r>
      <w:r>
        <w:t xml:space="preserve"> </w:t>
      </w:r>
      <w:r>
        <w:t xml:space="preserve">	</w:t>
      </w:r>
      <w:r>
        <w:t xml:space="preserve">Ita F, Mayer EF, Verdonck K, Gonzalez E, Clark D, Gotuzzo E.</w:t>
      </w:r>
      <w:r>
        <w:t xml:space="preserve"> </w:t>
      </w:r>
      <w:hyperlink r:id="rId56">
        <w:r>
          <w:rPr>
            <w:rStyle w:val="Hyperlink"/>
          </w:rPr>
          <w:t xml:space="preserve">Human t-lymphotropic virus type 1 infection is frequent in rural communities of the southern andes of peru</w:t>
        </w:r>
      </w:hyperlink>
      <w:r>
        <w:t xml:space="preserve">. International Journal of Infectious Diseases. 2014;19(1):46–52.</w:t>
      </w:r>
      <w:r>
        <w:t xml:space="preserve"> </w:t>
      </w:r>
    </w:p>
    <w:bookmarkEnd w:id="57"/>
    <w:bookmarkStart w:id="59" w:name="ref-sakihama2021"/>
    <w:p>
      <w:pPr>
        <w:pStyle w:val="Bibliography"/>
      </w:pPr>
      <w:r>
        <w:t xml:space="preserve">10.</w:t>
      </w:r>
      <w:r>
        <w:t xml:space="preserve"> </w:t>
      </w:r>
      <w:r>
        <w:t xml:space="preserve">	</w:t>
      </w:r>
      <w:r>
        <w:t xml:space="preserve">Sakihama S, Morichika K, Saito R, Miyara M, Miyagi T, Hayashi M, et al. Genetic profile of adult t</w:t>
      </w:r>
      <w:r>
        <w:t xml:space="preserve">-</w:t>
      </w:r>
      <w:r>
        <w:t xml:space="preserve">cell leukemia/lymphoma in okinawa: Association with prognosis, ethnicity, and HTLV</w:t>
      </w:r>
      <w:r>
        <w:t xml:space="preserve">-</w:t>
      </w:r>
      <w:r>
        <w:t xml:space="preserve">1 strains. Cancer Science [Internet]. 2021 Mar;112(3):1300–9. Available from:</w:t>
      </w:r>
      <w:r>
        <w:t xml:space="preserve"> </w:t>
      </w:r>
      <w:hyperlink r:id="rId58">
        <w:r>
          <w:rPr>
            <w:rStyle w:val="Hyperlink"/>
          </w:rPr>
          <w:t xml:space="preserve">https://www.ncbi.nlm.nih.gov/pmc/articles/PMC7935801/</w:t>
        </w:r>
      </w:hyperlink>
    </w:p>
    <w:bookmarkEnd w:id="59"/>
    <w:bookmarkStart w:id="61" w:name="ref-sakihama2017"/>
    <w:p>
      <w:pPr>
        <w:pStyle w:val="Bibliography"/>
      </w:pPr>
      <w:r>
        <w:t xml:space="preserve">11.</w:t>
      </w:r>
      <w:r>
        <w:t xml:space="preserve"> </w:t>
      </w:r>
      <w:r>
        <w:t xml:space="preserve">	</w:t>
      </w:r>
      <w:r>
        <w:t xml:space="preserve">Sakihama S, Saito M, Kuba-Miyara M, Tomoyose T, Taira N, Miyagi T, et al. Human t-cell leukemia virus type i</w:t>
      </w:r>
      <w:r>
        <w:t xml:space="preserve"> </w:t>
      </w:r>
      <w:r>
        <w:rPr>
          <w:i/>
          <w:iCs/>
        </w:rPr>
        <w:t xml:space="preserve">Tax</w:t>
      </w:r>
      <w:r>
        <w:t xml:space="preserve"> </w:t>
      </w:r>
      <w:r>
        <w:t xml:space="preserve">genotype analysis in okinawa, the southernmost and remotest islands of japan: Different distributions compared with mainland japan and the potential value for the prognosis of aggressive adult t-cell leukemia/lymphoma. Leukemia Research [Internet]. 2017 Oct 1;61:18–24. Available from:</w:t>
      </w:r>
      <w:r>
        <w:t xml:space="preserve"> </w:t>
      </w:r>
      <w:hyperlink r:id="rId60">
        <w:r>
          <w:rPr>
            <w:rStyle w:val="Hyperlink"/>
          </w:rPr>
          <w:t xml:space="preserve">https://www.sciencedirect.com/science/article/pii/S0145212617304873</w:t>
        </w:r>
      </w:hyperlink>
    </w:p>
    <w:bookmarkEnd w:id="61"/>
    <w:bookmarkStart w:id="63" w:name="ref-sugata2025"/>
    <w:p>
      <w:pPr>
        <w:pStyle w:val="Bibliography"/>
      </w:pPr>
      <w:r>
        <w:t xml:space="preserve">12.</w:t>
      </w:r>
      <w:r>
        <w:t xml:space="preserve"> </w:t>
      </w:r>
      <w:r>
        <w:t xml:space="preserve">	</w:t>
      </w:r>
      <w:r>
        <w:t xml:space="preserve">Sugata K, Takatori M, Reda O, Tan BJY, Tokunaga M, Sato T, et al. Effect of viral antigen mismatch on antiviral t-cell response and immunotherapeutic efficacy against adult t-cell leukemia/lymphoma. The Journal of Infectious Diseases [Internet]. 2025 Mar 15;231(3):816–21. Available from:</w:t>
      </w:r>
      <w:r>
        <w:t xml:space="preserve"> </w:t>
      </w:r>
      <w:hyperlink r:id="rId62">
        <w:r>
          <w:rPr>
            <w:rStyle w:val="Hyperlink"/>
          </w:rPr>
          <w:t xml:space="preserve">https://doi.org/10.1093/infdis/jiae457</w:t>
        </w:r>
      </w:hyperlink>
    </w:p>
    <w:bookmarkEnd w:id="63"/>
    <w:bookmarkStart w:id="65" w:name="ref-furukawa2000"/>
    <w:p>
      <w:pPr>
        <w:pStyle w:val="Bibliography"/>
      </w:pPr>
      <w:r>
        <w:t xml:space="preserve">13.</w:t>
      </w:r>
      <w:r>
        <w:t xml:space="preserve"> </w:t>
      </w:r>
      <w:r>
        <w:t xml:space="preserve">	</w:t>
      </w:r>
      <w:r>
        <w:t xml:space="preserve">Furukawa Y, Yamashita M, Usuku K, Izumo S, Nakagawa M, Osame M. Phylogenetic subgroups of human t cell lymphotropic virus (HTLV) type i in the tax gene and their association with different risks for HTLV-i</w:t>
      </w:r>
      <w:r>
        <w:t xml:space="preserve">associated myelopathy/tropical spastic paraparesis. The Journal of Infectious Diseases [Internet]. 2000 Nov 1;182(5):1343–9. Available from:</w:t>
      </w:r>
      <w:r>
        <w:t xml:space="preserve"> </w:t>
      </w:r>
      <w:hyperlink r:id="rId64">
        <w:r>
          <w:rPr>
            <w:rStyle w:val="Hyperlink"/>
          </w:rPr>
          <w:t xml:space="preserve">https://doi.org/10.1086/315897</w:t>
        </w:r>
      </w:hyperlink>
    </w:p>
    <w:bookmarkEnd w:id="65"/>
    <w:bookmarkStart w:id="67" w:name="ref-katsuya2019"/>
    <w:p>
      <w:pPr>
        <w:pStyle w:val="Bibliography"/>
      </w:pPr>
      <w:r>
        <w:t xml:space="preserve">14.</w:t>
      </w:r>
      <w:r>
        <w:t xml:space="preserve"> </w:t>
      </w:r>
      <w:r>
        <w:t xml:space="preserve">	</w:t>
      </w:r>
      <w:r>
        <w:t xml:space="preserve">Katsuya H, Islam S, Tan BJY, Ito J, Miyazato P, Matsuo M, et al. The Nature of the HTLV-1 Provirus in Naturally Infected Individuals Analyzed by the Viral DNA-Capture-Seq Approach. Cell Reports [Internet]. 2019 Oct;29(3):724–735.e4. Available from:</w:t>
      </w:r>
      <w:r>
        <w:t xml:space="preserve"> </w:t>
      </w:r>
      <w:hyperlink r:id="rId66">
        <w:r>
          <w:rPr>
            <w:rStyle w:val="Hyperlink"/>
          </w:rPr>
          <w:t xml:space="preserve">https://linkinghub.elsevier.com/retrieve/pii/S2211124719311933</w:t>
        </w:r>
      </w:hyperlink>
    </w:p>
    <w:bookmarkEnd w:id="67"/>
    <w:bookmarkStart w:id="69" w:name="ref-estrada-grossmann2025"/>
    <w:p>
      <w:pPr>
        <w:pStyle w:val="Bibliography"/>
      </w:pPr>
      <w:r>
        <w:t xml:space="preserve">15.</w:t>
      </w:r>
      <w:r>
        <w:t xml:space="preserve"> </w:t>
      </w:r>
      <w:r>
        <w:t xml:space="preserve">	</w:t>
      </w:r>
      <w:r>
        <w:t xml:space="preserve">Estrada-Grossmann JM, Alarcon-Braga E, Salazar-Valdivia F, Silvana-Jauregui A, Acurio K, Pacheco-Barrios N, et al. Risk factors for malignant progression to adult-t-cell leukemia/lymphoma in HTLV-1 carriers: A systematic review of cohort and case-control StudiesRisk factors for ATL in HTLV-1 carriers: review. Clinical Lymphoma Myeloma and Leukemia [Internet]. 2025 Apr 19; Available from:</w:t>
      </w:r>
      <w:r>
        <w:t xml:space="preserve"> </w:t>
      </w:r>
      <w:hyperlink r:id="rId68">
        <w:r>
          <w:rPr>
            <w:rStyle w:val="Hyperlink"/>
          </w:rPr>
          <w:t xml:space="preserve">https://www.sciencedirect.com/science/article/pii/S2152265025001442</w:t>
        </w:r>
      </w:hyperlink>
    </w:p>
    <w:bookmarkEnd w:id="69"/>
    <w:bookmarkStart w:id="71" w:name="ref-iwanaga2010"/>
    <w:p>
      <w:pPr>
        <w:pStyle w:val="Bibliography"/>
      </w:pPr>
      <w:r>
        <w:t xml:space="preserve">16.</w:t>
      </w:r>
      <w:r>
        <w:t xml:space="preserve"> </w:t>
      </w:r>
      <w:r>
        <w:t xml:space="preserve">	</w:t>
      </w:r>
      <w:r>
        <w:t xml:space="preserve">Iwanaga M, Watanabe T, Utsunomiya A, Okayama A, Uchimaru K, Koh KR, et al. Human t-cell leukemia virus type i (HTLV-1) proviral load and disease progression in asymptomatic HTLV-1 carriers: A nationwide prospective study in japan. Blood [Internet]. 2010 Aug 26;116(8):1211–9. Available from:</w:t>
      </w:r>
      <w:r>
        <w:t xml:space="preserve"> </w:t>
      </w:r>
      <w:hyperlink r:id="rId70">
        <w:r>
          <w:rPr>
            <w:rStyle w:val="Hyperlink"/>
          </w:rPr>
          <w:t xml:space="preserve">https://doi.org/10.1182/blood-2009-12-257410</w:t>
        </w:r>
      </w:hyperlink>
    </w:p>
    <w:bookmarkEnd w:id="71"/>
    <w:bookmarkStart w:id="73" w:name="ref-alvarez2016"/>
    <w:p>
      <w:pPr>
        <w:pStyle w:val="Bibliography"/>
      </w:pPr>
      <w:r>
        <w:t xml:space="preserve">17.</w:t>
      </w:r>
      <w:r>
        <w:t xml:space="preserve"> </w:t>
      </w:r>
      <w:r>
        <w:t xml:space="preserve">	</w:t>
      </w:r>
      <w:r>
        <w:t xml:space="preserve">Alvarez C, Gotuzzo E, Vandamme AM, Verdonck K. Family aggregation of human t-lymphotropic virus 1-associated diseases: A systematic review. Frontiers in Microbiology [Internet]. 2016 Oct 28;7. Available from:</w:t>
      </w:r>
      <w:r>
        <w:t xml:space="preserve"> </w:t>
      </w:r>
      <w:hyperlink r:id="rId72">
        <w:r>
          <w:rPr>
            <w:rStyle w:val="Hyperlink"/>
          </w:rPr>
          <w:t xml:space="preserve">https://www.frontiersin.orghttps://www.frontiersin.org/journals/microbiology/articles/10.3389/fmicb.2016.01674/full</w:t>
        </w:r>
      </w:hyperlink>
    </w:p>
    <w:bookmarkEnd w:id="73"/>
    <w:bookmarkStart w:id="75" w:name="ref-adams2016"/>
    <w:p>
      <w:pPr>
        <w:pStyle w:val="Bibliography"/>
      </w:pPr>
      <w:r>
        <w:t xml:space="preserve">18.</w:t>
      </w:r>
      <w:r>
        <w:t xml:space="preserve"> </w:t>
      </w:r>
      <w:r>
        <w:t xml:space="preserve">	</w:t>
      </w:r>
      <w:r>
        <w:t xml:space="preserve">Adams SV, Newcomb PA, Shustov AR. Racial patterns of peripheral t-cell lymphoma incidence and survival in the united states. Journal of Clinical Oncology [Internet]. 2016 Mar 20;34(9):963–71. Available from:</w:t>
      </w:r>
      <w:r>
        <w:t xml:space="preserve"> </w:t>
      </w:r>
      <w:hyperlink r:id="rId74">
        <w:r>
          <w:rPr>
            <w:rStyle w:val="Hyperlink"/>
          </w:rPr>
          <w:t xml:space="preserve">https://ascopubs.org/doi/10.1200/JCO.2015.63.5540</w:t>
        </w:r>
      </w:hyperlink>
    </w:p>
    <w:bookmarkEnd w:id="75"/>
    <w:bookmarkStart w:id="77" w:name="ref-mardi2025"/>
    <w:p>
      <w:pPr>
        <w:pStyle w:val="Bibliography"/>
      </w:pPr>
      <w:r>
        <w:t xml:space="preserve">19.</w:t>
      </w:r>
      <w:r>
        <w:t xml:space="preserve"> </w:t>
      </w:r>
      <w:r>
        <w:t xml:space="preserve">	</w:t>
      </w:r>
      <w:r>
        <w:t xml:space="preserve">Mardi S, Rashidian M, Bastan F, Molaverdi G, Mozhgani SH.</w:t>
      </w:r>
      <w:r>
        <w:t xml:space="preserve"> </w:t>
      </w:r>
      <w:hyperlink r:id="rId76">
        <w:r>
          <w:rPr>
            <w:rStyle w:val="Hyperlink"/>
          </w:rPr>
          <w:t xml:space="preserve">The role of human leukocyte antigen in HTLV-1 infection and progression to ATLL and HAM/TSP: a systematic review and meta-analysis</w:t>
        </w:r>
      </w:hyperlink>
      <w:r>
        <w:t xml:space="preserve">. Virology Journal. 2025 Jan 20;22(1):13.</w:t>
      </w:r>
      <w:r>
        <w:t xml:space="preserve"> </w:t>
      </w:r>
    </w:p>
    <w:bookmarkEnd w:id="77"/>
    <w:bookmarkStart w:id="79" w:name="ref-myers2024"/>
    <w:p>
      <w:pPr>
        <w:pStyle w:val="Bibliography"/>
      </w:pPr>
      <w:r>
        <w:t xml:space="preserve">20.</w:t>
      </w:r>
      <w:r>
        <w:t xml:space="preserve"> </w:t>
      </w:r>
      <w:r>
        <w:t xml:space="preserve">	</w:t>
      </w:r>
      <w:r>
        <w:t xml:space="preserve">Myers CS, Williams E, Cornejo CB, Pongas G, Toomey NL, Sanches JA, et al. Distinctive genomic features of human T-lymphotropic virus type 1-related adult T-cell leukemia-lymphoma in Western populations. Haematologica [Internet]. 2024 Aug 8;109(12):4021–39. Available from:</w:t>
      </w:r>
      <w:r>
        <w:t xml:space="preserve"> </w:t>
      </w:r>
      <w:hyperlink r:id="rId78">
        <w:r>
          <w:rPr>
            <w:rStyle w:val="Hyperlink"/>
          </w:rPr>
          <w:t xml:space="preserve">https://haematologica.org/article/view/haematol.2024.285233</w:t>
        </w:r>
      </w:hyperlink>
    </w:p>
    <w:bookmarkEnd w:id="79"/>
    <w:bookmarkStart w:id="81" w:name="ref-luchtel2022"/>
    <w:p>
      <w:pPr>
        <w:pStyle w:val="Bibliography"/>
      </w:pPr>
      <w:r>
        <w:t xml:space="preserve">21.</w:t>
      </w:r>
      <w:r>
        <w:t xml:space="preserve"> </w:t>
      </w:r>
      <w:r>
        <w:t xml:space="preserve">	</w:t>
      </w:r>
      <w:r>
        <w:t xml:space="preserve">Luchtel RA, Zhao Y, Aggarwal RK, Pradhan K, Maqbool SB.</w:t>
      </w:r>
      <w:r>
        <w:t xml:space="preserve"> </w:t>
      </w:r>
      <w:hyperlink r:id="rId80">
        <w:r>
          <w:rPr>
            <w:rStyle w:val="Hyperlink"/>
          </w:rPr>
          <w:t xml:space="preserve">ETS1 is a novel transcriptional regulator of adult T-cell leukemia/lymphoma of North American descent</w:t>
        </w:r>
      </w:hyperlink>
      <w:r>
        <w:t xml:space="preserve">. Blood Advances. 2022 Oct 25;6(20):5613–24.</w:t>
      </w:r>
      <w:r>
        <w:t xml:space="preserve"> </w:t>
      </w:r>
    </w:p>
    <w:bookmarkEnd w:id="81"/>
    <w:bookmarkStart w:id="83" w:name="ref-homburger2015"/>
    <w:p>
      <w:pPr>
        <w:pStyle w:val="Bibliography"/>
      </w:pPr>
      <w:r>
        <w:t xml:space="preserve">22.</w:t>
      </w:r>
      <w:r>
        <w:t xml:space="preserve"> </w:t>
      </w:r>
      <w:r>
        <w:t xml:space="preserve">	</w:t>
      </w:r>
      <w:r>
        <w:t xml:space="preserve">Homburger JR, Moreno-Estrada A, Gignoux CR, Nelson D, Sanchez E, Ortiz-Tello P, et al.</w:t>
      </w:r>
      <w:r>
        <w:t xml:space="preserve"> </w:t>
      </w:r>
      <w:hyperlink r:id="rId82">
        <w:r>
          <w:rPr>
            <w:rStyle w:val="Hyperlink"/>
          </w:rPr>
          <w:t xml:space="preserve">Genomic Insights into the Ancestry and Demographic History of South America</w:t>
        </w:r>
      </w:hyperlink>
      <w:r>
        <w:t xml:space="preserve">. PLoS genetics. 2015 Dec;11(12):e1005602.</w:t>
      </w:r>
      <w:r>
        <w:t xml:space="preserve"> </w:t>
      </w:r>
    </w:p>
    <w:bookmarkEnd w:id="83"/>
    <w:bookmarkStart w:id="85" w:name="ref-malpica2025"/>
    <w:p>
      <w:pPr>
        <w:pStyle w:val="Bibliography"/>
      </w:pPr>
      <w:r>
        <w:t xml:space="preserve">23.</w:t>
      </w:r>
      <w:r>
        <w:t xml:space="preserve"> </w:t>
      </w:r>
      <w:r>
        <w:t xml:space="preserve">	</w:t>
      </w:r>
      <w:r>
        <w:t xml:space="preserve">Malpica L, Idrobo H, Pavlovsky A, Miranda ECM, Castro D, Beltran B, et al. Epidemiology, clinical features, and outcomes of peripheral t-cell lymphoma in latin america: An international, retrospective, cohort study. The Lancet Haematology [Internet]. 2025 Apr 1;12(4):e258–68. Available from:</w:t>
      </w:r>
      <w:r>
        <w:t xml:space="preserve"> </w:t>
      </w:r>
      <w:hyperlink r:id="rId84">
        <w:r>
          <w:rPr>
            <w:rStyle w:val="Hyperlink"/>
          </w:rPr>
          <w:t xml:space="preserve">https://www.thelancet.com/journals/lanhae/article/PIIS2352-3026(25)00011-0/abstract</w:t>
        </w:r>
      </w:hyperlink>
    </w:p>
    <w:bookmarkEnd w:id="85"/>
    <w:bookmarkStart w:id="87" w:name="ref-yamagishi2021"/>
    <w:p>
      <w:pPr>
        <w:pStyle w:val="Bibliography"/>
      </w:pPr>
      <w:r>
        <w:t xml:space="preserve">24.</w:t>
      </w:r>
      <w:r>
        <w:t xml:space="preserve"> </w:t>
      </w:r>
      <w:r>
        <w:t xml:space="preserve">	</w:t>
      </w:r>
      <w:r>
        <w:t xml:space="preserve">Yamagishi M, Kubokawa M, Kuze Y, Suzuki A, Yokomizo A, Kobayashi S, et al. Chronological genome and single-cell transcriptome integration characterizes the evolutionary process of adult T cell leukemia-lymphoma. Nature Communications [Internet]. 2021 Aug 10;12(1). Available from:</w:t>
      </w:r>
      <w:r>
        <w:t xml:space="preserve"> </w:t>
      </w:r>
      <w:hyperlink r:id="rId86">
        <w:r>
          <w:rPr>
            <w:rStyle w:val="Hyperlink"/>
          </w:rPr>
          <w:t xml:space="preserve">https://www.nature.com/articles/s41467-021-25101-9</w:t>
        </w:r>
      </w:hyperlink>
    </w:p>
    <w:bookmarkEnd w:id="87"/>
    <w:bookmarkStart w:id="89" w:name="ref-gillet2011"/>
    <w:p>
      <w:pPr>
        <w:pStyle w:val="Bibliography"/>
      </w:pPr>
      <w:r>
        <w:t xml:space="preserve">25.</w:t>
      </w:r>
      <w:r>
        <w:t xml:space="preserve"> </w:t>
      </w:r>
      <w:r>
        <w:t xml:space="preserve">	</w:t>
      </w:r>
      <w:r>
        <w:t xml:space="preserve">Gillet NA, Malani N, Melamed A, Gormley N, Carter R, Bentley D, et al. The host genomic environment of the provirus determines the abundance of HTLV-1</w:t>
      </w:r>
      <w:r>
        <w:t xml:space="preserve">infected T-cell clones. Blood [Internet]. 2011 Jan 12;117(11):3113. Available from:</w:t>
      </w:r>
      <w:r>
        <w:t xml:space="preserve"> </w:t>
      </w:r>
      <w:hyperlink r:id="rId88">
        <w:r>
          <w:rPr>
            <w:rStyle w:val="Hyperlink"/>
          </w:rPr>
          <w:t xml:space="preserve">https://pmc.ncbi.nlm.nih.gov/articles/PMC3062313/</w:t>
        </w:r>
      </w:hyperlink>
    </w:p>
    <w:bookmarkEnd w:id="89"/>
    <w:bookmarkStart w:id="91" w:name="ref-valcarcel2025"/>
    <w:p>
      <w:pPr>
        <w:pStyle w:val="Bibliography"/>
      </w:pPr>
      <w:r>
        <w:t xml:space="preserve">26.</w:t>
      </w:r>
      <w:r>
        <w:t xml:space="preserve"> </w:t>
      </w:r>
      <w:r>
        <w:t xml:space="preserve">	</w:t>
      </w:r>
      <w:r>
        <w:t xml:space="preserve">Valcarcel B, Idrobo H, Pavlovsky A, Miranda ECM, Beltran B, Paredes S, et al. Prevalence and survival outcomes of adult t-cell leukemia/lymphoma in latin america: A multicenter cohort study and recommendations to improve diagnosis and outcomes. Cancer Epidemiology [Internet]. 2025 Oct 1;98:102890. Available from:</w:t>
      </w:r>
      <w:r>
        <w:t xml:space="preserve"> </w:t>
      </w:r>
      <w:hyperlink r:id="rId90">
        <w:r>
          <w:rPr>
            <w:rStyle w:val="Hyperlink"/>
          </w:rPr>
          <w:t xml:space="preserve">https://www.sciencedirect.com/science/article/pii/S187778212500150X</w:t>
        </w:r>
      </w:hyperlink>
    </w:p>
    <w:bookmarkEnd w:id="91"/>
    <w:bookmarkStart w:id="93" w:name="ref-einsiedel2016"/>
    <w:p>
      <w:pPr>
        <w:pStyle w:val="Bibliography"/>
      </w:pPr>
      <w:r>
        <w:t xml:space="preserve">27.</w:t>
      </w:r>
      <w:r>
        <w:t xml:space="preserve"> </w:t>
      </w:r>
      <w:r>
        <w:t xml:space="preserve">	</w:t>
      </w:r>
      <w:r>
        <w:t xml:space="preserve">Einsiedel L, Woodman RJ, Flynn M, Wilson K, Cassar O, Gessain A.</w:t>
      </w:r>
      <w:r>
        <w:t xml:space="preserve"> </w:t>
      </w:r>
      <w:hyperlink r:id="rId92">
        <w:r>
          <w:rPr>
            <w:rStyle w:val="Hyperlink"/>
          </w:rPr>
          <w:t xml:space="preserve">Human T-Lymphotropic Virus type 1 infection in an Indigenous Australian population: epidemiological insights from a hospital-based cohort study</w:t>
        </w:r>
      </w:hyperlink>
      <w:r>
        <w:t xml:space="preserve">. BMC public health. 2016 Aug 15;16:787.</w:t>
      </w:r>
      <w:r>
        <w:t xml:space="preserve"> </w:t>
      </w:r>
    </w:p>
    <w:bookmarkEnd w:id="93"/>
    <w:bookmarkStart w:id="95" w:name="ref-jimbo2025"/>
    <w:p>
      <w:pPr>
        <w:pStyle w:val="Bibliography"/>
      </w:pPr>
      <w:r>
        <w:t xml:space="preserve">28.</w:t>
      </w:r>
      <w:r>
        <w:t xml:space="preserve"> </w:t>
      </w:r>
      <w:r>
        <w:t xml:space="preserve">	</w:t>
      </w:r>
      <w:r>
        <w:t xml:space="preserve">Jimbo K, Nojima M, Toriuchi K, Yamagishi M, Nakashima M, Yamano Y, et al. Long-term kinetics of proviral load in HTLV-1 carriers: Defining risk for the development of adult t-cell leukemia/lymphoma. Biomarker Research [Internet]. 2025 Feb 26;13(1):34. Available from:</w:t>
      </w:r>
      <w:r>
        <w:t xml:space="preserve"> </w:t>
      </w:r>
      <w:hyperlink r:id="rId94">
        <w:r>
          <w:rPr>
            <w:rStyle w:val="Hyperlink"/>
          </w:rPr>
          <w:t xml:space="preserve">https://doi.org/10.1186/s40364-025-00747-5</w:t>
        </w:r>
      </w:hyperlink>
    </w:p>
    <w:bookmarkEnd w:id="95"/>
    <w:bookmarkStart w:id="97" w:name="ref-rodrigues2022"/>
    <w:p>
      <w:pPr>
        <w:pStyle w:val="Bibliography"/>
      </w:pPr>
      <w:r>
        <w:t xml:space="preserve">29.</w:t>
      </w:r>
      <w:r>
        <w:t xml:space="preserve"> </w:t>
      </w:r>
      <w:r>
        <w:t xml:space="preserve">	</w:t>
      </w:r>
      <w:r>
        <w:t xml:space="preserve">Rodrigues ES, Salustiano S, Santos EV, Slavov SN, Picanço-Castro V, Maçonetto JM, et al. Monitoring of HTLV-1-associated diseases by proviral load quantification using multiplex real-time PCR. Journal of NeuroVirology [Internet]. 2022 Feb;28(1):27–34. Available from:</w:t>
      </w:r>
      <w:r>
        <w:t xml:space="preserve"> </w:t>
      </w:r>
      <w:hyperlink r:id="rId96">
        <w:r>
          <w:rPr>
            <w:rStyle w:val="Hyperlink"/>
          </w:rPr>
          <w:t xml:space="preserve">https://link.springer.com/10.1007/s13365-020-00924-2</w:t>
        </w:r>
      </w:hyperlink>
    </w:p>
    <w:bookmarkEnd w:id="97"/>
    <w:bookmarkStart w:id="99" w:name="ref-saffari2022"/>
    <w:p>
      <w:pPr>
        <w:pStyle w:val="Bibliography"/>
      </w:pPr>
      <w:r>
        <w:t xml:space="preserve">30.</w:t>
      </w:r>
      <w:r>
        <w:t xml:space="preserve"> </w:t>
      </w:r>
      <w:r>
        <w:t xml:space="preserve">	</w:t>
      </w:r>
      <w:r>
        <w:t xml:space="preserve">Saffari M, Rahimzada M, Mirhosseini A, Ghezaldasht SA, Valizadeh N, Moshfegh M, et al. Coevolution of HTLV-1-</w:t>
      </w:r>
      <w:r>
        <w:rPr>
          <w:i/>
          <w:iCs/>
        </w:rPr>
        <w:t xml:space="preserve">HBZ</w:t>
      </w:r>
      <w:r>
        <w:t xml:space="preserve">,</w:t>
      </w:r>
      <w:r>
        <w:t xml:space="preserve"> </w:t>
      </w:r>
      <w:r>
        <w:rPr>
          <w:i/>
          <w:iCs/>
        </w:rPr>
        <w:t xml:space="preserve">Tax</w:t>
      </w:r>
      <w:r>
        <w:t xml:space="preserve">, and proviral load with host</w:t>
      </w:r>
      <w:r>
        <w:t xml:space="preserve"> </w:t>
      </w:r>
      <w:r>
        <w:rPr>
          <w:i/>
          <w:iCs/>
        </w:rPr>
        <w:t xml:space="preserve">IRF-1</w:t>
      </w:r>
      <w:r>
        <w:t xml:space="preserve"> </w:t>
      </w:r>
      <w:r>
        <w:t xml:space="preserve">and</w:t>
      </w:r>
      <w:r>
        <w:t xml:space="preserve"> </w:t>
      </w:r>
      <w:r>
        <w:rPr>
          <w:i/>
          <w:iCs/>
        </w:rPr>
        <w:t xml:space="preserve">CCNA-2</w:t>
      </w:r>
      <w:r>
        <w:t xml:space="preserve"> </w:t>
      </w:r>
      <w:r>
        <w:t xml:space="preserve">in HAM/TSP patients. Infection, Genetics and Evolution [Internet]. 2022 Sep 1;103:105337. Available from:</w:t>
      </w:r>
      <w:r>
        <w:t xml:space="preserve"> </w:t>
      </w:r>
      <w:hyperlink r:id="rId98">
        <w:r>
          <w:rPr>
            <w:rStyle w:val="Hyperlink"/>
          </w:rPr>
          <w:t xml:space="preserve">https://www.sciencedirect.com/science/article/pii/S1567134822001344</w:t>
        </w:r>
      </w:hyperlink>
    </w:p>
    <w:bookmarkEnd w:id="99"/>
    <w:bookmarkStart w:id="101" w:name="ref-talledo2010"/>
    <w:p>
      <w:pPr>
        <w:pStyle w:val="Bibliography"/>
      </w:pPr>
      <w:r>
        <w:t xml:space="preserve">31.</w:t>
      </w:r>
      <w:r>
        <w:t xml:space="preserve"> </w:t>
      </w:r>
      <w:r>
        <w:t xml:space="preserve">	</w:t>
      </w:r>
      <w:r>
        <w:t xml:space="preserve">Talledo M, López G, Huyghe JR, Verdonck K, Adaui V, González E, et al. Evaluation of host genetic and viral factors as surrogate markers for HTLV-1-associated myelopathy/tropical spastic paraparesis in Peruvian HTLV-1-infected patients. Journal of Medical Virology [Internet]. 2010;82(3):460–6. Available from:</w:t>
      </w:r>
      <w:r>
        <w:t xml:space="preserve"> </w:t>
      </w:r>
      <w:hyperlink r:id="rId100">
        <w:r>
          <w:rPr>
            <w:rStyle w:val="Hyperlink"/>
          </w:rPr>
          <w:t xml:space="preserve">https://onlinelibrary.wiley.com/doi/abs/10.1002/jmv.21675</w:t>
        </w:r>
      </w:hyperlink>
    </w:p>
    <w:bookmarkEnd w:id="101"/>
    <w:bookmarkStart w:id="103" w:name="ref-pineda2019"/>
    <w:p>
      <w:pPr>
        <w:pStyle w:val="Bibliography"/>
      </w:pPr>
      <w:r>
        <w:t xml:space="preserve">32.</w:t>
      </w:r>
      <w:r>
        <w:t xml:space="preserve"> </w:t>
      </w:r>
      <w:r>
        <w:t xml:space="preserve">	</w:t>
      </w:r>
      <w:r>
        <w:t xml:space="preserve">Pineda MV, Bouzas MB, Remesar M, Fridman A, Remondegui C, Mammana L, et al. Relevance of HTLV-1 proviral load in asymptomatic and symptomatic patients living in endemic and non-endemic areas of Argentina. Anguita E, editor. PLOS ONE [Internet]. 2019 Nov 22;14(11):e0225596. Available from:</w:t>
      </w:r>
      <w:r>
        <w:t xml:space="preserve"> </w:t>
      </w:r>
      <w:hyperlink r:id="rId102">
        <w:r>
          <w:rPr>
            <w:rStyle w:val="Hyperlink"/>
          </w:rPr>
          <w:t xml:space="preserve">https://dx.plos.org/10.1371/journal.pone.0225596</w:t>
        </w:r>
      </w:hyperlink>
    </w:p>
    <w:bookmarkEnd w:id="103"/>
    <w:bookmarkStart w:id="105" w:name="ref-viard2024"/>
    <w:p>
      <w:pPr>
        <w:pStyle w:val="Bibliography"/>
      </w:pPr>
      <w:r>
        <w:t xml:space="preserve">33.</w:t>
      </w:r>
      <w:r>
        <w:t xml:space="preserve"> </w:t>
      </w:r>
      <w:r>
        <w:t xml:space="preserve">	</w:t>
      </w:r>
      <w:r>
        <w:t xml:space="preserve">Viard M, O’hUigin C, Yuki Y, Bashirova AA, Collins DR, Urbach JM, et al. Impact of HLA class i functional divergence on HIV control. Science [Internet]. 2024 Jan 19;383(6680):319–25. Available from:</w:t>
      </w:r>
      <w:r>
        <w:t xml:space="preserve"> </w:t>
      </w:r>
      <w:hyperlink r:id="rId104">
        <w:r>
          <w:rPr>
            <w:rStyle w:val="Hyperlink"/>
          </w:rPr>
          <w:t xml:space="preserve">https://www.science.org/doi/10.1126/science.adk0777</w:t>
        </w:r>
      </w:hyperlink>
    </w:p>
    <w:bookmarkEnd w:id="105"/>
    <w:bookmarkStart w:id="107" w:name="ref-lipkus2001"/>
    <w:p>
      <w:pPr>
        <w:pStyle w:val="Bibliography"/>
      </w:pPr>
      <w:r>
        <w:t xml:space="preserve">34.</w:t>
      </w:r>
      <w:r>
        <w:t xml:space="preserve"> </w:t>
      </w:r>
      <w:r>
        <w:t xml:space="preserve">	</w:t>
      </w:r>
      <w:r>
        <w:t xml:space="preserve">Lipkus IM, Samsa G, Rimer BK. General Performance on a Numeracy Scale among Highly Educated Samples. Medical Decision Making [Internet]. 2001 Feb 1;21(1):37–44. Available from:</w:t>
      </w:r>
      <w:r>
        <w:t xml:space="preserve"> </w:t>
      </w:r>
      <w:hyperlink r:id="rId106">
        <w:r>
          <w:rPr>
            <w:rStyle w:val="Hyperlink"/>
          </w:rPr>
          <w:t xml:space="preserve">https://doi.org/10.1177/0272989X0102100105</w:t>
        </w:r>
      </w:hyperlink>
    </w:p>
    <w:bookmarkEnd w:id="107"/>
    <w:bookmarkStart w:id="109" w:name="ref-gabet2000"/>
    <w:p>
      <w:pPr>
        <w:pStyle w:val="Bibliography"/>
      </w:pPr>
      <w:r>
        <w:t xml:space="preserve">35.</w:t>
      </w:r>
      <w:r>
        <w:t xml:space="preserve"> </w:t>
      </w:r>
      <w:r>
        <w:t xml:space="preserve">	</w:t>
      </w:r>
      <w:r>
        <w:t xml:space="preserve">Gabet A, Mortreux F, Talarmin A, Plumelle Y, Leclercq I, Leroy A, et al. High circulating proviral load with oligoclonal expansion of HTLV-1 bearing t cells in HTLV-1 carriers with strongyloidiasis. Oncogene [Internet]. 2000;19:4954–60. Available from:</w:t>
      </w:r>
      <w:r>
        <w:t xml:space="preserve"> </w:t>
      </w:r>
      <w:hyperlink r:id="rId108">
        <w:r>
          <w:rPr>
            <w:rStyle w:val="Hyperlink"/>
          </w:rPr>
          <w:t xml:space="preserve">https://consensus.app/papers/high-circulating-proviral-load-with-oligoclonal-plumelle-gessain/20e44edecdae5b5badaa4873dec0cea8/</w:t>
        </w:r>
      </w:hyperlink>
    </w:p>
    <w:bookmarkEnd w:id="109"/>
    <w:bookmarkStart w:id="111" w:name="ref-ye2022"/>
    <w:p>
      <w:pPr>
        <w:pStyle w:val="Bibliography"/>
      </w:pPr>
      <w:r>
        <w:t xml:space="preserve">36.</w:t>
      </w:r>
      <w:r>
        <w:t xml:space="preserve"> </w:t>
      </w:r>
      <w:r>
        <w:t xml:space="preserve">	</w:t>
      </w:r>
      <w:r>
        <w:t xml:space="preserve">Ye L, Taylor GP, Rosadas C. Human T-Cell Lymphotropic Virus Type 1 and Strongyloides stercoralis Co-infection: A Systematic Review and Meta-Analysis. Frontiers in Medicine [Internet]. 2022 Feb 14;9:832430. Available from:</w:t>
      </w:r>
      <w:r>
        <w:t xml:space="preserve"> </w:t>
      </w:r>
      <w:hyperlink r:id="rId110">
        <w:r>
          <w:rPr>
            <w:rStyle w:val="Hyperlink"/>
          </w:rPr>
          <w:t xml:space="preserve">https://www.frontiersin.org/articles/10.3389/fmed.2022.832430/full</w:t>
        </w:r>
      </w:hyperlink>
    </w:p>
    <w:bookmarkEnd w:id="111"/>
    <w:bookmarkStart w:id="113" w:name="ref-zanella2020"/>
    <w:p>
      <w:pPr>
        <w:pStyle w:val="Bibliography"/>
      </w:pPr>
      <w:r>
        <w:t xml:space="preserve">37.</w:t>
      </w:r>
      <w:r>
        <w:t xml:space="preserve"> </w:t>
      </w:r>
      <w:r>
        <w:t xml:space="preserve">	</w:t>
      </w:r>
      <w:r>
        <w:t xml:space="preserve">Zanella L, Riquelme I, Reyes ME, Tapia MJ, Reyes S, Mora B, et al. Phylogenetic dating analysis of HTLV-1 from Chile suggests transmissions events related to ancient migrations and contemporary expansion. International Journal of Infectious Diseases [Internet]. 2020 Oct;99:186–9. Available from:</w:t>
      </w:r>
      <w:r>
        <w:t xml:space="preserve"> </w:t>
      </w:r>
      <w:hyperlink r:id="rId112">
        <w:r>
          <w:rPr>
            <w:rStyle w:val="Hyperlink"/>
          </w:rPr>
          <w:t xml:space="preserve">https://linkinghub.elsevier.com/retrieve/pii/S1201971220305816</w:t>
        </w:r>
      </w:hyperlink>
    </w:p>
    <w:bookmarkEnd w:id="113"/>
    <w:bookmarkStart w:id="115" w:name="ref-gessain2012"/>
    <w:p>
      <w:pPr>
        <w:pStyle w:val="Bibliography"/>
      </w:pPr>
      <w:r>
        <w:t xml:space="preserve">38.</w:t>
      </w:r>
      <w:r>
        <w:t xml:space="preserve"> </w:t>
      </w:r>
      <w:r>
        <w:t xml:space="preserve">	</w:t>
      </w:r>
      <w:r>
        <w:t xml:space="preserve">Gessain A, Cassar O. Epidemiological aspects and world distribution of HTLV-1 infection. 2012; Available from:</w:t>
      </w:r>
      <w:r>
        <w:t xml:space="preserve"> </w:t>
      </w:r>
      <w:hyperlink r:id="rId114">
        <w:r>
          <w:rPr>
            <w:rStyle w:val="Hyperlink"/>
          </w:rPr>
          <w:t xml:space="preserve">www.frontiersin.org</w:t>
        </w:r>
      </w:hyperlink>
    </w:p>
    <w:bookmarkEnd w:id="115"/>
    <w:bookmarkStart w:id="117" w:name="ref-ishak2020"/>
    <w:p>
      <w:pPr>
        <w:pStyle w:val="Bibliography"/>
      </w:pPr>
      <w:r>
        <w:t xml:space="preserve">39.</w:t>
      </w:r>
      <w:r>
        <w:t xml:space="preserve"> </w:t>
      </w:r>
      <w:r>
        <w:t xml:space="preserve">	</w:t>
      </w:r>
      <w:r>
        <w:t xml:space="preserve">Ishak R, Guimarães Ishak M de O, Azevedo VN, Machado LFA, Vallinoto IMC, Queiroz MAF, et al. HTLV in South America: Origins of a silent ancient human infection. Virus Evolution [Internet]. 2020 Jul 1;6(2):veaa053. Available from:</w:t>
      </w:r>
      <w:r>
        <w:t xml:space="preserve"> </w:t>
      </w:r>
      <w:hyperlink r:id="rId116">
        <w:r>
          <w:rPr>
            <w:rStyle w:val="Hyperlink"/>
          </w:rPr>
          <w:t xml:space="preserve">https://academic.oup.com/ve/article/doi/10.1093/ve/veaa053/5876036</w:t>
        </w:r>
      </w:hyperlink>
    </w:p>
    <w:bookmarkEnd w:id="117"/>
    <w:bookmarkEnd w:id="118"/>
    <w:bookmarkEnd w:id="119"/>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dx.doi.org/10.1016/S1473-3099(19)30402-5" TargetMode="External" /><Relationship Type="http://schemas.openxmlformats.org/officeDocument/2006/relationships/hyperlink" Id="rId116" Target="https://academic.oup.com/ve/article/doi/10.1093/ve/veaa053/5876036" TargetMode="External" /><Relationship Type="http://schemas.openxmlformats.org/officeDocument/2006/relationships/hyperlink" Id="rId74" Target="https://ascopubs.org/doi/10.1200/JCO.2015.63.5540" TargetMode="External" /><Relationship Type="http://schemas.openxmlformats.org/officeDocument/2006/relationships/hyperlink" Id="rId40" Target="https://ashpublications.org/blood/article/doi/10.1182/blood.2022019332/494602/HTLV-1-persistence-and-the-oncogenesis-of-adult-T" TargetMode="External" /><Relationship Type="http://schemas.openxmlformats.org/officeDocument/2006/relationships/hyperlink" Id="rId108" Target="https://consensus.app/papers/high-circulating-proviral-load-with-oligoclonal-plumelle-gessain/20e44edecdae5b5badaa4873dec0cea8/" TargetMode="External" /><Relationship Type="http://schemas.openxmlformats.org/officeDocument/2006/relationships/hyperlink" Id="rId44" Target="https://doi.org/10.1016/j.clml.2021.09.017" TargetMode="External" /><Relationship Type="http://schemas.openxmlformats.org/officeDocument/2006/relationships/hyperlink" Id="rId56" Target="https://doi.org/10.1016/j.ijid.2013.10.005" TargetMode="External" /><Relationship Type="http://schemas.openxmlformats.org/officeDocument/2006/relationships/hyperlink" Id="rId64" Target="https://doi.org/10.1086/315897" TargetMode="External" /><Relationship Type="http://schemas.openxmlformats.org/officeDocument/2006/relationships/hyperlink" Id="rId62" Target="https://doi.org/10.1093/infdis/jiae457" TargetMode="External" /><Relationship Type="http://schemas.openxmlformats.org/officeDocument/2006/relationships/hyperlink" Id="rId106" Target="https://doi.org/10.1177/0272989X0102100105" TargetMode="External" /><Relationship Type="http://schemas.openxmlformats.org/officeDocument/2006/relationships/hyperlink" Id="rId70" Target="https://doi.org/10.1182/blood-2009-12-257410" TargetMode="External" /><Relationship Type="http://schemas.openxmlformats.org/officeDocument/2006/relationships/hyperlink" Id="rId80" Target="https://doi.org/10.1182/bloodadvances.2022007725" TargetMode="External" /><Relationship Type="http://schemas.openxmlformats.org/officeDocument/2006/relationships/hyperlink" Id="rId92" Target="https://doi.org/10.1186/s12889-016-3366-5" TargetMode="External" /><Relationship Type="http://schemas.openxmlformats.org/officeDocument/2006/relationships/hyperlink" Id="rId76" Target="https://doi.org/10.1186/s12985-024-02612-7" TargetMode="External" /><Relationship Type="http://schemas.openxmlformats.org/officeDocument/2006/relationships/hyperlink" Id="rId94" Target="https://doi.org/10.1186/s40364-025-00747-5" TargetMode="External" /><Relationship Type="http://schemas.openxmlformats.org/officeDocument/2006/relationships/hyperlink" Id="rId82" Target="https://doi.org/10.1371/journal.pgen.1005602" TargetMode="External" /><Relationship Type="http://schemas.openxmlformats.org/officeDocument/2006/relationships/hyperlink" Id="rId50" Target="https://dx.plos.org/10.1371/journal.pntd.0001690" TargetMode="External" /><Relationship Type="http://schemas.openxmlformats.org/officeDocument/2006/relationships/hyperlink" Id="rId54" Target="https://dx.plos.org/10.1371/journal.pntd.0009915" TargetMode="External" /><Relationship Type="http://schemas.openxmlformats.org/officeDocument/2006/relationships/hyperlink" Id="rId102" Target="https://dx.plos.org/10.1371/journal.pone.0225596" TargetMode="External" /><Relationship Type="http://schemas.openxmlformats.org/officeDocument/2006/relationships/hyperlink" Id="rId35" Target="https://github.com/deve105/htlv_paper_2025." TargetMode="External" /><Relationship Type="http://schemas.openxmlformats.org/officeDocument/2006/relationships/hyperlink" Id="rId78" Target="https://haematologica.org/article/view/haematol.2024.285233" TargetMode="External" /><Relationship Type="http://schemas.openxmlformats.org/officeDocument/2006/relationships/hyperlink" Id="rId96" Target="https://link.springer.com/10.1007/s13365-020-00924-2" TargetMode="External" /><Relationship Type="http://schemas.openxmlformats.org/officeDocument/2006/relationships/hyperlink" Id="rId112" Target="https://linkinghub.elsevier.com/retrieve/pii/S1201971220305816" TargetMode="External" /><Relationship Type="http://schemas.openxmlformats.org/officeDocument/2006/relationships/hyperlink" Id="rId66" Target="https://linkinghub.elsevier.com/retrieve/pii/S2211124719311933" TargetMode="External" /><Relationship Type="http://schemas.openxmlformats.org/officeDocument/2006/relationships/hyperlink" Id="rId100" Target="https://onlinelibrary.wiley.com/doi/abs/10.1002/jmv.21675" TargetMode="External" /><Relationship Type="http://schemas.openxmlformats.org/officeDocument/2006/relationships/hyperlink" Id="rId88" Target="https://pmc.ncbi.nlm.nih.gov/articles/PMC3062313/" TargetMode="External" /><Relationship Type="http://schemas.openxmlformats.org/officeDocument/2006/relationships/hyperlink" Id="rId52" Target="https://pmc.ncbi.nlm.nih.gov/articles/PMC6200283/" TargetMode="External" /><Relationship Type="http://schemas.openxmlformats.org/officeDocument/2006/relationships/hyperlink" Id="rId114" Target="https://www.frontiersin.org" TargetMode="External" /><Relationship Type="http://schemas.openxmlformats.org/officeDocument/2006/relationships/hyperlink" Id="rId110" Target="https://www.frontiersin.org/articles/10.3389/fmed.2022.832430/full" TargetMode="External" /><Relationship Type="http://schemas.openxmlformats.org/officeDocument/2006/relationships/hyperlink" Id="rId72" Target="https://www.frontiersin.orghttps://www.frontiersin.org/journals/microbiology/articles/10.3389/fmicb.2016.01674/full" TargetMode="External" /><Relationship Type="http://schemas.openxmlformats.org/officeDocument/2006/relationships/hyperlink" Id="rId86" Target="https://www.nature.com/articles/s41467-021-25101-9" TargetMode="External" /><Relationship Type="http://schemas.openxmlformats.org/officeDocument/2006/relationships/hyperlink" Id="rId58" Target="https://www.ncbi.nlm.nih.gov/pmc/articles/PMC7935801/" TargetMode="External" /><Relationship Type="http://schemas.openxmlformats.org/officeDocument/2006/relationships/hyperlink" Id="rId104" Target="https://www.science.org/doi/10.1126/science.adk0777" TargetMode="External" /><Relationship Type="http://schemas.openxmlformats.org/officeDocument/2006/relationships/hyperlink" Id="rId48" Target="https://www.sciencedirect.com/science/article/pii/S0140673618309747" TargetMode="External" /><Relationship Type="http://schemas.openxmlformats.org/officeDocument/2006/relationships/hyperlink" Id="rId60" Target="https://www.sciencedirect.com/science/article/pii/S0145212617304873" TargetMode="External" /><Relationship Type="http://schemas.openxmlformats.org/officeDocument/2006/relationships/hyperlink" Id="rId46" Target="https://www.sciencedirect.com/science/article/pii/S1473309918307357" TargetMode="External" /><Relationship Type="http://schemas.openxmlformats.org/officeDocument/2006/relationships/hyperlink" Id="rId98" Target="https://www.sciencedirect.com/science/article/pii/S1567134822001344" TargetMode="External" /><Relationship Type="http://schemas.openxmlformats.org/officeDocument/2006/relationships/hyperlink" Id="rId90" Target="https://www.sciencedirect.com/science/article/pii/S187778212500150X" TargetMode="External" /><Relationship Type="http://schemas.openxmlformats.org/officeDocument/2006/relationships/hyperlink" Id="rId68" Target="https://www.sciencedirect.com/science/article/pii/S2152265025001442" TargetMode="External" /><Relationship Type="http://schemas.openxmlformats.org/officeDocument/2006/relationships/hyperlink" Id="rId84" Target="https://www.thelancet.com/journals/lanhae/article/PIIS2352-3026(25)00011-0/abstract" TargetMode="External" /></Relationships>
</file>

<file path=word/_rels/footnotes.xml.rels><?xml version="1.0" encoding="UTF-8"?><Relationships xmlns="http://schemas.openxmlformats.org/package/2006/relationships"><Relationship Type="http://schemas.openxmlformats.org/officeDocument/2006/relationships/hyperlink" Id="rId42" Target="http://dx.doi.org/10.1016/S1473-3099(19)30402-5" TargetMode="External" /><Relationship Type="http://schemas.openxmlformats.org/officeDocument/2006/relationships/hyperlink" Id="rId116" Target="https://academic.oup.com/ve/article/doi/10.1093/ve/veaa053/5876036" TargetMode="External" /><Relationship Type="http://schemas.openxmlformats.org/officeDocument/2006/relationships/hyperlink" Id="rId74" Target="https://ascopubs.org/doi/10.1200/JCO.2015.63.5540" TargetMode="External" /><Relationship Type="http://schemas.openxmlformats.org/officeDocument/2006/relationships/hyperlink" Id="rId40" Target="https://ashpublications.org/blood/article/doi/10.1182/blood.2022019332/494602/HTLV-1-persistence-and-the-oncogenesis-of-adult-T" TargetMode="External" /><Relationship Type="http://schemas.openxmlformats.org/officeDocument/2006/relationships/hyperlink" Id="rId108" Target="https://consensus.app/papers/high-circulating-proviral-load-with-oligoclonal-plumelle-gessain/20e44edecdae5b5badaa4873dec0cea8/" TargetMode="External" /><Relationship Type="http://schemas.openxmlformats.org/officeDocument/2006/relationships/hyperlink" Id="rId44" Target="https://doi.org/10.1016/j.clml.2021.09.017" TargetMode="External" /><Relationship Type="http://schemas.openxmlformats.org/officeDocument/2006/relationships/hyperlink" Id="rId56" Target="https://doi.org/10.1016/j.ijid.2013.10.005" TargetMode="External" /><Relationship Type="http://schemas.openxmlformats.org/officeDocument/2006/relationships/hyperlink" Id="rId64" Target="https://doi.org/10.1086/315897" TargetMode="External" /><Relationship Type="http://schemas.openxmlformats.org/officeDocument/2006/relationships/hyperlink" Id="rId62" Target="https://doi.org/10.1093/infdis/jiae457" TargetMode="External" /><Relationship Type="http://schemas.openxmlformats.org/officeDocument/2006/relationships/hyperlink" Id="rId106" Target="https://doi.org/10.1177/0272989X0102100105" TargetMode="External" /><Relationship Type="http://schemas.openxmlformats.org/officeDocument/2006/relationships/hyperlink" Id="rId70" Target="https://doi.org/10.1182/blood-2009-12-257410" TargetMode="External" /><Relationship Type="http://schemas.openxmlformats.org/officeDocument/2006/relationships/hyperlink" Id="rId80" Target="https://doi.org/10.1182/bloodadvances.2022007725" TargetMode="External" /><Relationship Type="http://schemas.openxmlformats.org/officeDocument/2006/relationships/hyperlink" Id="rId92" Target="https://doi.org/10.1186/s12889-016-3366-5" TargetMode="External" /><Relationship Type="http://schemas.openxmlformats.org/officeDocument/2006/relationships/hyperlink" Id="rId76" Target="https://doi.org/10.1186/s12985-024-02612-7" TargetMode="External" /><Relationship Type="http://schemas.openxmlformats.org/officeDocument/2006/relationships/hyperlink" Id="rId94" Target="https://doi.org/10.1186/s40364-025-00747-5" TargetMode="External" /><Relationship Type="http://schemas.openxmlformats.org/officeDocument/2006/relationships/hyperlink" Id="rId82" Target="https://doi.org/10.1371/journal.pgen.1005602" TargetMode="External" /><Relationship Type="http://schemas.openxmlformats.org/officeDocument/2006/relationships/hyperlink" Id="rId50" Target="https://dx.plos.org/10.1371/journal.pntd.0001690" TargetMode="External" /><Relationship Type="http://schemas.openxmlformats.org/officeDocument/2006/relationships/hyperlink" Id="rId54" Target="https://dx.plos.org/10.1371/journal.pntd.0009915" TargetMode="External" /><Relationship Type="http://schemas.openxmlformats.org/officeDocument/2006/relationships/hyperlink" Id="rId102" Target="https://dx.plos.org/10.1371/journal.pone.0225596" TargetMode="External" /><Relationship Type="http://schemas.openxmlformats.org/officeDocument/2006/relationships/hyperlink" Id="rId35" Target="https://github.com/deve105/htlv_paper_2025." TargetMode="External" /><Relationship Type="http://schemas.openxmlformats.org/officeDocument/2006/relationships/hyperlink" Id="rId78" Target="https://haematologica.org/article/view/haematol.2024.285233" TargetMode="External" /><Relationship Type="http://schemas.openxmlformats.org/officeDocument/2006/relationships/hyperlink" Id="rId96" Target="https://link.springer.com/10.1007/s13365-020-00924-2" TargetMode="External" /><Relationship Type="http://schemas.openxmlformats.org/officeDocument/2006/relationships/hyperlink" Id="rId112" Target="https://linkinghub.elsevier.com/retrieve/pii/S1201971220305816" TargetMode="External" /><Relationship Type="http://schemas.openxmlformats.org/officeDocument/2006/relationships/hyperlink" Id="rId66" Target="https://linkinghub.elsevier.com/retrieve/pii/S2211124719311933" TargetMode="External" /><Relationship Type="http://schemas.openxmlformats.org/officeDocument/2006/relationships/hyperlink" Id="rId100" Target="https://onlinelibrary.wiley.com/doi/abs/10.1002/jmv.21675" TargetMode="External" /><Relationship Type="http://schemas.openxmlformats.org/officeDocument/2006/relationships/hyperlink" Id="rId88" Target="https://pmc.ncbi.nlm.nih.gov/articles/PMC3062313/" TargetMode="External" /><Relationship Type="http://schemas.openxmlformats.org/officeDocument/2006/relationships/hyperlink" Id="rId52" Target="https://pmc.ncbi.nlm.nih.gov/articles/PMC6200283/" TargetMode="External" /><Relationship Type="http://schemas.openxmlformats.org/officeDocument/2006/relationships/hyperlink" Id="rId114" Target="https://www.frontiersin.org" TargetMode="External" /><Relationship Type="http://schemas.openxmlformats.org/officeDocument/2006/relationships/hyperlink" Id="rId110" Target="https://www.frontiersin.org/articles/10.3389/fmed.2022.832430/full" TargetMode="External" /><Relationship Type="http://schemas.openxmlformats.org/officeDocument/2006/relationships/hyperlink" Id="rId72" Target="https://www.frontiersin.orghttps://www.frontiersin.org/journals/microbiology/articles/10.3389/fmicb.2016.01674/full" TargetMode="External" /><Relationship Type="http://schemas.openxmlformats.org/officeDocument/2006/relationships/hyperlink" Id="rId86" Target="https://www.nature.com/articles/s41467-021-25101-9" TargetMode="External" /><Relationship Type="http://schemas.openxmlformats.org/officeDocument/2006/relationships/hyperlink" Id="rId58" Target="https://www.ncbi.nlm.nih.gov/pmc/articles/PMC7935801/" TargetMode="External" /><Relationship Type="http://schemas.openxmlformats.org/officeDocument/2006/relationships/hyperlink" Id="rId104" Target="https://www.science.org/doi/10.1126/science.adk0777" TargetMode="External" /><Relationship Type="http://schemas.openxmlformats.org/officeDocument/2006/relationships/hyperlink" Id="rId48" Target="https://www.sciencedirect.com/science/article/pii/S0140673618309747" TargetMode="External" /><Relationship Type="http://schemas.openxmlformats.org/officeDocument/2006/relationships/hyperlink" Id="rId60" Target="https://www.sciencedirect.com/science/article/pii/S0145212617304873" TargetMode="External" /><Relationship Type="http://schemas.openxmlformats.org/officeDocument/2006/relationships/hyperlink" Id="rId46" Target="https://www.sciencedirect.com/science/article/pii/S1473309918307357" TargetMode="External" /><Relationship Type="http://schemas.openxmlformats.org/officeDocument/2006/relationships/hyperlink" Id="rId98" Target="https://www.sciencedirect.com/science/article/pii/S1567134822001344" TargetMode="External" /><Relationship Type="http://schemas.openxmlformats.org/officeDocument/2006/relationships/hyperlink" Id="rId90" Target="https://www.sciencedirect.com/science/article/pii/S187778212500150X" TargetMode="External" /><Relationship Type="http://schemas.openxmlformats.org/officeDocument/2006/relationships/hyperlink" Id="rId68" Target="https://www.sciencedirect.com/science/article/pii/S2152265025001442" TargetMode="External" /><Relationship Type="http://schemas.openxmlformats.org/officeDocument/2006/relationships/hyperlink" Id="rId84" Target="https://www.thelancet.com/journals/lanhae/article/PIIS2352-3026(25)00011-0/abstra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2025-10-05T12:38:36Z</dcterms:created>
  <dcterms:modified xsi:type="dcterms:W3CDTF">2025-10-05T12:38:36Z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