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A212" w14:textId="41420F0C" w:rsidR="003761B6" w:rsidRDefault="003761B6" w:rsidP="003761B6">
      <w:pPr>
        <w:pStyle w:val="Heading2"/>
        <w:jc w:val="both"/>
        <w:rPr>
          <w:rFonts w:ascii="Aptos" w:hAnsi="Aptos"/>
          <w:b/>
          <w:bCs/>
          <w:color w:val="000000" w:themeColor="text1"/>
          <w:sz w:val="24"/>
          <w:szCs w:val="24"/>
        </w:rPr>
      </w:pPr>
      <w:bookmarkStart w:id="0" w:name="X96718fbc847cc42c50fb76d76d58796a2d59a13"/>
      <w:r w:rsidRPr="003761B6">
        <w:rPr>
          <w:rFonts w:ascii="Aptos" w:hAnsi="Aptos"/>
          <w:b/>
          <w:bCs/>
          <w:color w:val="000000" w:themeColor="text1"/>
          <w:sz w:val="24"/>
          <w:szCs w:val="24"/>
        </w:rPr>
        <w:t xml:space="preserve">Reviewer </w:t>
      </w:r>
      <w:r>
        <w:rPr>
          <w:rFonts w:ascii="Aptos" w:hAnsi="Aptos"/>
          <w:b/>
          <w:bCs/>
          <w:color w:val="000000" w:themeColor="text1"/>
          <w:sz w:val="24"/>
          <w:szCs w:val="24"/>
        </w:rPr>
        <w:t>1</w:t>
      </w:r>
      <w:r w:rsidRPr="003761B6">
        <w:rPr>
          <w:rFonts w:ascii="Aptos" w:hAnsi="Aptos"/>
          <w:b/>
          <w:bCs/>
          <w:color w:val="000000" w:themeColor="text1"/>
          <w:sz w:val="24"/>
          <w:szCs w:val="24"/>
        </w:rPr>
        <w:t>:</w:t>
      </w:r>
    </w:p>
    <w:p w14:paraId="55BD6856" w14:textId="65078E07" w:rsidR="0086087F" w:rsidRPr="003761B6" w:rsidRDefault="003761B6" w:rsidP="003761B6">
      <w:pPr>
        <w:pStyle w:val="Heading3"/>
        <w:jc w:val="both"/>
        <w:rPr>
          <w:rFonts w:ascii="Aptos" w:hAnsi="Aptos"/>
          <w:b/>
          <w:bCs/>
          <w:color w:val="000000" w:themeColor="text1"/>
          <w:sz w:val="24"/>
          <w:szCs w:val="24"/>
        </w:rPr>
      </w:pPr>
      <w:r>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 xml:space="preserve">1. For others to replicate this work, it’s crucial to cite the specific software used (FastQC, Fastp, MultiQC, BWA-MEM2, GATK, MAFFT, IQ-TREE, and BEAST) </w:t>
      </w:r>
      <w:proofErr w:type="gramStart"/>
      <w:r w:rsidR="00000000" w:rsidRPr="003761B6">
        <w:rPr>
          <w:rFonts w:ascii="Aptos" w:hAnsi="Aptos"/>
          <w:b/>
          <w:bCs/>
          <w:color w:val="000000" w:themeColor="text1"/>
          <w:sz w:val="24"/>
          <w:szCs w:val="24"/>
        </w:rPr>
        <w:t>and also</w:t>
      </w:r>
      <w:proofErr w:type="gramEnd"/>
      <w:r w:rsidR="00000000" w:rsidRPr="003761B6">
        <w:rPr>
          <w:rFonts w:ascii="Aptos" w:hAnsi="Aptos"/>
          <w:b/>
          <w:bCs/>
          <w:color w:val="000000" w:themeColor="text1"/>
          <w:sz w:val="24"/>
          <w:szCs w:val="24"/>
        </w:rPr>
        <w:t xml:space="preserve"> to note the exact versions run. This level of detail is often missing but is essential.</w:t>
      </w:r>
    </w:p>
    <w:p w14:paraId="5E5891AB"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recognize the importance of citing specific software and their versions for reproducibility. The Methods section has been updated to include the exact versions of all software used in our analysis, including FastQC, Fastp, MultiQC, BWA-MEM2, GATK, MAFFT, IQ-TREE, and BEAST. In addition, the original scripts and intermediate data will be available in the GitHub repository upon publication. A supplementary methods table with all respective versions and citations has also been included. This information is now clearly stated to ensure that others can accurately replicate our work.</w:t>
      </w:r>
    </w:p>
    <w:p w14:paraId="06D93294" w14:textId="73FDA5E3"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 xml:space="preserve"> “FASTQC (Version 0.12.1), Fastp (Version 0.23.4), MultiQC (Version 1.27.1), BWA-MEM2 (Version 2.2.1), GATK (Version 4.3.0), MAFFT (Version 7.49), IQ-TREE (Version 3.0.1), and BEAST (Version 2.7) were the specific software tools used in our analysis.”</w:t>
      </w:r>
    </w:p>
    <w:p w14:paraId="557608FE" w14:textId="03732922"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 xml:space="preserve"> “All pipelines with software citations have been detailed in Supplementary Methods 1 and the paper repository (</w:t>
      </w:r>
      <w:hyperlink r:id="rId5">
        <w:r w:rsidRPr="003761B6">
          <w:rPr>
            <w:rStyle w:val="Hyperlink"/>
            <w:rFonts w:ascii="Aptos" w:hAnsi="Aptos"/>
            <w:color w:val="000000" w:themeColor="text1"/>
          </w:rPr>
          <w:t>https://github.com/deve105/htlv_pa</w:t>
        </w:r>
        <w:r w:rsidRPr="003761B6">
          <w:rPr>
            <w:rStyle w:val="Hyperlink"/>
            <w:rFonts w:ascii="Aptos" w:hAnsi="Aptos"/>
            <w:color w:val="000000" w:themeColor="text1"/>
          </w:rPr>
          <w:t>p</w:t>
        </w:r>
        <w:r w:rsidRPr="003761B6">
          <w:rPr>
            <w:rStyle w:val="Hyperlink"/>
            <w:rFonts w:ascii="Aptos" w:hAnsi="Aptos"/>
            <w:color w:val="000000" w:themeColor="text1"/>
          </w:rPr>
          <w:t>er_2025</w:t>
        </w:r>
      </w:hyperlink>
      <w:r w:rsidRPr="003761B6">
        <w:rPr>
          <w:rFonts w:ascii="Aptos" w:hAnsi="Aptos"/>
          <w:color w:val="000000" w:themeColor="text1"/>
        </w:rPr>
        <w:t>).”</w:t>
      </w:r>
    </w:p>
    <w:p w14:paraId="2C43DF14" w14:textId="4EEF841C" w:rsidR="0086087F" w:rsidRPr="003761B6" w:rsidRDefault="003761B6" w:rsidP="003761B6">
      <w:pPr>
        <w:pStyle w:val="Heading3"/>
        <w:jc w:val="both"/>
        <w:rPr>
          <w:rFonts w:ascii="Aptos" w:hAnsi="Aptos"/>
          <w:b/>
          <w:bCs/>
          <w:color w:val="000000" w:themeColor="text1"/>
          <w:sz w:val="24"/>
          <w:szCs w:val="24"/>
        </w:rPr>
      </w:pPr>
      <w:bookmarkStart w:id="1" w:name="Xcbc09f698192a8002f15120e070b2e708ecc1a4"/>
      <w:bookmarkEnd w:id="0"/>
      <w:r>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2. The authors looked for recombination events the right way, starting with a phi-test and then using several algorithms. However, when I checked the alignments linked to Supplementary Table 3, the evidence for recombination wasn’t convincing in several instances. This part of the analysis, despite secondary, needs more precise support.</w:t>
      </w:r>
    </w:p>
    <w:p w14:paraId="42D1BDD5"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 xml:space="preserve">We acknowledge the importance of providing clear evidence for recombination events. The purpose of the recombination analysis was to exclude any potential confounding effects of recombination on our phylogenomic analyses. A potential recombination signal was considered if at least four algorithms showed statistical significance, and such sequences were excluded from further analyses. Results are presented in Supplementary Table 1 and Supplementary Figure 1, where an additional maximum likelihood tree highlights in red the </w:t>
      </w:r>
      <w:proofErr w:type="gramStart"/>
      <w:r w:rsidRPr="003761B6">
        <w:rPr>
          <w:rFonts w:ascii="Aptos" w:hAnsi="Aptos"/>
          <w:color w:val="000000" w:themeColor="text1"/>
        </w:rPr>
        <w:t>outliers</w:t>
      </w:r>
      <w:proofErr w:type="gramEnd"/>
      <w:r w:rsidRPr="003761B6">
        <w:rPr>
          <w:rFonts w:ascii="Aptos" w:hAnsi="Aptos"/>
          <w:color w:val="000000" w:themeColor="text1"/>
        </w:rPr>
        <w:t xml:space="preserve"> sequences with potential recombinant signals.</w:t>
      </w:r>
    </w:p>
    <w:p w14:paraId="036C7DBB" w14:textId="47008482" w:rsidR="0086087F" w:rsidRPr="003761B6" w:rsidRDefault="003761B6" w:rsidP="003761B6">
      <w:pPr>
        <w:pStyle w:val="Heading3"/>
        <w:jc w:val="both"/>
        <w:rPr>
          <w:rFonts w:ascii="Aptos" w:hAnsi="Aptos"/>
          <w:b/>
          <w:bCs/>
          <w:color w:val="000000" w:themeColor="text1"/>
          <w:sz w:val="24"/>
          <w:szCs w:val="24"/>
        </w:rPr>
      </w:pPr>
      <w:bookmarkStart w:id="2" w:name="X2809fc680dc0bc880657ce218a71a09eef89915"/>
      <w:bookmarkEnd w:id="1"/>
      <w:r>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 xml:space="preserve">3. I also have a couple of questions about the phylogenetics. Could the authors briefly explain why a </w:t>
      </w:r>
      <w:proofErr w:type="gramStart"/>
      <w:r w:rsidR="00000000" w:rsidRPr="003761B6">
        <w:rPr>
          <w:rFonts w:ascii="Aptos" w:hAnsi="Aptos"/>
          <w:b/>
          <w:bCs/>
          <w:color w:val="000000" w:themeColor="text1"/>
          <w:sz w:val="24"/>
          <w:szCs w:val="24"/>
        </w:rPr>
        <w:t>three partition</w:t>
      </w:r>
      <w:proofErr w:type="gramEnd"/>
      <w:r w:rsidR="00000000" w:rsidRPr="003761B6">
        <w:rPr>
          <w:rFonts w:ascii="Aptos" w:hAnsi="Aptos"/>
          <w:b/>
          <w:bCs/>
          <w:color w:val="000000" w:themeColor="text1"/>
          <w:sz w:val="24"/>
          <w:szCs w:val="24"/>
        </w:rPr>
        <w:t xml:space="preserve"> scheme was chosen? Did they try other strategies? Since the LTR region is standard for HTLV-1 genotyping, a straightforward explanation for using a different approach would be helpful.</w:t>
      </w:r>
    </w:p>
    <w:p w14:paraId="7420313E"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 xml:space="preserve">We acknowledge the reviewer’s question regarding our choice of a three-partition scheme for phylogenetic analysis. Most previous phylogenetic studies have focused on the LTR and env regions. However, whole genome-wide phylogenomics captures a more comprehensive evolutionary signal and reduces biases associated with analyses of individual regions (such as LTR or env). In addition, applying a single evolutionary model across the entire genome assumes uniform evolutionary processes, which can oversimplify the complex evolution of viruses and reduce phylogenetic resolution. </w:t>
      </w:r>
      <w:r w:rsidRPr="003761B6">
        <w:rPr>
          <w:rFonts w:ascii="Aptos" w:hAnsi="Aptos"/>
          <w:color w:val="000000" w:themeColor="text1"/>
        </w:rPr>
        <w:lastRenderedPageBreak/>
        <w:t>Partition-wise models are generally recommended for genome-wide viral phylogenomics, as they account for evolutionary rate variation and improve phylogenetic accuracy. Different genomic regions (such as codon positions and genes) evolve at different rates; ignoring this can introduce bias in tree topology and node support.</w:t>
      </w:r>
    </w:p>
    <w:p w14:paraId="120E0E37" w14:textId="77777777"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We tested multiple partitioning strategies using PartitionFinder, including: (i) no partitioning (a single model for the whole genome), (ii) two partitions (LTR vs. the rest of the genome), and (iii) three partitions (LTR, env, and the remainder of the genome). The three-partition scheme was selected as the best-fitting model based on AIC and BIC criteria, providing the optimal balance between model complexity and phylogenetic signal. Our approach integrates previous knowledge of the LTR and env regions while also giving importance to non-canonical regions, which can exhibit significant evolutionary diversity. This strategy allows us to capture different aspects of viral evolution and divergence</w:t>
      </w:r>
    </w:p>
    <w:p w14:paraId="4043FCAB" w14:textId="77777777"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We have included a table and explanation in Supplementary Methods 2, showing AIC, AICc and BIC evaluations under different model assumptions. Once the best partition was selected (AICc: 106,434.9; BIC: 111,991.63), the optimal evolutionary model was determined using ModelFinder implemented in IQ-TREE, with translation to a standard GTR model for RAxML-NG analysis.</w:t>
      </w:r>
    </w:p>
    <w:p w14:paraId="0B40F7CD" w14:textId="61B1E1C9" w:rsidR="0086087F" w:rsidRPr="003761B6" w:rsidRDefault="003761B6" w:rsidP="003761B6">
      <w:pPr>
        <w:pStyle w:val="Heading3"/>
        <w:jc w:val="both"/>
        <w:rPr>
          <w:rFonts w:ascii="Aptos" w:hAnsi="Aptos"/>
          <w:b/>
          <w:bCs/>
          <w:color w:val="000000" w:themeColor="text1"/>
          <w:sz w:val="24"/>
          <w:szCs w:val="24"/>
        </w:rPr>
      </w:pPr>
      <w:bookmarkStart w:id="3" w:name="Xf6dc39564e52bc9f4a1aea8bf9ecc23dc32607b"/>
      <w:bookmarkEnd w:id="2"/>
      <w:r>
        <w:rPr>
          <w:rFonts w:ascii="Aptos" w:hAnsi="Aptos"/>
          <w:b/>
          <w:bCs/>
          <w:color w:val="000000" w:themeColor="text1"/>
          <w:sz w:val="24"/>
          <w:szCs w:val="24"/>
        </w:rPr>
        <w:t>- 4</w:t>
      </w:r>
      <w:r w:rsidR="00000000" w:rsidRPr="003761B6">
        <w:rPr>
          <w:rFonts w:ascii="Aptos" w:hAnsi="Aptos"/>
          <w:b/>
          <w:bCs/>
          <w:color w:val="000000" w:themeColor="text1"/>
          <w:sz w:val="24"/>
          <w:szCs w:val="24"/>
        </w:rPr>
        <w:t xml:space="preserve">. My biggest concern is about the phylogenetic analysis itself. While the discussion of the trees is balanced, the methods underneath need shoring up. For any tree, it’s good practice to check for sufficient phylogenetic signal (e.g., with likelihood mapping). More importantly, for the Bayesian timetree analysis, was a temporal signal </w:t>
      </w:r>
      <w:proofErr w:type="gramStart"/>
      <w:r w:rsidR="00000000" w:rsidRPr="003761B6">
        <w:rPr>
          <w:rFonts w:ascii="Aptos" w:hAnsi="Aptos"/>
          <w:b/>
          <w:bCs/>
          <w:color w:val="000000" w:themeColor="text1"/>
          <w:sz w:val="24"/>
          <w:szCs w:val="24"/>
        </w:rPr>
        <w:t>actually tested</w:t>
      </w:r>
      <w:proofErr w:type="gramEnd"/>
      <w:r w:rsidR="00000000" w:rsidRPr="003761B6">
        <w:rPr>
          <w:rFonts w:ascii="Aptos" w:hAnsi="Aptos"/>
          <w:b/>
          <w:bCs/>
          <w:color w:val="000000" w:themeColor="text1"/>
          <w:sz w:val="24"/>
          <w:szCs w:val="24"/>
        </w:rPr>
        <w:t xml:space="preserve"> for the data? The methods section should also detail and justify the clock model, tree priors, and MCMC settings used in BEAST, including any model testing performed. Finally, the estimated time to the most recent common ancestor (tMRCA) seems surprisingly old. Perhaps some historical context would help in this topic.</w:t>
      </w:r>
    </w:p>
    <w:p w14:paraId="566F387B"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thank the reviewer for their comments and concerns. We assessed the phylogenetic signal using IQ-TREE 3 under the previously exposed 3-partition model, and the results of the likelihood mapping analysis are presented in Supplementary Methods 3. The visualization demonstrates strong phylogenetic signal from the HTLV-1 complete genome sequences, as evidenced by the likelihood mapping results.</w:t>
      </w:r>
    </w:p>
    <w:p w14:paraId="03D6ABB1"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 xml:space="preserve">“Supplementary Methods 3: The IQ-TREE 3.0.1 phylogenetic analysis of 380 HTLV sequences across 9,031 nucleotide sites (comprising LTR, env, and rest regions with 341, 59, and 1,302 informative sites respectively) demonstrates high quality with excellent model fit using partition-specific substitution models. The likelihood mapping analysis reveals strong phylogenetic signal with 92.6% of quartets fully resolved, 2.7% partially resolved, and only 4.7% unresolved, indicating confident branching patterns despite a relatively short tree length of 0.63 substitutions/site. While 182 near-zero internal branches suggest many recently diverged sequences, the 37.15% of branch length attributed to internal nodes indicates some deeper divergences exist. Overall, this represents a high-quality phylogenetic reconstruction with sufficient statistical support to reliably resolve </w:t>
      </w:r>
      <w:r w:rsidRPr="003761B6">
        <w:rPr>
          <w:rFonts w:ascii="Aptos" w:hAnsi="Aptos"/>
          <w:i/>
          <w:iCs/>
          <w:color w:val="000000" w:themeColor="text1"/>
        </w:rPr>
        <w:lastRenderedPageBreak/>
        <w:t>relationships among the 391 HTLV sequences, with all three partitions showing excellent model fit and low missing data (0.085%).”</w:t>
      </w:r>
    </w:p>
    <w:p w14:paraId="5D855315"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“Supplementary Methods 4: Regarding temporal signal, most whole-genome sequences from HTLV-1 have been obtained over the past two decades (contemporaneous with limited temporal variation), a significant but constrained achievement given the virus’s persistent latency and predominantly vertical transmission route. The absence of ancient HTLV-1 samples substantially hampers our ability to reconstruct viral evolutionary history and divergence time estimates. Current evidence suggests that HTLV-1 diverged from HTLV-1c (Australo-Melanesian lineage) during the Late Pleistocene, approximately 40,000–50,000 years before present (YBP); this timeframe coincides with our conservative molecular clock calibration (~40,000 YBP) (Cassar et al., 2013; Switzer et al., 2009). Consequently, HTLV-1 sequences analyzed in this study exhibit predominantly homochronous sampling (contemporaneous strains collected within recent decades) with limited temporal genetic variation. We assessed temporal signal quality using TempEst prior to Bayesian phylodynamic analysis, which revealed weak but estimable temporal structure. This characteristic inherently restricts the precision and reliability of molecular clock-based phylogenetic inference and divergence time estimation.</w:t>
      </w:r>
    </w:p>
    <w:p w14:paraId="5ED125CB"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To account for region-specific molecular evolution rates, we implemented a correlated relaxed clock model with three partition-specific priors, reflecting empirically-derived substitution rate estimates from prior studies (Van Dooren et al., 2004): LTR region (3.56 × 10</w:t>
      </w:r>
      <w:r w:rsidRPr="003761B6">
        <w:rPr>
          <w:rFonts w:ascii="Cambria Math" w:hAnsi="Cambria Math" w:cs="Cambria Math"/>
          <w:i/>
          <w:iCs/>
          <w:color w:val="000000" w:themeColor="text1"/>
        </w:rPr>
        <w:t>⁻</w:t>
      </w:r>
      <w:r w:rsidRPr="003761B6">
        <w:rPr>
          <w:rFonts w:ascii="Aptos" w:hAnsi="Aptos"/>
          <w:i/>
          <w:iCs/>
          <w:color w:val="000000" w:themeColor="text1"/>
        </w:rPr>
        <w:t>⁶ substitutions/site/year; 95% highest posterior density [HPD]: 5.4 × 10</w:t>
      </w:r>
      <w:r w:rsidRPr="003761B6">
        <w:rPr>
          <w:rFonts w:ascii="Cambria Math" w:hAnsi="Cambria Math" w:cs="Cambria Math"/>
          <w:i/>
          <w:iCs/>
          <w:color w:val="000000" w:themeColor="text1"/>
        </w:rPr>
        <w:t>⁻</w:t>
      </w:r>
      <w:r w:rsidRPr="003761B6">
        <w:rPr>
          <w:rFonts w:ascii="Aptos" w:hAnsi="Aptos"/>
          <w:i/>
          <w:iCs/>
          <w:color w:val="000000" w:themeColor="text1"/>
        </w:rPr>
        <w:t>⁷ to 1.25 × 10</w:t>
      </w:r>
      <w:r w:rsidRPr="003761B6">
        <w:rPr>
          <w:rFonts w:ascii="Cambria Math" w:hAnsi="Cambria Math" w:cs="Cambria Math"/>
          <w:i/>
          <w:iCs/>
          <w:color w:val="000000" w:themeColor="text1"/>
        </w:rPr>
        <w:t>⁻</w:t>
      </w:r>
      <w:r w:rsidRPr="003761B6">
        <w:rPr>
          <w:rFonts w:ascii="Aptos" w:hAnsi="Aptos"/>
          <w:i/>
          <w:iCs/>
          <w:color w:val="000000" w:themeColor="text1"/>
        </w:rPr>
        <w:t>⁵), env region (7.3 × 10</w:t>
      </w:r>
      <w:r w:rsidRPr="003761B6">
        <w:rPr>
          <w:rFonts w:ascii="Cambria Math" w:hAnsi="Cambria Math" w:cs="Cambria Math"/>
          <w:i/>
          <w:iCs/>
          <w:color w:val="000000" w:themeColor="text1"/>
        </w:rPr>
        <w:t>⁻</w:t>
      </w:r>
      <w:r w:rsidRPr="003761B6">
        <w:rPr>
          <w:rFonts w:ascii="Aptos" w:hAnsi="Aptos"/>
          <w:i/>
          <w:iCs/>
          <w:color w:val="000000" w:themeColor="text1"/>
        </w:rPr>
        <w:t>⁶ substitutions/site/year; HPD: 1.73 × 10</w:t>
      </w:r>
      <w:r w:rsidRPr="003761B6">
        <w:rPr>
          <w:rFonts w:ascii="Cambria Math" w:hAnsi="Cambria Math" w:cs="Cambria Math"/>
          <w:i/>
          <w:iCs/>
          <w:color w:val="000000" w:themeColor="text1"/>
        </w:rPr>
        <w:t>⁻</w:t>
      </w:r>
      <w:r w:rsidRPr="003761B6">
        <w:rPr>
          <w:rFonts w:ascii="Aptos" w:hAnsi="Aptos"/>
          <w:i/>
          <w:iCs/>
          <w:color w:val="000000" w:themeColor="text1"/>
        </w:rPr>
        <w:t>⁶ to 2.33 × 10</w:t>
      </w:r>
      <w:r w:rsidRPr="003761B6">
        <w:rPr>
          <w:rFonts w:ascii="Cambria Math" w:hAnsi="Cambria Math" w:cs="Cambria Math"/>
          <w:i/>
          <w:iCs/>
          <w:color w:val="000000" w:themeColor="text1"/>
        </w:rPr>
        <w:t>⁻</w:t>
      </w:r>
      <w:r w:rsidRPr="003761B6">
        <w:rPr>
          <w:rFonts w:ascii="Aptos" w:hAnsi="Aptos"/>
          <w:i/>
          <w:iCs/>
          <w:color w:val="000000" w:themeColor="text1"/>
        </w:rPr>
        <w:t>⁵), and the remainder of the genome (8.0 × 10</w:t>
      </w:r>
      <w:r w:rsidRPr="003761B6">
        <w:rPr>
          <w:rFonts w:ascii="Cambria Math" w:hAnsi="Cambria Math" w:cs="Cambria Math"/>
          <w:i/>
          <w:iCs/>
          <w:color w:val="000000" w:themeColor="text1"/>
        </w:rPr>
        <w:t>⁻</w:t>
      </w:r>
      <w:r w:rsidRPr="003761B6">
        <w:rPr>
          <w:rFonts w:ascii="Aptos" w:hAnsi="Aptos"/>
          <w:i/>
          <w:iCs/>
          <w:color w:val="000000" w:themeColor="text1"/>
        </w:rPr>
        <w:t>⁶ substitutions/site/year; HPD: 9.58 × 10</w:t>
      </w:r>
      <w:r w:rsidRPr="003761B6">
        <w:rPr>
          <w:rFonts w:ascii="Cambria Math" w:hAnsi="Cambria Math" w:cs="Cambria Math"/>
          <w:i/>
          <w:iCs/>
          <w:color w:val="000000" w:themeColor="text1"/>
        </w:rPr>
        <w:t>⁻</w:t>
      </w:r>
      <w:r w:rsidRPr="003761B6">
        <w:rPr>
          <w:rFonts w:ascii="Aptos" w:hAnsi="Aptos"/>
          <w:i/>
          <w:iCs/>
          <w:color w:val="000000" w:themeColor="text1"/>
        </w:rPr>
        <w:t>⁸ to 1.9 × 10</w:t>
      </w:r>
      <w:r w:rsidRPr="003761B6">
        <w:rPr>
          <w:rFonts w:ascii="Cambria Math" w:hAnsi="Cambria Math" w:cs="Cambria Math"/>
          <w:i/>
          <w:iCs/>
          <w:color w:val="000000" w:themeColor="text1"/>
        </w:rPr>
        <w:t>⁻</w:t>
      </w:r>
      <w:r w:rsidRPr="003761B6">
        <w:rPr>
          <w:rFonts w:ascii="Aptos" w:hAnsi="Aptos"/>
          <w:i/>
          <w:iCs/>
          <w:color w:val="000000" w:themeColor="text1"/>
        </w:rPr>
        <w:t>⁵). Each clock model was assigned a uniform prior distribution between predefined bounds. Substitution model priors were derived from maximum-likelihood model selection (IQ-TREE3) and converted to GTR parameterization for BEAST2 compatibility. We employed a coalescent model with constant population size as the tree prior, applied consistently across all three genomic partitions.</w:t>
      </w:r>
    </w:p>
    <w:p w14:paraId="2F4A089D" w14:textId="77777777" w:rsid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Bayesian phylodynamic inference was performed using BEAST2 with Markov chain Monte Carlo (MCMC) sampling across 500 million iterations, with sampling every 50,000 iterations. After discarding the first 10% of iterations as burn-in, we retained 9,000 posterior samples for downstream analysis. Convergence was assessed by confirming effective sample size (ESS) &gt; 200 for all estimated parameters, indicating adequate mixing and posterior sampling. Consistency across methods was ensured by conducting parallel phylogenetic inference using the identical partitioning scheme in IQ-TREE3 (maximum likelihood) and BEAST2 (Bayesian), allowing direct comparison of topology and divergence time estimates.”</w:t>
      </w:r>
      <w:bookmarkStart w:id="4" w:name="X71a515e435f3ec834049b3f272f22693342f614"/>
      <w:bookmarkEnd w:id="3"/>
    </w:p>
    <w:p w14:paraId="5C80A013" w14:textId="0B55F906" w:rsidR="0086087F" w:rsidRPr="003761B6" w:rsidRDefault="003761B6" w:rsidP="003761B6">
      <w:pPr>
        <w:pStyle w:val="BodyText"/>
        <w:jc w:val="both"/>
        <w:rPr>
          <w:rFonts w:ascii="Aptos" w:hAnsi="Aptos"/>
          <w:i/>
          <w:iCs/>
          <w:color w:val="000000" w:themeColor="text1"/>
        </w:rPr>
      </w:pPr>
      <w:r>
        <w:rPr>
          <w:rFonts w:ascii="Aptos" w:hAnsi="Aptos"/>
          <w:i/>
          <w:iCs/>
          <w:color w:val="000000" w:themeColor="text1"/>
        </w:rPr>
        <w:t>-</w:t>
      </w:r>
      <w:r>
        <w:rPr>
          <w:rFonts w:ascii="Aptos" w:hAnsi="Aptos"/>
          <w:b/>
          <w:bCs/>
          <w:color w:val="000000" w:themeColor="text1"/>
        </w:rPr>
        <w:t xml:space="preserve">5. </w:t>
      </w:r>
      <w:r w:rsidR="00000000" w:rsidRPr="003761B6">
        <w:rPr>
          <w:rFonts w:ascii="Aptos" w:hAnsi="Aptos"/>
          <w:b/>
          <w:bCs/>
          <w:color w:val="000000" w:themeColor="text1"/>
        </w:rPr>
        <w:t>On line 162, the methods for filtering should be described.</w:t>
      </w:r>
    </w:p>
    <w:p w14:paraId="4D89EA1E"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 xml:space="preserve">We appreciate the reviewer’s comments on the filtering methodology. We have added Supplementary Methods 5, which provides a comprehensive description of the multi-stage quality control and filtering pipeline employed for somatic variant calling, including </w:t>
      </w:r>
      <w:r w:rsidRPr="003761B6">
        <w:rPr>
          <w:rFonts w:ascii="Aptos" w:hAnsi="Aptos"/>
          <w:color w:val="000000" w:themeColor="text1"/>
        </w:rPr>
        <w:lastRenderedPageBreak/>
        <w:t>detailed threshold specifications, justification for each filter criterion, and benchmark validation.</w:t>
      </w:r>
    </w:p>
    <w:p w14:paraId="3EE76C59"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 xml:space="preserve">“Somatic Variant Calling and Annotation. Somatic variants were identified using GATK Mutect2 and subjected to a multi-stage quality control and filtering pipeline. Raw variant calls were processed using GATK VariantFiltration with ten </w:t>
      </w:r>
      <w:proofErr w:type="gramStart"/>
      <w:r w:rsidRPr="003761B6">
        <w:rPr>
          <w:rFonts w:ascii="Aptos" w:hAnsi="Aptos"/>
          <w:i/>
          <w:iCs/>
          <w:color w:val="000000" w:themeColor="text1"/>
        </w:rPr>
        <w:t>empirically-derived</w:t>
      </w:r>
      <w:proofErr w:type="gramEnd"/>
      <w:r w:rsidRPr="003761B6">
        <w:rPr>
          <w:rFonts w:ascii="Aptos" w:hAnsi="Aptos"/>
          <w:i/>
          <w:iCs/>
          <w:color w:val="000000" w:themeColor="text1"/>
        </w:rPr>
        <w:t xml:space="preserve"> hard filters to exclude sequencing and alignment artifacts, consistent with established best practices for somatic variant discovery (Van der Auwera et al., 2013; Cibulskis et al., 2013). Variants were filtered based on the following criteria: allele frequency (AF &lt; 0.01), allelic depth in tumor sample (AD &lt; 5 reads), sequencing depth (DP &lt; 100×), strand bias (Fisher Strand score &gt; 25.0), somatic evidence strength (Tumor Log-Odds ratio &lt; 3.0), base quality (MBQ &lt; 25), mapping quality (MQ &lt; 30), and read position bias (ReadPosRankSum &lt; −5.0). Additionally, variants with evidence of sample contamination (CONTQ &lt; 20), potential germline contamination (GERMQ &lt; 20), or duplicate artifacts (AS_UNIQ_ALT_READ_COUNT &lt; 2) were flagged as </w:t>
      </w:r>
      <w:proofErr w:type="gramStart"/>
      <w:r w:rsidRPr="003761B6">
        <w:rPr>
          <w:rFonts w:ascii="Aptos" w:hAnsi="Aptos"/>
          <w:i/>
          <w:iCs/>
          <w:color w:val="000000" w:themeColor="text1"/>
        </w:rPr>
        <w:t>low-confidence</w:t>
      </w:r>
      <w:proofErr w:type="gramEnd"/>
      <w:r w:rsidRPr="003761B6">
        <w:rPr>
          <w:rFonts w:ascii="Aptos" w:hAnsi="Aptos"/>
          <w:i/>
          <w:iCs/>
          <w:color w:val="000000" w:themeColor="text1"/>
        </w:rPr>
        <w:t>. Fragment length bias—a sensitive indicator of systematic sequencing errors (Poplin et al., 2016)—was assessed by comparing insert size distributions between reference and alternate alleles (|</w:t>
      </w:r>
      <w:proofErr w:type="gramStart"/>
      <w:r w:rsidRPr="003761B6">
        <w:rPr>
          <w:rFonts w:ascii="Aptos" w:hAnsi="Aptos"/>
          <w:i/>
          <w:iCs/>
          <w:color w:val="000000" w:themeColor="text1"/>
        </w:rPr>
        <w:t>MFRL[</w:t>
      </w:r>
      <w:proofErr w:type="gramEnd"/>
      <w:r w:rsidRPr="003761B6">
        <w:rPr>
          <w:rFonts w:ascii="Aptos" w:hAnsi="Aptos"/>
          <w:i/>
          <w:iCs/>
          <w:color w:val="000000" w:themeColor="text1"/>
        </w:rPr>
        <w:t xml:space="preserve">tumor] − </w:t>
      </w:r>
      <w:proofErr w:type="gramStart"/>
      <w:r w:rsidRPr="003761B6">
        <w:rPr>
          <w:rFonts w:ascii="Aptos" w:hAnsi="Aptos"/>
          <w:i/>
          <w:iCs/>
          <w:color w:val="000000" w:themeColor="text1"/>
        </w:rPr>
        <w:t>MFRL[</w:t>
      </w:r>
      <w:proofErr w:type="gramEnd"/>
      <w:r w:rsidRPr="003761B6">
        <w:rPr>
          <w:rFonts w:ascii="Aptos" w:hAnsi="Aptos"/>
          <w:i/>
          <w:iCs/>
          <w:color w:val="000000" w:themeColor="text1"/>
        </w:rPr>
        <w:t>normal]| &gt; 100). High-confidence somatic variants passing all filters were annotated using GATK Funcotator with functional effect prediction and cross-reference to external databases (ClinVar, gnomAD, dbSNP) using BEST_EFFECT transcript selection to assign the single most biologically consequential annotation per variant. The final variant call set comprised variants with PASS status in the VCF file, representing high-confidence somatic mutations suitable for downstream analysis.”</w:t>
      </w:r>
    </w:p>
    <w:p w14:paraId="4F3457F1" w14:textId="38C028CA" w:rsidR="0086087F" w:rsidRPr="003761B6" w:rsidRDefault="003761B6" w:rsidP="003761B6">
      <w:pPr>
        <w:pStyle w:val="Heading2"/>
        <w:jc w:val="both"/>
        <w:rPr>
          <w:rFonts w:ascii="Aptos" w:hAnsi="Aptos"/>
          <w:b/>
          <w:bCs/>
          <w:color w:val="000000" w:themeColor="text1"/>
          <w:sz w:val="24"/>
          <w:szCs w:val="24"/>
        </w:rPr>
      </w:pPr>
      <w:bookmarkStart w:id="5" w:name="X0ea9107465de21073fc8be83e84516634849da1"/>
      <w:bookmarkEnd w:id="4"/>
      <w:r>
        <w:rPr>
          <w:rFonts w:ascii="Aptos" w:hAnsi="Aptos"/>
          <w:b/>
          <w:bCs/>
          <w:color w:val="000000" w:themeColor="text1"/>
          <w:sz w:val="24"/>
          <w:szCs w:val="24"/>
        </w:rPr>
        <w:t xml:space="preserve">-6. </w:t>
      </w:r>
      <w:r w:rsidR="00000000" w:rsidRPr="003761B6">
        <w:rPr>
          <w:rFonts w:ascii="Aptos" w:hAnsi="Aptos"/>
          <w:b/>
          <w:bCs/>
          <w:color w:val="000000" w:themeColor="text1"/>
          <w:sz w:val="24"/>
          <w:szCs w:val="24"/>
        </w:rPr>
        <w:t>258 The median HTLV-1 genome coverage in the Peruvian cohort was 158x (IQR: 23-218); It is not clear which patients the authors are reffering to.</w:t>
      </w:r>
    </w:p>
    <w:p w14:paraId="261E8893"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appreciate the reviewer’s comments and have revised the paragraph to improve clarity and readability. The updated text addresses the points raised and ensures that the information is presented in a more accessible and coherent manner.</w:t>
      </w:r>
    </w:p>
    <w:p w14:paraId="7C6A48F0" w14:textId="7C6FAED1"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“A total of 71 DNA samples—corresponding to 67 patients—were analyzed (including 4 patients with serial time-point samples). The median HTLV-1 genome coverage across all 67 patients in the Peruvian cohort was 158× (interquartile range [IQR]: 23–218×). After excluding 4 patients with less than 5× viral coverage (coincidentally, all with a PVL ≤ 0.25%), the final dataset comprised 63 cases (Supplementary Figure 1A–B).”</w:t>
      </w:r>
    </w:p>
    <w:p w14:paraId="147D21B7" w14:textId="386BA1A2" w:rsidR="0086087F" w:rsidRPr="003761B6" w:rsidRDefault="003761B6" w:rsidP="003761B6">
      <w:pPr>
        <w:pStyle w:val="Heading2"/>
        <w:jc w:val="both"/>
        <w:rPr>
          <w:rFonts w:ascii="Aptos" w:hAnsi="Aptos"/>
          <w:b/>
          <w:bCs/>
          <w:color w:val="000000" w:themeColor="text1"/>
          <w:sz w:val="24"/>
          <w:szCs w:val="24"/>
        </w:rPr>
      </w:pPr>
      <w:bookmarkStart w:id="6" w:name="Xd378d7ef0d112e90c332f96e5481005df786423"/>
      <w:bookmarkEnd w:id="5"/>
      <w:r>
        <w:rPr>
          <w:rFonts w:ascii="Aptos" w:hAnsi="Aptos"/>
          <w:b/>
          <w:bCs/>
          <w:color w:val="000000" w:themeColor="text1"/>
          <w:sz w:val="24"/>
          <w:szCs w:val="24"/>
        </w:rPr>
        <w:t xml:space="preserve">-7. </w:t>
      </w:r>
      <w:r w:rsidR="00000000" w:rsidRPr="003761B6">
        <w:rPr>
          <w:rFonts w:ascii="Aptos" w:hAnsi="Aptos"/>
          <w:b/>
          <w:bCs/>
          <w:color w:val="000000" w:themeColor="text1"/>
          <w:sz w:val="24"/>
          <w:szCs w:val="24"/>
        </w:rPr>
        <w:t xml:space="preserve">243 The PVL in this cohort was high, with a median of 4.5 ± 3.8, indicating that it represents a high-risk carrier population (15). The authors should describe if this is expected or if was an inclusion </w:t>
      </w:r>
      <w:proofErr w:type="gramStart"/>
      <w:r w:rsidR="00000000" w:rsidRPr="003761B6">
        <w:rPr>
          <w:rFonts w:ascii="Aptos" w:hAnsi="Aptos"/>
          <w:b/>
          <w:bCs/>
          <w:color w:val="000000" w:themeColor="text1"/>
          <w:sz w:val="24"/>
          <w:szCs w:val="24"/>
        </w:rPr>
        <w:t>criteria</w:t>
      </w:r>
      <w:proofErr w:type="gramEnd"/>
      <w:r w:rsidR="00000000" w:rsidRPr="003761B6">
        <w:rPr>
          <w:rFonts w:ascii="Aptos" w:hAnsi="Aptos"/>
          <w:b/>
          <w:bCs/>
          <w:color w:val="000000" w:themeColor="text1"/>
          <w:sz w:val="24"/>
          <w:szCs w:val="24"/>
        </w:rPr>
        <w:t>?</w:t>
      </w:r>
    </w:p>
    <w:p w14:paraId="1F832CFE"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acknowledge the inquiry regarding the study population. This is a hospital-based cohort, as emphasized in the Discussion. Our results show similar values to those observed in an independent group in Peru, reflecting that a high proviral load was expected in this cohort. In the Limitations section, we have highlighted the need for population-</w:t>
      </w:r>
      <w:r w:rsidRPr="003761B6">
        <w:rPr>
          <w:rFonts w:ascii="Aptos" w:hAnsi="Aptos"/>
          <w:color w:val="000000" w:themeColor="text1"/>
        </w:rPr>
        <w:lastRenderedPageBreak/>
        <w:t>based screening and proviral load assessment to confirm the high burden of PVL in the Peruvian population.</w:t>
      </w:r>
    </w:p>
    <w:p w14:paraId="0661D901" w14:textId="791041FD" w:rsidR="0086087F" w:rsidRPr="003761B6" w:rsidRDefault="00000000" w:rsidP="003761B6">
      <w:pPr>
        <w:pStyle w:val="BodyText"/>
        <w:jc w:val="both"/>
        <w:rPr>
          <w:rFonts w:ascii="Aptos" w:hAnsi="Aptos"/>
          <w:i/>
          <w:iCs/>
          <w:color w:val="000000" w:themeColor="text1"/>
        </w:rPr>
      </w:pPr>
      <w:r w:rsidRPr="003761B6">
        <w:rPr>
          <w:rFonts w:ascii="Aptos" w:hAnsi="Aptos"/>
          <w:color w:val="000000" w:themeColor="text1"/>
        </w:rPr>
        <w:t xml:space="preserve"> </w:t>
      </w:r>
      <w:r w:rsidRPr="003761B6">
        <w:rPr>
          <w:rFonts w:ascii="Aptos" w:hAnsi="Aptos"/>
          <w:i/>
          <w:iCs/>
          <w:color w:val="000000" w:themeColor="text1"/>
        </w:rPr>
        <w:t>“</w:t>
      </w:r>
      <w:proofErr w:type="gramStart"/>
      <w:r w:rsidRPr="003761B6">
        <w:rPr>
          <w:rFonts w:ascii="Aptos" w:hAnsi="Aptos"/>
          <w:i/>
          <w:iCs/>
          <w:color w:val="000000" w:themeColor="text1"/>
        </w:rPr>
        <w:t>we</w:t>
      </w:r>
      <w:proofErr w:type="gramEnd"/>
      <w:r w:rsidRPr="003761B6">
        <w:rPr>
          <w:rFonts w:ascii="Aptos" w:hAnsi="Aptos"/>
          <w:i/>
          <w:iCs/>
          <w:color w:val="000000" w:themeColor="text1"/>
        </w:rPr>
        <w:t xml:space="preserve"> evaluated a prospective Peruvian hospital-based cohort characterized by high-risk infection (median PVL 4.5%)”</w:t>
      </w:r>
    </w:p>
    <w:p w14:paraId="72CEAED6" w14:textId="7FC08A42"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 xml:space="preserve"> “The median PVL in this cohort was substantially higher than previously reported studies in other populations, including Australian Indigenous(&lt;1%), (28) Japanese (1.4%), (29) Brazilian (&lt;1% AC, ~20% HAM/TSP), (30) and Iranian cohorts (&lt;4%) (31), although similar to those found by another Peruvian group (11% AC, 26% HAM/TSP). (32)”</w:t>
      </w:r>
    </w:p>
    <w:p w14:paraId="7E163FC6" w14:textId="1884EFDA" w:rsidR="0086087F" w:rsidRPr="003761B6" w:rsidRDefault="00000000" w:rsidP="003761B6">
      <w:pPr>
        <w:pStyle w:val="BodyText"/>
        <w:jc w:val="both"/>
        <w:rPr>
          <w:rFonts w:ascii="Aptos" w:hAnsi="Aptos"/>
          <w:i/>
          <w:iCs/>
          <w:color w:val="000000" w:themeColor="text1"/>
        </w:rPr>
      </w:pPr>
      <w:r w:rsidRPr="003761B6">
        <w:rPr>
          <w:rFonts w:ascii="Aptos" w:hAnsi="Aptos"/>
          <w:color w:val="000000" w:themeColor="text1"/>
        </w:rPr>
        <w:t xml:space="preserve"> </w:t>
      </w:r>
      <w:r w:rsidRPr="003761B6">
        <w:rPr>
          <w:rFonts w:ascii="Aptos" w:hAnsi="Aptos"/>
          <w:i/>
          <w:iCs/>
          <w:color w:val="000000" w:themeColor="text1"/>
        </w:rPr>
        <w:t xml:space="preserve">“The hospital-based recruitment strategy may introduce selection bias toward cases with higher infection </w:t>
      </w:r>
      <w:proofErr w:type="gramStart"/>
      <w:r w:rsidRPr="003761B6">
        <w:rPr>
          <w:rFonts w:ascii="Aptos" w:hAnsi="Aptos"/>
          <w:i/>
          <w:iCs/>
          <w:color w:val="000000" w:themeColor="text1"/>
        </w:rPr>
        <w:t>burden,</w:t>
      </w:r>
      <w:proofErr w:type="gramEnd"/>
      <w:r w:rsidRPr="003761B6">
        <w:rPr>
          <w:rFonts w:ascii="Aptos" w:hAnsi="Aptos"/>
          <w:i/>
          <w:iCs/>
          <w:color w:val="000000" w:themeColor="text1"/>
        </w:rPr>
        <w:t xml:space="preserve"> potentially overestimating disease severity markers compared to population-based studies.”</w:t>
      </w:r>
    </w:p>
    <w:p w14:paraId="36998EAF" w14:textId="0F5F3864" w:rsidR="0086087F" w:rsidRPr="003761B6" w:rsidRDefault="003761B6" w:rsidP="003761B6">
      <w:pPr>
        <w:pStyle w:val="Heading2"/>
        <w:jc w:val="both"/>
        <w:rPr>
          <w:rFonts w:ascii="Aptos" w:hAnsi="Aptos"/>
          <w:b/>
          <w:bCs/>
          <w:color w:val="000000" w:themeColor="text1"/>
          <w:sz w:val="24"/>
          <w:szCs w:val="24"/>
        </w:rPr>
      </w:pPr>
      <w:bookmarkStart w:id="7" w:name="Xe426215f3ca3692eb600eda558ccc3e5583ac7b"/>
      <w:bookmarkEnd w:id="6"/>
      <w:r>
        <w:rPr>
          <w:rFonts w:ascii="Aptos" w:hAnsi="Aptos"/>
          <w:b/>
          <w:bCs/>
          <w:color w:val="000000" w:themeColor="text1"/>
          <w:sz w:val="24"/>
          <w:szCs w:val="24"/>
        </w:rPr>
        <w:t xml:space="preserve">-8. </w:t>
      </w:r>
      <w:r w:rsidR="00000000" w:rsidRPr="003761B6">
        <w:rPr>
          <w:rFonts w:ascii="Aptos" w:hAnsi="Aptos"/>
          <w:b/>
          <w:bCs/>
          <w:color w:val="000000" w:themeColor="text1"/>
          <w:sz w:val="24"/>
          <w:szCs w:val="24"/>
        </w:rPr>
        <w:t xml:space="preserve">Figure 2. Bootstrap colouring should be less polluted, I suggest to </w:t>
      </w:r>
      <w:proofErr w:type="gramStart"/>
      <w:r w:rsidR="00000000" w:rsidRPr="003761B6">
        <w:rPr>
          <w:rFonts w:ascii="Aptos" w:hAnsi="Aptos"/>
          <w:b/>
          <w:bCs/>
          <w:color w:val="000000" w:themeColor="text1"/>
          <w:sz w:val="24"/>
          <w:szCs w:val="24"/>
        </w:rPr>
        <w:t>just leave,</w:t>
      </w:r>
      <w:proofErr w:type="gramEnd"/>
      <w:r w:rsidR="00000000" w:rsidRPr="003761B6">
        <w:rPr>
          <w:rFonts w:ascii="Aptos" w:hAnsi="Aptos"/>
          <w:b/>
          <w:bCs/>
          <w:color w:val="000000" w:themeColor="text1"/>
          <w:sz w:val="24"/>
          <w:szCs w:val="24"/>
        </w:rPr>
        <w:t xml:space="preserve"> the bootstrap values over 90%.</w:t>
      </w:r>
    </w:p>
    <w:p w14:paraId="3C039DE0"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appreciate this suggestion and have split Figure 2 into panels A and B to emphasize the high diversity of Peruvian samples across all clusters (highlighted in red text). Additionally, we now display only bootstrap values greater than 80%.</w:t>
      </w:r>
    </w:p>
    <w:p w14:paraId="71CC6D18" w14:textId="77777777" w:rsidR="0086087F" w:rsidRPr="003761B6" w:rsidRDefault="00000000" w:rsidP="003761B6">
      <w:pPr>
        <w:pStyle w:val="Heading2"/>
        <w:jc w:val="both"/>
        <w:rPr>
          <w:rFonts w:ascii="Aptos" w:hAnsi="Aptos"/>
          <w:b/>
          <w:bCs/>
          <w:color w:val="000000" w:themeColor="text1"/>
          <w:sz w:val="24"/>
          <w:szCs w:val="24"/>
        </w:rPr>
      </w:pPr>
      <w:bookmarkStart w:id="8" w:name="reviewer-2"/>
      <w:bookmarkEnd w:id="7"/>
      <w:r w:rsidRPr="003761B6">
        <w:rPr>
          <w:rFonts w:ascii="Aptos" w:hAnsi="Aptos"/>
          <w:b/>
          <w:bCs/>
          <w:color w:val="000000" w:themeColor="text1"/>
          <w:sz w:val="24"/>
          <w:szCs w:val="24"/>
        </w:rPr>
        <w:t>Reviewer 2:</w:t>
      </w:r>
    </w:p>
    <w:p w14:paraId="4A821FF0" w14:textId="1E481468" w:rsidR="0086087F" w:rsidRPr="003761B6" w:rsidRDefault="003761B6" w:rsidP="003761B6">
      <w:pPr>
        <w:pStyle w:val="Heading3"/>
        <w:jc w:val="both"/>
        <w:rPr>
          <w:rFonts w:ascii="Aptos" w:hAnsi="Aptos"/>
          <w:b/>
          <w:bCs/>
          <w:color w:val="000000" w:themeColor="text1"/>
          <w:sz w:val="24"/>
          <w:szCs w:val="24"/>
        </w:rPr>
      </w:pPr>
      <w:bookmarkStart w:id="9" w:name="X20293b9c5e7fed3b9af99a7f3d99849b9afa696"/>
      <w:r w:rsidRPr="003761B6">
        <w:rPr>
          <w:rFonts w:ascii="Aptos" w:hAnsi="Aptos"/>
          <w:b/>
          <w:bCs/>
          <w:color w:val="000000" w:themeColor="text1"/>
          <w:sz w:val="24"/>
          <w:szCs w:val="24"/>
        </w:rPr>
        <w:t>-</w:t>
      </w:r>
      <w:r w:rsidR="00000000" w:rsidRPr="003761B6">
        <w:rPr>
          <w:rFonts w:ascii="Aptos" w:hAnsi="Aptos"/>
          <w:b/>
          <w:bCs/>
          <w:color w:val="000000" w:themeColor="text1"/>
          <w:sz w:val="24"/>
          <w:szCs w:val="24"/>
        </w:rPr>
        <w:t>1. Line 250: The authors state that PVL correlates with mortality. It is unclear whether mortality refers exclusively to HTLV-related deaths. Were only three fatal cases included in this analysis? The total number of deceased individuals and their causes of death should be clearly specified in the text. Earlier (line 259), only two ATL-related deaths are mentioned, in addition to one case without a reported cause. This discrepancy requires clarification. When calculating mortality rate, it is unclear whether they consider HTLV associated deaths (2) or of any kind, and of the latter is higher that 3.</w:t>
      </w:r>
    </w:p>
    <w:p w14:paraId="7D101B84"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acknowledge the reviewer’s concern regarding the correlation between PVL and mortality. In our analysis, we correlated PVL with the crude mortality rate, which includes both malignant (ATLL-related) and non-malignant (infection-related) causes of death. We took a conservative approach by excluding patients with unknown causes of death and those lost to follow-up (n = 8), which may underestimate the crude mortality rate. The primary cause of mortality was infection-related complications during the COVID-19 pandemic, which reflects the vulnerability of this population, as previously documented in a meta-analysis by Schierhout et al. We have clarified this in the text and provided additional details on the total number of deceased individuals and their causes of death.</w:t>
      </w:r>
    </w:p>
    <w:p w14:paraId="6DFC9548" w14:textId="77777777"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 xml:space="preserve">Regarding the cases mentioned, we described three cases with 5’LTR deletions or defective viruses and their respective outcomes. Two of these cases developed ATLL over time and subsequently died, while a third case with a 5’LTR deletion died from infectious </w:t>
      </w:r>
      <w:r w:rsidRPr="003761B6">
        <w:rPr>
          <w:rFonts w:ascii="Aptos" w:hAnsi="Aptos"/>
          <w:color w:val="000000" w:themeColor="text1"/>
        </w:rPr>
        <w:lastRenderedPageBreak/>
        <w:t>complications during the COVID-19 pandemic without apparent malignant transformation. Consequently, we have modified the following sections to improve readability:</w:t>
      </w:r>
    </w:p>
    <w:p w14:paraId="0DF7CE71"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“Vital status follow-up was based on medical records and the national vital status system (Registro Nacional de Identidad y Estado Civil, RENIEC). Mortality was confirmed when both registries consistently showed a death entry. The crude mortality rate included malignant and non-malignant causes of death, calculated using the total population but excluding cases lost to follow-up.”</w:t>
      </w:r>
    </w:p>
    <w:p w14:paraId="76B76C16"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“A total of 9 confirmed deaths (cumulative crude mortality risk 13.4%, 95% Confidence Interval [CI]: 6.3%–24.0%) were observed during the 7-year follow-up, with 3 cases related to malignant transformation and 6 related to infectious complications (during COVID-19 pandemic). Additionally, 8 cases were lost to follow-up, and their vital status could not be confirmed.”</w:t>
      </w:r>
    </w:p>
    <w:p w14:paraId="75BA7A2E" w14:textId="77777777" w:rsidR="0086087F" w:rsidRPr="003761B6" w:rsidRDefault="00000000" w:rsidP="003761B6">
      <w:pPr>
        <w:pStyle w:val="BodyText"/>
        <w:jc w:val="both"/>
        <w:rPr>
          <w:rFonts w:ascii="Aptos" w:hAnsi="Aptos"/>
          <w:i/>
          <w:iCs/>
          <w:color w:val="000000" w:themeColor="text1"/>
        </w:rPr>
      </w:pPr>
      <w:r w:rsidRPr="003761B6">
        <w:rPr>
          <w:rFonts w:ascii="Aptos" w:hAnsi="Aptos"/>
          <w:i/>
          <w:iCs/>
          <w:color w:val="000000" w:themeColor="text1"/>
        </w:rPr>
        <w:t>Table 1: We have modified table 1 to include lost to follow-up cases.</w:t>
      </w:r>
    </w:p>
    <w:p w14:paraId="0DEE3006" w14:textId="4E43937A" w:rsidR="0086087F" w:rsidRPr="003761B6" w:rsidRDefault="003761B6" w:rsidP="003761B6">
      <w:pPr>
        <w:pStyle w:val="Heading2"/>
        <w:jc w:val="both"/>
        <w:rPr>
          <w:rFonts w:ascii="Aptos" w:hAnsi="Aptos"/>
          <w:b/>
          <w:bCs/>
          <w:color w:val="000000" w:themeColor="text1"/>
          <w:sz w:val="24"/>
          <w:szCs w:val="24"/>
        </w:rPr>
      </w:pPr>
      <w:bookmarkStart w:id="10" w:name="X745466032701b0434f41bbda6306d2cbdf1d3de"/>
      <w:bookmarkEnd w:id="8"/>
      <w:bookmarkEnd w:id="9"/>
      <w:r w:rsidRPr="003761B6">
        <w:rPr>
          <w:rFonts w:ascii="Aptos" w:hAnsi="Aptos"/>
          <w:b/>
          <w:bCs/>
          <w:color w:val="000000" w:themeColor="text1"/>
          <w:sz w:val="24"/>
          <w:szCs w:val="24"/>
        </w:rPr>
        <w:t>-</w:t>
      </w:r>
      <w:r w:rsidR="00000000" w:rsidRPr="003761B6">
        <w:rPr>
          <w:rFonts w:ascii="Aptos" w:hAnsi="Aptos"/>
          <w:b/>
          <w:bCs/>
          <w:color w:val="000000" w:themeColor="text1"/>
          <w:sz w:val="24"/>
          <w:szCs w:val="24"/>
        </w:rPr>
        <w:t xml:space="preserve">2. When performing phylogeny, authors have identified African group- what does it </w:t>
      </w:r>
      <w:proofErr w:type="gramStart"/>
      <w:r w:rsidR="00000000" w:rsidRPr="003761B6">
        <w:rPr>
          <w:rFonts w:ascii="Aptos" w:hAnsi="Aptos"/>
          <w:b/>
          <w:bCs/>
          <w:color w:val="000000" w:themeColor="text1"/>
          <w:sz w:val="24"/>
          <w:szCs w:val="24"/>
        </w:rPr>
        <w:t>mean ?</w:t>
      </w:r>
      <w:proofErr w:type="gramEnd"/>
      <w:r w:rsidR="00000000" w:rsidRPr="003761B6">
        <w:rPr>
          <w:rFonts w:ascii="Aptos" w:hAnsi="Aptos"/>
          <w:b/>
          <w:bCs/>
          <w:color w:val="000000" w:themeColor="text1"/>
          <w:sz w:val="24"/>
          <w:szCs w:val="24"/>
        </w:rPr>
        <w:t xml:space="preserve"> Are these sequencing within the HTLV-1 genotype or do a-NA, a-WA and a-Sen belong to this group. Due to the large diversity of sequences withing the African group, authors should split it into known clades. Previously identified Black Peruvian strains should be clearly indicated in the phylogenetic trees to facilitate comparison and subgroup assignment. All the groups should be clearly presented in the phylogeny figure for easier understanding.</w:t>
      </w:r>
    </w:p>
    <w:p w14:paraId="05B50CA8"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acknowledge the reviewers’ suggestions regarding the African subtypes. We have restructured Figure 2 into Figure 2A (general phylogenetic tree) and Figure 2B (phylogeographic subset of African subtypes with canonical classification). We have reclassified the two sequences previously designated as “Black Peruvian” to “Afro-Peruvian” for the following reasons: (1) Both individuals self-identified as indigenous-mestizo from regions with documented low African ancestry rather than as Afro-descendant; (2) The putative classification based on LTR and env diversity using neighbor-joining methodology represents an approach that is now considered suboptimal for phylogenetic inference. Contemporary phylogenetic best practices have established maximum likelihood (ML) and Bayesian inference as the gold-standard methods for inferring evolutionary relationships and phylogenetic signal (Felsenstein, 2004; Stamatakis, 2014); and (3) the term “Black Peruvian” can perpetuate discrimination and stigma against minority populations in Peru, which represent an understudied genetic reservoir that has been characterized solely from an LTR/env perspective to date. We acknowledge that these newly identified variants warrant more comprehensive molecular characterization, including genomic confirmation, ancestry studies, and functional analyses to establish their biological, phylogenomic, and epidemiological significance.</w:t>
      </w:r>
    </w:p>
    <w:p w14:paraId="0DB33E89" w14:textId="173A849F" w:rsidR="0086087F" w:rsidRPr="003761B6" w:rsidRDefault="003761B6" w:rsidP="003761B6">
      <w:pPr>
        <w:pStyle w:val="Heading2"/>
        <w:jc w:val="both"/>
        <w:rPr>
          <w:rFonts w:ascii="Aptos" w:hAnsi="Aptos"/>
          <w:b/>
          <w:bCs/>
          <w:color w:val="000000" w:themeColor="text1"/>
          <w:sz w:val="24"/>
          <w:szCs w:val="24"/>
        </w:rPr>
      </w:pPr>
      <w:bookmarkStart w:id="11" w:name="X409c65c068b51fab6fedd2d83efa972fb23a1d8"/>
      <w:bookmarkEnd w:id="10"/>
      <w:r>
        <w:rPr>
          <w:rFonts w:ascii="Aptos" w:hAnsi="Aptos"/>
          <w:b/>
          <w:bCs/>
          <w:color w:val="000000" w:themeColor="text1"/>
          <w:sz w:val="24"/>
          <w:szCs w:val="24"/>
        </w:rPr>
        <w:lastRenderedPageBreak/>
        <w:t xml:space="preserve">- </w:t>
      </w:r>
      <w:r w:rsidR="00000000" w:rsidRPr="003761B6">
        <w:rPr>
          <w:rFonts w:ascii="Aptos" w:hAnsi="Aptos"/>
          <w:b/>
          <w:bCs/>
          <w:color w:val="000000" w:themeColor="text1"/>
          <w:sz w:val="24"/>
          <w:szCs w:val="24"/>
        </w:rPr>
        <w:t>Figure 1D: It is unclear whether the strains presented in the graph all belong to the newly sequenced strains. The strains generated in this study should be presented in different colors, and the strains of reference for each group presented with a distinctive color. How many new strains are present in each group.</w:t>
      </w:r>
    </w:p>
    <w:p w14:paraId="3072B568"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appreciate the reviewer’s comments regarding Figures 1D and 2. In Figures 1D and 2B, we have enhanced the presentation to include all African subtypes with their representative complete genome reference sequences annotated. Novel strains identified in this study are highlighted in red. We have also expanded the figure legends with detailed methodological and interpretive information. Specifically, Figure 1D represents an unsupervised clustering analysis using discriminant analysis of principal components (DAPC), which partitions multivariate variance to maximize between-group distances while minimizing within-group variability. All complete sequences in the dataset are represented in this ordination space; therefore, visual overcrowding precludes the direct labeling of individual strains. However, strain identities for the a-TC-Worldwide and a-Per clusters are explicitly detailed in the figure legend for full transparency and reproducibility.</w:t>
      </w:r>
    </w:p>
    <w:p w14:paraId="3BA633FE" w14:textId="3449FDDB" w:rsidR="0086087F" w:rsidRPr="003761B6" w:rsidRDefault="003761B6" w:rsidP="003761B6">
      <w:pPr>
        <w:pStyle w:val="Heading2"/>
        <w:jc w:val="both"/>
        <w:rPr>
          <w:rFonts w:ascii="Aptos" w:hAnsi="Aptos"/>
          <w:b/>
          <w:bCs/>
          <w:color w:val="000000" w:themeColor="text1"/>
          <w:sz w:val="24"/>
          <w:szCs w:val="24"/>
        </w:rPr>
      </w:pPr>
      <w:bookmarkStart w:id="12" w:name="Xdaf9351f5ca0e19c16649b94e33bdec364dc1d5"/>
      <w:bookmarkEnd w:id="11"/>
      <w:r w:rsidRPr="003761B6">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Line 268: Recombination events are mentioned, but the parental groups involved are not specified. The authors should clearly identify the parental strains and the recombinant strains of interest, ideally presenting them within a phylogenetic tree for clarity.</w:t>
      </w:r>
    </w:p>
    <w:p w14:paraId="72256F9C"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acknowledge the importance of providing clear evidence for recombination events. The purpose of the recombination analysis was to exclude any potential confounding effects of recombination on our phylogenomic analyses. A potential recombination signal was considered if at least four algorithms showed statistical significance, and such sequences were excluded from further analyses. Results are presented in Supplementary Table 1 and Supplementary Figure 1, where an additional phylogenetic tree highlights in red the sequences with potential recombinant signals.</w:t>
      </w:r>
    </w:p>
    <w:p w14:paraId="2137B9CC" w14:textId="3D9E9EC3" w:rsidR="0086087F" w:rsidRPr="003761B6" w:rsidRDefault="003761B6" w:rsidP="003761B6">
      <w:pPr>
        <w:pStyle w:val="Heading3"/>
        <w:jc w:val="both"/>
        <w:rPr>
          <w:rFonts w:ascii="Aptos" w:hAnsi="Aptos"/>
          <w:b/>
          <w:bCs/>
          <w:color w:val="000000" w:themeColor="text1"/>
          <w:sz w:val="24"/>
          <w:szCs w:val="24"/>
        </w:rPr>
      </w:pPr>
      <w:bookmarkStart w:id="13" w:name="Xbee9a5f30ebd408cd0df748b8a924fcfe04151a"/>
      <w:r>
        <w:rPr>
          <w:rFonts w:ascii="Aptos" w:hAnsi="Aptos"/>
          <w:b/>
          <w:bCs/>
          <w:color w:val="000000" w:themeColor="text1"/>
          <w:sz w:val="24"/>
          <w:szCs w:val="24"/>
        </w:rPr>
        <w:lastRenderedPageBreak/>
        <w:t xml:space="preserve">- </w:t>
      </w:r>
      <w:r w:rsidR="00000000" w:rsidRPr="003761B6">
        <w:rPr>
          <w:rFonts w:ascii="Aptos" w:hAnsi="Aptos"/>
          <w:b/>
          <w:bCs/>
          <w:color w:val="000000" w:themeColor="text1"/>
          <w:sz w:val="24"/>
          <w:szCs w:val="24"/>
        </w:rPr>
        <w:t>Figure 2: It is complicated to understand from the text whether black Peruvian and AA clades are distinct. Moreover, hot different are they from the prestigiously defined LatinA and Latin B subclades with TC. (for example, see definition of clades from Afonso et al, 2019, review)/ Supplementary Figure 3: The topology between Figure 2 and Figure S3 is not clear. Please present the different sequence. The legend is not sufficiently details. The number of strains from each group is not clearly indicated. In the legend, you indicate 3 trees are only 2 are presented. It is hard to understand how the lower tree branched into the upper tree. You may want to be careful with the dating. You infer that Afro-Peruvian nod is at 1655, not accounting for possible bottleneck. The date might be more recent, which would bring HTLV-1c separation to 50kyrs, which is the most accepted. Evolution rate should be deduced from this study and compared to the ones obtained by Sameli et al. When performing dating with Env, the clock is more accurate if you consider solely the 3rd nucleotide of the codons (and make sure they are not used by HBZ) to allow for a free clock.</w:t>
      </w:r>
    </w:p>
    <w:p w14:paraId="71DF7FD4"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appreciate the reviewer’s comments and have enhanced the figure legends for Figures 2A and B, including strain counts per phylogenetic group and highlighting novel strains identified in this study in red. Regarding the phylogenetic classification framework: The previously identified Latin A and Latin B clades (Alfonso et al., 2019) were based exclusively on LTR sequences (519 nt) and therefore do not capture sequence variation from functionally critical genomic regions. Additionally, Alfonso et al. (2019) employed neighbor-joining (NJ) methodology with the GTR model, an approach that is now considered suboptimal for phylogenetic reconstruction. Contemporary best practices in viral phylogenetics recommend maximum likelihood (ML) or Bayesian inference methods, which provide superior statistical rigor and are now standard in the field (Felsenstein, 2004; Zwickl, 2006; Stamatakis, 2014). Our approach implements maximum likelihood inference with extensive bootstrap resampling (5,000 iterations, converged at ~800 iterations) across the complete HTLV-1 genome, leveraging multiple genomic partitions (LTR, env with codon-position weighting, and the remainder of the genome) to capture evolutionary signal across functionally distinct regions. This partitioned approach is more robust than single-region analyses and allows integration of prior biological knowledge regarding differential evolutionary rates across the genome (Supplementary Methods 2). The improved phylogenetic resolution and distinc geographic clustering observed in our analysis reflects the greater statistical power and broader genomic sampling inherent to ML-based phylogenomic approaches compared to single-region, distance-based methods. Notably, the bootstrap support values (&gt;80) for our proposed classification substantially exceed the approximate likelihood-ratio test (aLRT) confidence estimates employed by Alfonso et al. (2019), providing greater confidence in the observed phylogeographic structure. Topological incongruence between competing classifications is well-documented when methods differ substantially in statistical framework and genomic sampling strategy (Lemey et al., 2009; Stadler et al., 2013), and our partition-based ML approach provides a comprehensive and transparent measure of phylogenetic uncertainty.</w:t>
      </w:r>
    </w:p>
    <w:p w14:paraId="2637D51D" w14:textId="7092C80F" w:rsidR="0086087F" w:rsidRPr="003761B6" w:rsidRDefault="003761B6" w:rsidP="003761B6">
      <w:pPr>
        <w:pStyle w:val="Heading3"/>
        <w:jc w:val="both"/>
        <w:rPr>
          <w:rFonts w:ascii="Aptos" w:hAnsi="Aptos"/>
          <w:b/>
          <w:bCs/>
          <w:color w:val="000000" w:themeColor="text1"/>
          <w:sz w:val="24"/>
          <w:szCs w:val="24"/>
        </w:rPr>
      </w:pPr>
      <w:bookmarkStart w:id="14" w:name="X4c8c088f0f8d03d6ac0d9d1b67201b8e49e6593"/>
      <w:bookmarkEnd w:id="13"/>
      <w:r w:rsidRPr="003761B6">
        <w:rPr>
          <w:rFonts w:ascii="Aptos" w:hAnsi="Aptos"/>
          <w:b/>
          <w:bCs/>
          <w:color w:val="000000" w:themeColor="text1"/>
          <w:sz w:val="24"/>
          <w:szCs w:val="24"/>
        </w:rPr>
        <w:lastRenderedPageBreak/>
        <w:t xml:space="preserve">- </w:t>
      </w:r>
      <w:r w:rsidR="00000000" w:rsidRPr="003761B6">
        <w:rPr>
          <w:rFonts w:ascii="Aptos" w:hAnsi="Aptos"/>
          <w:b/>
          <w:bCs/>
          <w:color w:val="000000" w:themeColor="text1"/>
          <w:sz w:val="24"/>
          <w:szCs w:val="24"/>
        </w:rPr>
        <w:t>Moreover, how many strains did you use for Afro-Peruvian – a number too low might bring errors due to collection biases. I am not sure I can see here the Black Peruvian group. Or please if they do refer to the same group, keep naming consistent throughout the manuscript/ Figure</w:t>
      </w:r>
      <w:proofErr w:type="gramStart"/>
      <w:r w:rsidR="00000000" w:rsidRPr="003761B6">
        <w:rPr>
          <w:rFonts w:ascii="Aptos" w:hAnsi="Aptos"/>
          <w:b/>
          <w:bCs/>
          <w:color w:val="000000" w:themeColor="text1"/>
          <w:sz w:val="24"/>
          <w:szCs w:val="24"/>
        </w:rPr>
        <w:t>3 .</w:t>
      </w:r>
      <w:proofErr w:type="gramEnd"/>
      <w:r w:rsidR="00000000" w:rsidRPr="003761B6">
        <w:rPr>
          <w:rFonts w:ascii="Aptos" w:hAnsi="Aptos"/>
          <w:b/>
          <w:bCs/>
          <w:color w:val="000000" w:themeColor="text1"/>
          <w:sz w:val="24"/>
          <w:szCs w:val="24"/>
        </w:rPr>
        <w:t xml:space="preserve"> Due to an absence of legend, I do not know what the relation between FgS3A/B are.</w:t>
      </w:r>
    </w:p>
    <w:p w14:paraId="46F77EFE"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 xml:space="preserve">We acknowledge the reviewer’s comments and suggestions. We have improved the legends in Figure 2A and new Figure 2B, we have added more detailed information in Supplementary Figure 3A and 3B. Samples were collected from a hospital-based cohort, none of the patients collected in this cohort had Afroamerican background (The Afroamerican diaspora in Peru is mainly located in the regions of Callao and Ica). We found two cases who were grouped together with the rest of African subtypes (Figure 1B). Moreover, none of them were self-identified as Afro Peruvian neither were from areas of the Afroamerican diaspora. Given the canonical consensus of LTR/env and potential horizontal transmission, we decided to </w:t>
      </w:r>
      <w:proofErr w:type="gramStart"/>
      <w:r w:rsidRPr="003761B6">
        <w:rPr>
          <w:rFonts w:ascii="Aptos" w:hAnsi="Aptos"/>
          <w:color w:val="000000" w:themeColor="text1"/>
        </w:rPr>
        <w:t>classified</w:t>
      </w:r>
      <w:proofErr w:type="gramEnd"/>
      <w:r w:rsidRPr="003761B6">
        <w:rPr>
          <w:rFonts w:ascii="Aptos" w:hAnsi="Aptos"/>
          <w:color w:val="000000" w:themeColor="text1"/>
        </w:rPr>
        <w:t xml:space="preserve"> them as part of the Afro Peruvian subtype (also known as Black American).</w:t>
      </w:r>
    </w:p>
    <w:p w14:paraId="1FCFBEBA" w14:textId="246717E7" w:rsidR="0086087F" w:rsidRPr="003761B6" w:rsidRDefault="003761B6" w:rsidP="003761B6">
      <w:pPr>
        <w:pStyle w:val="Heading3"/>
        <w:jc w:val="both"/>
        <w:rPr>
          <w:rFonts w:ascii="Aptos" w:hAnsi="Aptos"/>
          <w:b/>
          <w:bCs/>
          <w:color w:val="000000" w:themeColor="text1"/>
          <w:sz w:val="24"/>
          <w:szCs w:val="24"/>
        </w:rPr>
      </w:pPr>
      <w:bookmarkStart w:id="15" w:name="Xdd71fd07e8c0b60ba2441f3522c5cf8dc19f3cf"/>
      <w:bookmarkEnd w:id="14"/>
      <w:r w:rsidRPr="003761B6">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 xml:space="preserve">Section 3 (HLA analysis): Which is tool low for the actual detection of HLA </w:t>
      </w:r>
      <w:proofErr w:type="gramStart"/>
      <w:r w:rsidR="00000000" w:rsidRPr="003761B6">
        <w:rPr>
          <w:rFonts w:ascii="Aptos" w:hAnsi="Aptos"/>
          <w:b/>
          <w:bCs/>
          <w:color w:val="000000" w:themeColor="text1"/>
          <w:sz w:val="24"/>
          <w:szCs w:val="24"/>
        </w:rPr>
        <w:t>protection .</w:t>
      </w:r>
      <w:proofErr w:type="gramEnd"/>
      <w:r w:rsidR="00000000" w:rsidRPr="003761B6">
        <w:rPr>
          <w:rFonts w:ascii="Aptos" w:hAnsi="Aptos"/>
          <w:b/>
          <w:bCs/>
          <w:color w:val="000000" w:themeColor="text1"/>
          <w:sz w:val="24"/>
          <w:szCs w:val="24"/>
        </w:rPr>
        <w:t xml:space="preserve"> The observed HLA differences may reflect underlying population structure rather than HTLV-associated effects. Is there a non-infected Peruvian control population included for comparison? Given the limited number of reported deaths, the robustness of the statistical analyses should be carefully evaluated and discussed. The potential link to oligoclonal expansion (OCI) or pre-ATL status should also be explored.</w:t>
      </w:r>
    </w:p>
    <w:p w14:paraId="7FD4A0FC"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We acknowledge these limitations and have based our analysis on crude mortality rates, as only three cases of ATLL transformation and four oligoclonal events were observed, which substantially constrain the statistical power for accurate prognostic prediction. This exploratory study (n=66) has inherent limitations in population size and the limited number of events of interest; therefore, we restricted our analysis to crude mortality estimates to avoid misleading statistical conclusions.</w:t>
      </w:r>
    </w:p>
    <w:p w14:paraId="1B30E553" w14:textId="06ADD6F8" w:rsidR="0086087F" w:rsidRPr="003761B6" w:rsidRDefault="00000000" w:rsidP="003761B6">
      <w:pPr>
        <w:pStyle w:val="BodyText"/>
        <w:jc w:val="both"/>
        <w:rPr>
          <w:rFonts w:ascii="Aptos" w:hAnsi="Aptos"/>
          <w:color w:val="000000" w:themeColor="text1"/>
        </w:rPr>
      </w:pPr>
      <w:r w:rsidRPr="003761B6">
        <w:rPr>
          <w:rFonts w:ascii="Aptos" w:hAnsi="Aptos"/>
          <w:color w:val="000000" w:themeColor="text1"/>
        </w:rPr>
        <w:t xml:space="preserve">High-resolution NGS-based HLA genotyping remains an unmet need in Peru; we acknowledge this limitation and have compared HLA allele distributions in our cohort to a Japanese reference population (Figure 3A) and </w:t>
      </w:r>
      <w:proofErr w:type="gramStart"/>
      <w:r w:rsidR="003761B6">
        <w:rPr>
          <w:rFonts w:ascii="Aptos" w:hAnsi="Aptos"/>
          <w:color w:val="000000" w:themeColor="text1"/>
        </w:rPr>
        <w:t>USA  Bone</w:t>
      </w:r>
      <w:proofErr w:type="gramEnd"/>
      <w:r w:rsidR="003761B6">
        <w:rPr>
          <w:rFonts w:ascii="Aptos" w:hAnsi="Aptos"/>
          <w:color w:val="000000" w:themeColor="text1"/>
        </w:rPr>
        <w:t xml:space="preserve"> </w:t>
      </w:r>
      <w:r w:rsidRPr="003761B6">
        <w:rPr>
          <w:rFonts w:ascii="Aptos" w:hAnsi="Aptos"/>
          <w:color w:val="000000" w:themeColor="text1"/>
        </w:rPr>
        <w:t xml:space="preserve">Marrow Registry (which includes Latino individuals, supplementary Figure </w:t>
      </w:r>
      <w:r w:rsidR="003761B6">
        <w:rPr>
          <w:rFonts w:ascii="Aptos" w:hAnsi="Aptos"/>
          <w:color w:val="000000" w:themeColor="text1"/>
        </w:rPr>
        <w:t>5</w:t>
      </w:r>
      <w:r w:rsidRPr="003761B6">
        <w:rPr>
          <w:rFonts w:ascii="Aptos" w:hAnsi="Aptos"/>
          <w:color w:val="000000" w:themeColor="text1"/>
        </w:rPr>
        <w:t xml:space="preserve">). The HLA evolutionary distance (HLA-HED) is a recently described biomarker of immunogenetic diversity that has been correlated with clinical outcomes in cancer patients receiving immunotherapy (Chowell et al., 2019). Given that Peru exhibits one of the highest incidence rates and poorest clinical outcomes for ATLL globally compared to other populations, we hypothesized that reduced HLA-I diversity (lower HLA-HED) may contribute to increased proviral burden and risk of malignant transformation. We compared HLA-HED between our Peruvian cohort (n=66) and a reference Japanese cohort from Miyazaki (n=29) in Figure 3B, demonstrating significantly lower HLA evolutionary diversity in Peruvian cases compared to Japanese cases, with a particularly marked reduction in HLA-A locus diversity. This diminished HLA-I </w:t>
      </w:r>
      <w:r w:rsidRPr="003761B6">
        <w:rPr>
          <w:rFonts w:ascii="Aptos" w:hAnsi="Aptos"/>
          <w:color w:val="000000" w:themeColor="text1"/>
        </w:rPr>
        <w:lastRenderedPageBreak/>
        <w:t>diversity is consistent with reduced peptide presentation repertoire and may contribute to impaired HTLV-1-specific immune control in Peruvian populations.</w:t>
      </w:r>
    </w:p>
    <w:p w14:paraId="3DDA6BB5" w14:textId="24F5E5C7" w:rsidR="0086087F" w:rsidRPr="003761B6" w:rsidRDefault="003761B6" w:rsidP="003761B6">
      <w:pPr>
        <w:pStyle w:val="Heading3"/>
        <w:jc w:val="both"/>
        <w:rPr>
          <w:rFonts w:ascii="Aptos" w:hAnsi="Aptos"/>
          <w:b/>
          <w:bCs/>
          <w:color w:val="000000" w:themeColor="text1"/>
          <w:sz w:val="24"/>
          <w:szCs w:val="24"/>
        </w:rPr>
      </w:pPr>
      <w:bookmarkStart w:id="16" w:name="X2ca01409637185fafcb2d34527b71ed6d6bec30"/>
      <w:bookmarkEnd w:id="15"/>
      <w:r w:rsidRPr="003761B6">
        <w:rPr>
          <w:rFonts w:ascii="Aptos" w:hAnsi="Aptos"/>
          <w:b/>
          <w:bCs/>
          <w:color w:val="000000" w:themeColor="text1"/>
          <w:sz w:val="24"/>
          <w:szCs w:val="24"/>
        </w:rPr>
        <w:t xml:space="preserve">- </w:t>
      </w:r>
      <w:r w:rsidR="00000000" w:rsidRPr="003761B6">
        <w:rPr>
          <w:rFonts w:ascii="Aptos" w:hAnsi="Aptos"/>
          <w:b/>
          <w:bCs/>
          <w:color w:val="000000" w:themeColor="text1"/>
          <w:sz w:val="24"/>
          <w:szCs w:val="24"/>
        </w:rPr>
        <w:t>Section 4: In line with the possibility of pre-ATL cases, the authors should consider whether specific mutations, including non-synonymous mutations, correlate with OCI or early leukemogenic processes.</w:t>
      </w:r>
    </w:p>
    <w:p w14:paraId="7F62CE53" w14:textId="77777777" w:rsidR="0086087F" w:rsidRPr="003761B6" w:rsidRDefault="00000000" w:rsidP="003761B6">
      <w:pPr>
        <w:pStyle w:val="FirstParagraph"/>
        <w:jc w:val="both"/>
        <w:rPr>
          <w:rFonts w:ascii="Aptos" w:hAnsi="Aptos"/>
          <w:color w:val="000000" w:themeColor="text1"/>
        </w:rPr>
      </w:pPr>
      <w:r w:rsidRPr="003761B6">
        <w:rPr>
          <w:rFonts w:ascii="Aptos" w:hAnsi="Aptos"/>
          <w:color w:val="000000" w:themeColor="text1"/>
        </w:rPr>
        <w:t xml:space="preserve">We appreciate the reviewers’ comments and suggestions regarding the mutational landscape of HTLV-1 infection. The mutational burden presented in the oncoplot (Figure 4A) was based exclusively on non-synonymous mutations with variant allele frequencies (VAF) between 1% and 30% to exclude potential germline alterations. Mutations were included following stringent quality criteria: minimum coverage of 500×, at least 5 high-quality paired-end reads, and additional strict filters detailed in Supplementary Methods 5. Despite the substantial proviral burden observed across the cohort, the median oligoclonality index was notably low, with only four cases exceeding 0.6, which may underestimate the true biological impact of clonal selection on HTLV-1 persistence. Furthermore, the limited number of oligoclonal events (n=4) substantially constrains the statistical power for accurate estimation of mutational signatures and clonal architecture. Moreover, we performed a Spearman rank correlation analysis between the oligoclonality </w:t>
      </w:r>
      <w:proofErr w:type="gramStart"/>
      <w:r w:rsidRPr="003761B6">
        <w:rPr>
          <w:rFonts w:ascii="Aptos" w:hAnsi="Aptos"/>
          <w:color w:val="000000" w:themeColor="text1"/>
        </w:rPr>
        <w:t>index</w:t>
      </w:r>
      <w:proofErr w:type="gramEnd"/>
      <w:r w:rsidRPr="003761B6">
        <w:rPr>
          <w:rFonts w:ascii="Aptos" w:hAnsi="Aptos"/>
          <w:color w:val="000000" w:themeColor="text1"/>
        </w:rPr>
        <w:t xml:space="preserve"> and the total somatic mutation count per sample, which did not achieve statistical significance (Spearman ρ = 0.05, p = 0.71; Supplementary Figure S11).</w:t>
      </w:r>
      <w:bookmarkEnd w:id="12"/>
      <w:bookmarkEnd w:id="16"/>
    </w:p>
    <w:sectPr w:rsidR="0086087F" w:rsidRPr="003761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38EC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969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6087F"/>
    <w:rsid w:val="00241110"/>
    <w:rsid w:val="003761B6"/>
    <w:rsid w:val="00860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F7321"/>
  <w15:docId w15:val="{ADE6A5A4-A87E-424B-8F02-D1F5BA38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376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ve105/htlv_paper_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4314</Words>
  <Characters>24811</Characters>
  <Application>Microsoft Office Word</Application>
  <DocSecurity>0</DocSecurity>
  <Lines>1550</Lines>
  <Paragraphs>832</Paragraphs>
  <ScaleCrop>false</ScaleCrop>
  <Company/>
  <LinksUpToDate>false</LinksUpToDate>
  <CharactersWithSpaces>28293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JAIR ENRIQUEZ VERA</cp:lastModifiedBy>
  <cp:revision>2</cp:revision>
  <dcterms:created xsi:type="dcterms:W3CDTF">2026-03-05T12:12:00Z</dcterms:created>
  <dcterms:modified xsi:type="dcterms:W3CDTF">2026-03-05T12:20:00Z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