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\line 
            <w:r>
              <w:rPr>
                <w:rFonts w:ascii="Calibri" w:hAnsi="Calibri"/>
                <w:sz w:val="20"/>
              </w:rPr>
              <w:t xml:space="preserve">N = 64 (100.0%)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Strongyloides (-)</w:t>
            </w:r>
            \line 
            <w:r>
              <w:rPr>
                <w:rFonts w:ascii="Calibri" w:hAnsi="Calibri"/>
                <w:sz w:val="20"/>
              </w:rPr>
              <w:t xml:space="preserve">N = 26 (40.6%)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Strongyloides (+)</w:t>
            </w:r>
            \line 
            <w:r>
              <w:rPr>
                <w:rFonts w:ascii="Calibri" w:hAnsi="Calibri"/>
                <w:sz w:val="20"/>
              </w:rPr>
              <w:t xml:space="preserve">N = 38 (59.4%)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(39,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(38,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(39,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Birthplace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Amazonian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Andean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Coastal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Disease outcome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Asymptomatic carriers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HAM/TSP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5-year mortality 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Wilcoxon rank sum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2025-03-17T13:05:34Z</dcterms:created>
  <dcterms:modified xsi:type="dcterms:W3CDTF">2025-03-17T13:05:34Z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