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Inter" w:cs="Inter" w:eastAsia="Inter" w:hAnsi="Inter"/>
          <w:b/>
          <w:bCs/>
          <w:color w:val="050443"/>
          <w:sz w:val="72"/>
          <w:szCs w:val="72"/>
        </w:rPr>
        <w:t xml:space="preserve">EDMA Layer 2</w:t>
      </w:r>
    </w:p>
    <w:p>
      <w:pPr>
        <w:spacing w:after="200"/>
        <w:jc w:val="center"/>
      </w:pPr>
      <w:r>
        <w:rPr>
          <w:rFonts w:ascii="Inter" w:cs="Inter" w:eastAsia="Inter" w:hAnsi="Inter"/>
          <w:color w:val="3A3978"/>
          <w:sz w:val="40"/>
          <w:szCs w:val="40"/>
        </w:rPr>
        <w:t xml:space="preserve">How It Works</w:t>
      </w:r>
    </w:p>
    <w:p>
      <w:pPr>
        <w:spacing w:after="120"/>
        <w:jc w:val="center"/>
      </w:pPr>
      <w:r>
        <w:rPr>
          <w:rFonts w:ascii="Inter" w:cs="Inter" w:eastAsia="Inter" w:hAnsi="Inter"/>
          <w:color w:val="6968A1"/>
          <w:sz w:val="24"/>
          <w:szCs w:val="24"/>
        </w:rPr>
        <w:t xml:space="preserve">Transactions, Settlement, Evidence, and Display</w:t>
      </w:r>
    </w:p>
    <w:p>
      <w:pPr>
        <w:spacing w:after="600"/>
        <w:jc w:val="center"/>
      </w:pPr>
      <w:r>
        <w:rPr>
          <w:rFonts w:ascii="Inter" w:cs="Inter" w:eastAsia="Inter" w:hAnsi="Inter"/>
          <w:color w:val="8887AD"/>
          <w:sz w:val="20"/>
          <w:szCs w:val="20"/>
        </w:rPr>
        <w:t xml:space="preserve">Technical Reference  |  March 2026  |  v1.0</w:t>
      </w:r>
    </w:p>
    <w:p>
      <w:pPr>
        <w:pStyle w:val="Heading1"/>
      </w:pPr>
      <w:r>
        <w:t xml:space="preserve">1. What the EDMA L2 actually is</w:t>
      </w:r>
    </w:p>
    <w:p>
      <w:pPr>
        <w:spacing w:after="120"/>
      </w:pPr>
      <w:r>
        <w:rPr>
          <w:rFonts w:ascii="Inter" w:cs="Inter" w:eastAsia="Inter" w:hAnsi="Inter"/>
          <w:sz w:val="22"/>
          <w:szCs w:val="22"/>
        </w:rPr>
        <w:t xml:space="preserve">EDMA L2 is an Ethereum Layer 2 blockchain (OP Stack rollup, chain ID 741) purpose-built for one thing: making real-world transactions verifiable, settleable, and auditable on-chain. It is not a general-purpose chain like Arbitrum or Base. Every transaction on the EDMA L2 exists because something happened in the physical world --- a shipment moved, energy was generated, a credit was issued, a payment was released.</w:t>
      </w:r>
    </w:p>
    <w:p>
      <w:pPr>
        <w:spacing w:after="120"/>
      </w:pPr>
      <w:r>
        <w:rPr>
          <w:rFonts w:ascii="Inter" w:cs="Inter" w:eastAsia="Inter" w:hAnsi="Inter"/>
          <w:sz w:val="22"/>
          <w:szCs w:val="22"/>
        </w:rPr>
        <w:t xml:space="preserve">The chain inherits Ethereum's security (state roots are posted to L1, data availability is on L1) but runs with 2-second block times and low fees --- fast enough for real-time settlement of commodity deals and energy credits.</w:t>
      </w:r>
    </w:p>
    <w:p>
      <w:pPr>
        <w:spacing w:after="120"/>
      </w:pPr>
      <w:r>
        <w:rPr>
          <w:rFonts w:ascii="Inter" w:cs="Inter" w:eastAsia="Inter" w:hAnsi="Inter"/>
          <w:b/>
          <w:bCs/>
          <w:sz w:val="22"/>
          <w:szCs w:val="22"/>
        </w:rPr>
        <w:t xml:space="preserve">The core principle: </w:t>
      </w:r>
      <w:r>
        <w:rPr>
          <w:rFonts w:ascii="Inter" w:cs="Inter" w:eastAsia="Inter" w:hAnsi="Inter"/>
          <w:sz w:val="22"/>
          <w:szCs w:val="22"/>
        </w:rPr>
        <w:t xml:space="preserve">Nothing mints, nothing settles, nothing moves until real-world evidence is cryptographically verified on-chain. This is Proof-of-Verification (PoV).</w:t>
      </w:r>
    </w:p>
    <w:p>
      <w:pPr>
        <w:pStyle w:val="Heading2"/>
      </w:pPr>
      <w:r>
        <w:t xml:space="preserve">1.1 What the L2 is NOT</w:t>
      </w:r>
    </w:p>
    <w:p>
      <w:pPr>
        <w:pStyle w:val="ListParagraph"/>
        <w:numPr>
          <w:ilvl w:val="0"/>
          <w:numId w:val="2"/>
        </w:numPr>
        <w:spacing w:after="60"/>
      </w:pPr>
      <w:r>
        <w:rPr>
          <w:rFonts w:ascii="Inter" w:cs="Inter" w:eastAsia="Inter" w:hAnsi="Inter"/>
          <w:sz w:val="22"/>
          <w:szCs w:val="22"/>
        </w:rPr>
        <w:t xml:space="preserve">It is not a general DeFi chain. There are no AMMs, lending pools, or yield farms.</w:t>
      </w:r>
    </w:p>
    <w:p>
      <w:pPr>
        <w:pStyle w:val="ListParagraph"/>
        <w:numPr>
          <w:ilvl w:val="0"/>
          <w:numId w:val="2"/>
        </w:numPr>
        <w:spacing w:after="60"/>
      </w:pPr>
      <w:r>
        <w:rPr>
          <w:rFonts w:ascii="Inter" w:cs="Inter" w:eastAsia="Inter" w:hAnsi="Inter"/>
          <w:sz w:val="22"/>
          <w:szCs w:val="22"/>
        </w:rPr>
        <w:t xml:space="preserve">It is not a memecoin chain. Token creation is PoV-gated.</w:t>
      </w:r>
    </w:p>
    <w:p>
      <w:pPr>
        <w:pStyle w:val="ListParagraph"/>
        <w:numPr>
          <w:ilvl w:val="0"/>
          <w:numId w:val="2"/>
        </w:numPr>
        <w:spacing w:after="60"/>
      </w:pPr>
      <w:r>
        <w:rPr>
          <w:rFonts w:ascii="Inter" w:cs="Inter" w:eastAsia="Inter" w:hAnsi="Inter"/>
          <w:sz w:val="22"/>
          <w:szCs w:val="22"/>
        </w:rPr>
        <w:t xml:space="preserve">It is not permissionless minting. Every asset (ETT, CLE, GRO, EDSD) requires cryptographic proof before it exists.</w:t>
      </w:r>
    </w:p>
    <w:p>
      <w:pPr>
        <w:spacing w:after="120"/>
      </w:pPr>
      <w:r>
        <w:rPr>
          <w:rFonts w:ascii="Inter" w:cs="Inter" w:eastAsia="Inter" w:hAnsi="Inter"/>
          <w:sz w:val="22"/>
          <w:szCs w:val="22"/>
        </w:rPr>
        <w:t xml:space="preserve">The EDMA L2 is a settlement rail. Think of it as a programmable escrow system with built-in environmental accounting.</w:t>
      </w:r>
    </w:p>
    <w:p>
      <w:r>
        <w:br w:type="page"/>
      </w:r>
    </w:p>
    <w:p>
      <w:pPr>
        <w:pStyle w:val="Heading1"/>
      </w:pPr>
      <w:r>
        <w:t xml:space="preserve">2. The two streams of transactions</w:t>
      </w:r>
    </w:p>
    <w:p>
      <w:pPr>
        <w:spacing w:after="120"/>
      </w:pPr>
      <w:r>
        <w:rPr>
          <w:rFonts w:ascii="Inter" w:cs="Inter" w:eastAsia="Inter" w:hAnsi="Inter"/>
          <w:sz w:val="22"/>
          <w:szCs w:val="22"/>
        </w:rPr>
        <w:t xml:space="preserve">Everything on the EDMA L2 falls into two streams, and they often intersect on the same deal:</w:t>
      </w:r>
    </w:p>
    <w:p>
      <w:pPr>
        <w:pStyle w:val="Heading2"/>
      </w:pPr>
      <w:r>
        <w:t xml:space="preserve">2.1 Stream A --- Global Trade Settlement</w:t>
      </w:r>
    </w:p>
    <w:p>
      <w:pPr>
        <w:spacing w:after="120"/>
      </w:pPr>
      <w:r>
        <w:rPr>
          <w:rFonts w:ascii="Inter" w:cs="Inter" w:eastAsia="Inter" w:hAnsi="Inter"/>
          <w:sz w:val="22"/>
          <w:szCs w:val="22"/>
        </w:rPr>
        <w:t xml:space="preserve">A manufacturer ships solar panels from Shanghai to Rotterdam. The buyer and seller use EDMA instead of letters of credit. The deal has milestones (on-board, customs, arrival QA, delivery), and money releases automatically when each milestone is proven.</w:t>
      </w:r>
    </w:p>
    <w:p>
      <w:pPr>
        <w:spacing w:after="120"/>
      </w:pPr>
      <w:r>
        <w:rPr>
          <w:rFonts w:ascii="Inter" w:cs="Inter" w:eastAsia="Inter" w:hAnsi="Inter"/>
          <w:b/>
          <w:bCs/>
          <w:sz w:val="22"/>
          <w:szCs w:val="22"/>
        </w:rPr>
        <w:t xml:space="preserve">Who is involved: </w:t>
      </w:r>
      <w:r>
        <w:rPr>
          <w:rFonts w:ascii="Inter" w:cs="Inter" w:eastAsia="Inter" w:hAnsi="Inter"/>
          <w:sz w:val="22"/>
          <w:szCs w:val="22"/>
        </w:rPr>
        <w:t xml:space="preserve">Buyer, Seller, Attestors (customs broker, logistics forwarder, QA lab, title agent), and the EDMA protocol.</w:t>
      </w:r>
    </w:p>
    <w:p>
      <w:pPr>
        <w:pStyle w:val="Heading2"/>
      </w:pPr>
      <w:r>
        <w:t xml:space="preserve">2.2 Stream B --- Energy and Carbon Credits</w:t>
      </w:r>
    </w:p>
    <w:p>
      <w:pPr>
        <w:spacing w:after="120"/>
      </w:pPr>
      <w:r>
        <w:rPr>
          <w:rFonts w:ascii="Inter" w:cs="Inter" w:eastAsia="Inter" w:hAnsi="Inter"/>
          <w:sz w:val="22"/>
          <w:szCs w:val="22"/>
        </w:rPr>
        <w:t xml:space="preserve">A household in New Jersey has rooftop solar panels. The inverter sends production data to EDMA. Every 10 kWh mints 1 ETT (Energy Tracking Token). When 100 ETT accumulate (1 MWh), they can be converted into a REC, SREC, or carbon credit. That credit is sold on the marketplace, and the producer gets paid.</w:t>
      </w:r>
    </w:p>
    <w:p>
      <w:pPr>
        <w:spacing w:after="120"/>
      </w:pPr>
      <w:r>
        <w:rPr>
          <w:rFonts w:ascii="Inter" w:cs="Inter" w:eastAsia="Inter" w:hAnsi="Inter"/>
          <w:b/>
          <w:bCs/>
          <w:sz w:val="22"/>
          <w:szCs w:val="22"/>
        </w:rPr>
        <w:t xml:space="preserve">Who is involved: </w:t>
      </w:r>
      <w:r>
        <w:rPr>
          <w:rFonts w:ascii="Inter" w:cs="Inter" w:eastAsia="Inter" w:hAnsi="Inter"/>
          <w:sz w:val="22"/>
          <w:szCs w:val="22"/>
        </w:rPr>
        <w:t xml:space="preserve">Energy producer, IoT device, Attestor (installer/O&amp;M), Credit buyer, and the EDMA protocol.</w:t>
      </w:r>
    </w:p>
    <w:p>
      <w:pPr>
        <w:pStyle w:val="Heading2"/>
      </w:pPr>
      <w:r>
        <w:t xml:space="preserve">2.3 Where they intersect</w:t>
      </w:r>
    </w:p>
    <w:p>
      <w:pPr>
        <w:spacing w:after="120"/>
      </w:pPr>
      <w:r>
        <w:rPr>
          <w:rFonts w:ascii="Inter" w:cs="Inter" w:eastAsia="Inter" w:hAnsi="Inter"/>
          <w:sz w:val="22"/>
          <w:szCs w:val="22"/>
        </w:rPr>
        <w:t xml:space="preserve">When a shipment settles on Stream A, the buyer can attach energy credits from Stream B to the same receipt. This means the deal's ESG footprint (Scope 3 emissions, renewable energy use) is recorded on the same on-chain receipt as the financial settlement. No separate PDF, no manual reporting --- one auditable artifact.</w:t>
      </w:r>
    </w:p>
    <w:p>
      <w:r>
        <w:br w:type="page"/>
      </w:r>
    </w:p>
    <w:p>
      <w:pPr>
        <w:pStyle w:val="Heading1"/>
      </w:pPr>
      <w:r>
        <w:t xml:space="preserve">3. Every type of transaction on the EDMA L2</w:t>
      </w:r>
    </w:p>
    <w:p>
      <w:pPr>
        <w:spacing w:after="120"/>
      </w:pPr>
      <w:r>
        <w:rPr>
          <w:rFonts w:ascii="Inter" w:cs="Inter" w:eastAsia="Inter" w:hAnsi="Inter"/>
          <w:sz w:val="22"/>
          <w:szCs w:val="22"/>
        </w:rPr>
        <w:t xml:space="preserve">Here is every transaction that will appear on the block explorer, what triggers it, and what it means.</w:t>
      </w:r>
    </w:p>
    <w:p>
      <w:pPr>
        <w:pStyle w:val="Heading2"/>
      </w:pPr>
      <w:r>
        <w:t xml:space="preserve">3.1 Deal Setup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050443" w:val="clear"/>
            <w:tcMar>
              <w:top w:type="dxa" w:w="80"/>
              <w:left w:type="dxa" w:w="120"/>
              <w:bottom w:type="dxa" w:w="80"/>
              <w:right w:type="dxa" w:w="120"/>
            </w:tcMar>
          </w:tcPr>
          <w:p>
            <w:r>
              <w:rPr>
                <w:rFonts w:ascii="Inter" w:cs="Inter" w:eastAsia="Inter" w:hAnsi="Inter"/>
                <w:b/>
                <w:bCs/>
                <w:color w:val="FFFFFF"/>
                <w:sz w:val="20"/>
                <w:szCs w:val="20"/>
              </w:rPr>
              <w:t xml:space="preserve">Transaction</w:t>
            </w:r>
          </w:p>
        </w:tc>
        <w:tc>
          <w:tcPr>
            <w:tcW w:type="dxa" w:w="3600"/>
            <w:tcBorders>
              <w:top w:val="single" w:color="CCCCCC" w:sz="1"/>
              <w:left w:val="single" w:color="CCCCCC" w:sz="1"/>
              <w:bottom w:val="single" w:color="CCCCCC" w:sz="1"/>
              <w:right w:val="single" w:color="CCCCCC" w:sz="1"/>
            </w:tcBorders>
            <w:shd w:fill="050443" w:val="clear"/>
            <w:tcMar>
              <w:top w:type="dxa" w:w="80"/>
              <w:left w:type="dxa" w:w="120"/>
              <w:bottom w:type="dxa" w:w="80"/>
              <w:right w:type="dxa" w:w="120"/>
            </w:tcMar>
          </w:tcPr>
          <w:p>
            <w:r>
              <w:rPr>
                <w:rFonts w:ascii="Inter" w:cs="Inter" w:eastAsia="Inter" w:hAnsi="Inter"/>
                <w:b/>
                <w:bCs/>
                <w:color w:val="FFFFFF"/>
                <w:sz w:val="20"/>
                <w:szCs w:val="20"/>
              </w:rPr>
              <w:t xml:space="preserve">What happens</w:t>
            </w:r>
          </w:p>
        </w:tc>
        <w:tc>
          <w:tcPr>
            <w:tcW w:type="dxa" w:w="3560"/>
            <w:tcBorders>
              <w:top w:val="single" w:color="CCCCCC" w:sz="1"/>
              <w:left w:val="single" w:color="CCCCCC" w:sz="1"/>
              <w:bottom w:val="single" w:color="CCCCCC" w:sz="1"/>
              <w:right w:val="single" w:color="CCCCCC" w:sz="1"/>
            </w:tcBorders>
            <w:shd w:fill="050443" w:val="clear"/>
            <w:tcMar>
              <w:top w:type="dxa" w:w="80"/>
              <w:left w:type="dxa" w:w="120"/>
              <w:bottom w:type="dxa" w:w="80"/>
              <w:right w:type="dxa" w:w="120"/>
            </w:tcMar>
          </w:tcPr>
          <w:p>
            <w:r>
              <w:rPr>
                <w:rFonts w:ascii="Inter" w:cs="Inter" w:eastAsia="Inter" w:hAnsi="Inter"/>
                <w:b/>
                <w:bCs/>
                <w:color w:val="FFFFFF"/>
                <w:sz w:val="20"/>
                <w:szCs w:val="20"/>
              </w:rPr>
              <w:t xml:space="preserve">Contract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configureMilestone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Admin defines a milestone for an order: weight (% of total value), supplier address, corridor ID, total PO value. This sets up the escrow structure.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SettlementController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EDSD.mint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Buyer funds the deal. Fiat/stablecoin comes in off-chain; EDSD is minted 1:1 into the escrow. This is the Must-Fund invariant --- nothing ships until this happens.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EDSD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EDSD.lock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Minted EDSD is locked per milestone per supplier. Funds cannot move until proof arrives.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EDSD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registerAttestor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 customs broker, QA lab, or logistics company registers on-chain with their org ID (LEI), roles, and bond stake.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AttestorRegistry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setSchema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Admin defines what evidence is required for a milestone: which roles must attest, minimum attestations, freshness window.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PoVGate</w:t>
            </w:r>
          </w:p>
        </w:tc>
      </w:tr>
    </w:tbl>
    <w:p>
      <w:pPr>
        <w:pStyle w:val="Heading2"/>
      </w:pPr>
      <w:r>
        <w:t xml:space="preserve">3.2 Evidence and Verification Transactions</w:t>
      </w:r>
    </w:p>
    <w:p>
      <w:pPr>
        <w:spacing w:after="120"/>
      </w:pPr>
      <w:r>
        <w:rPr>
          <w:rFonts w:ascii="Inter" w:cs="Inter" w:eastAsia="Inter" w:hAnsi="Inter"/>
          <w:sz w:val="22"/>
          <w:szCs w:val="22"/>
        </w:rPr>
        <w:t xml:space="preserve">These are the core PoV transactions. They happen every time a shipment milestone is reached or energy is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050443" w:val="clear"/>
            <w:tcMar>
              <w:top w:type="dxa" w:w="80"/>
              <w:left w:type="dxa" w:w="120"/>
              <w:bottom w:type="dxa" w:w="80"/>
              <w:right w:type="dxa" w:w="120"/>
            </w:tcMar>
          </w:tcPr>
          <w:p>
            <w:r>
              <w:rPr>
                <w:rFonts w:ascii="Inter" w:cs="Inter" w:eastAsia="Inter" w:hAnsi="Inter"/>
                <w:b/>
                <w:bCs/>
                <w:color w:val="FFFFFF"/>
                <w:sz w:val="20"/>
                <w:szCs w:val="20"/>
              </w:rPr>
              <w:t xml:space="preserve">Transaction</w:t>
            </w:r>
          </w:p>
        </w:tc>
        <w:tc>
          <w:tcPr>
            <w:tcW w:type="dxa" w:w="3600"/>
            <w:tcBorders>
              <w:top w:val="single" w:color="CCCCCC" w:sz="1"/>
              <w:left w:val="single" w:color="CCCCCC" w:sz="1"/>
              <w:bottom w:val="single" w:color="CCCCCC" w:sz="1"/>
              <w:right w:val="single" w:color="CCCCCC" w:sz="1"/>
            </w:tcBorders>
            <w:shd w:fill="050443" w:val="clear"/>
            <w:tcMar>
              <w:top w:type="dxa" w:w="80"/>
              <w:left w:type="dxa" w:w="120"/>
              <w:bottom w:type="dxa" w:w="80"/>
              <w:right w:type="dxa" w:w="120"/>
            </w:tcMar>
          </w:tcPr>
          <w:p>
            <w:r>
              <w:rPr>
                <w:rFonts w:ascii="Inter" w:cs="Inter" w:eastAsia="Inter" w:hAnsi="Inter"/>
                <w:b/>
                <w:bCs/>
                <w:color w:val="FFFFFF"/>
                <w:sz w:val="20"/>
                <w:szCs w:val="20"/>
              </w:rPr>
              <w:t xml:space="preserve">What happens</w:t>
            </w:r>
          </w:p>
        </w:tc>
        <w:tc>
          <w:tcPr>
            <w:tcW w:type="dxa" w:w="3560"/>
            <w:tcBorders>
              <w:top w:val="single" w:color="CCCCCC" w:sz="1"/>
              <w:left w:val="single" w:color="CCCCCC" w:sz="1"/>
              <w:bottom w:val="single" w:color="CCCCCC" w:sz="1"/>
              <w:right w:val="single" w:color="CCCCCC" w:sz="1"/>
            </w:tcBorders>
            <w:shd w:fill="050443" w:val="clear"/>
            <w:tcMar>
              <w:top w:type="dxa" w:w="80"/>
              <w:left w:type="dxa" w:w="120"/>
              <w:bottom w:type="dxa" w:w="80"/>
              <w:right w:type="dxa" w:w="120"/>
            </w:tcMar>
          </w:tcPr>
          <w:p>
            <w:r>
              <w:rPr>
                <w:rFonts w:ascii="Inter" w:cs="Inter" w:eastAsia="Inter" w:hAnsi="Inter"/>
                <w:b/>
                <w:bCs/>
                <w:color w:val="FFFFFF"/>
                <w:sz w:val="20"/>
                <w:szCs w:val="20"/>
              </w:rPr>
              <w:t xml:space="preserve">Contract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evaluateClaim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An attestor (or the protocol on behalf of attestors) submits a claim with EIP-712 signed attestations. The PoV Gate checks: completeness, signatures, role diversity, consistency, timeliness, and One-Claim uniqueness. Outcome: PASS or FAIL.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PoVGate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reserve (One-Claim)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On PASS, the evidence hash is reserved in the One-Claim Ledger. This prevents the same evidence from being used twice --- ever. This is how double-counting is eliminated.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OneClaimLedger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GatePass event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On PASS, a GatePass is emitted: a single-use, same-transaction token proving this milestone was verified. The GatePass ID links the evidence to the settlement.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PoVGate (event)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GateFail event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On FAIL, a GateFail is emitted with a reason code: FAIL_INCOMPLETE, FAIL_SIG, FAIL_CONFLICT, FAIL_DUPLICATE, FAIL_STALE, FAIL_PENDING_FUNDS, FAIL_REVOKED.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PoVGate (event)</w:t>
            </w:r>
          </w:p>
        </w:tc>
      </w:tr>
    </w:tbl>
    <w:p>
      <w:pPr>
        <w:pStyle w:val="Heading2"/>
      </w:pPr>
      <w:r>
        <w:t xml:space="preserve">3.3 Settlement Transactions</w:t>
      </w:r>
    </w:p>
    <w:p>
      <w:pPr>
        <w:spacing w:after="120"/>
      </w:pPr>
      <w:r>
        <w:rPr>
          <w:rFonts w:ascii="Inter" w:cs="Inter" w:eastAsia="Inter" w:hAnsi="Inter"/>
          <w:sz w:val="22"/>
          <w:szCs w:val="22"/>
        </w:rPr>
        <w:t xml:space="preserve">When a milestone PASSES, money moves. These transactions release escrow and distribute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050443" w:val="clear"/>
            <w:tcMar>
              <w:top w:type="dxa" w:w="80"/>
              <w:left w:type="dxa" w:w="120"/>
              <w:bottom w:type="dxa" w:w="80"/>
              <w:right w:type="dxa" w:w="120"/>
            </w:tcMar>
          </w:tcPr>
          <w:p>
            <w:r>
              <w:rPr>
                <w:rFonts w:ascii="Inter" w:cs="Inter" w:eastAsia="Inter" w:hAnsi="Inter"/>
                <w:b/>
                <w:bCs/>
                <w:color w:val="FFFFFF"/>
                <w:sz w:val="20"/>
                <w:szCs w:val="20"/>
              </w:rPr>
              <w:t xml:space="preserve">Transaction</w:t>
            </w:r>
          </w:p>
        </w:tc>
        <w:tc>
          <w:tcPr>
            <w:tcW w:type="dxa" w:w="3600"/>
            <w:tcBorders>
              <w:top w:val="single" w:color="CCCCCC" w:sz="1"/>
              <w:left w:val="single" w:color="CCCCCC" w:sz="1"/>
              <w:bottom w:val="single" w:color="CCCCCC" w:sz="1"/>
              <w:right w:val="single" w:color="CCCCCC" w:sz="1"/>
            </w:tcBorders>
            <w:shd w:fill="050443" w:val="clear"/>
            <w:tcMar>
              <w:top w:type="dxa" w:w="80"/>
              <w:left w:type="dxa" w:w="120"/>
              <w:bottom w:type="dxa" w:w="80"/>
              <w:right w:type="dxa" w:w="120"/>
            </w:tcMar>
          </w:tcPr>
          <w:p>
            <w:r>
              <w:rPr>
                <w:rFonts w:ascii="Inter" w:cs="Inter" w:eastAsia="Inter" w:hAnsi="Inter"/>
                <w:b/>
                <w:bCs/>
                <w:color w:val="FFFFFF"/>
                <w:sz w:val="20"/>
                <w:szCs w:val="20"/>
              </w:rPr>
              <w:t xml:space="preserve">What happens</w:t>
            </w:r>
          </w:p>
        </w:tc>
        <w:tc>
          <w:tcPr>
            <w:tcW w:type="dxa" w:w="3560"/>
            <w:tcBorders>
              <w:top w:val="single" w:color="CCCCCC" w:sz="1"/>
              <w:left w:val="single" w:color="CCCCCC" w:sz="1"/>
              <w:bottom w:val="single" w:color="CCCCCC" w:sz="1"/>
              <w:right w:val="single" w:color="CCCCCC" w:sz="1"/>
            </w:tcBorders>
            <w:shd w:fill="050443" w:val="clear"/>
            <w:tcMar>
              <w:top w:type="dxa" w:w="80"/>
              <w:left w:type="dxa" w:w="120"/>
              <w:bottom w:type="dxa" w:w="80"/>
              <w:right w:type="dxa" w:w="120"/>
            </w:tcMar>
          </w:tcPr>
          <w:p>
            <w:r>
              <w:rPr>
                <w:rFonts w:ascii="Inter" w:cs="Inter" w:eastAsia="Inter" w:hAnsi="Inter"/>
                <w:b/>
                <w:bCs/>
                <w:color w:val="FFFFFF"/>
                <w:sz w:val="20"/>
                <w:szCs w:val="20"/>
              </w:rPr>
              <w:t xml:space="preserve">Contract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settleTrancheOnPass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The master settlement function. Takes the GatePass, verifies it, calculates the tranche amount, deducts platform fee (~0.50%), burns 50% of fee in EDM, unlocks EDSD, mints an EMT, emits a Receipt, and finalizes the One-Claim.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SettlementController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EMT.mint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An Escrow Movement Ticket is minted --- this is the on-chain proof that funds were authorized to move. No EMT = no funds move (Invariant I-1).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EMT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EDSD.unlock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Locked EDSD for this milestone is unlocked and becomes transferable to the supplier.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EDSD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FeeRouter.recordFee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Platform fee is calculated and recorded. Default: 50 bps (0.50%) per milestone release, with corridor-specific overrides possible.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FeeRouter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EDMBurner.burn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50% of the platform fee is burned in EDM. This is the deflationary mechanism driving supply from 500M toward 100M.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EDMBurner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Receipt event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An on-chain receipt is emitted containing: claim ID, order ID, corridor, milestone, PoV hash, tranche gross, platform fee, burn amount, net to beneficiary, timestamp.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SettlementController (event)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EDSD.burn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After payout, EDSD is burned. Circulating EDSD always equals active escrow --- no idle float.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EDSD</w:t>
            </w:r>
          </w:p>
        </w:tc>
      </w:tr>
    </w:tbl>
    <w:p>
      <w:r>
        <w:br w:type="page"/>
      </w:r>
    </w:p>
    <w:p>
      <w:pPr>
        <w:pStyle w:val="Heading2"/>
      </w:pPr>
      <w:r>
        <w:t xml:space="preserve">3.4 Energy and Asset Transactions</w:t>
      </w:r>
    </w:p>
    <w:p>
      <w:pPr>
        <w:spacing w:after="120"/>
      </w:pPr>
      <w:r>
        <w:rPr>
          <w:rFonts w:ascii="Inter" w:cs="Inter" w:eastAsia="Inter" w:hAnsi="Inter"/>
          <w:sz w:val="22"/>
          <w:szCs w:val="22"/>
        </w:rPr>
        <w:t xml:space="preserve">These transactions create and manage environmental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050443" w:val="clear"/>
            <w:tcMar>
              <w:top w:type="dxa" w:w="80"/>
              <w:left w:type="dxa" w:w="120"/>
              <w:bottom w:type="dxa" w:w="80"/>
              <w:right w:type="dxa" w:w="120"/>
            </w:tcMar>
          </w:tcPr>
          <w:p>
            <w:r>
              <w:rPr>
                <w:rFonts w:ascii="Inter" w:cs="Inter" w:eastAsia="Inter" w:hAnsi="Inter"/>
                <w:b/>
                <w:bCs/>
                <w:color w:val="FFFFFF"/>
                <w:sz w:val="20"/>
                <w:szCs w:val="20"/>
              </w:rPr>
              <w:t xml:space="preserve">Transaction</w:t>
            </w:r>
          </w:p>
        </w:tc>
        <w:tc>
          <w:tcPr>
            <w:tcW w:type="dxa" w:w="3600"/>
            <w:tcBorders>
              <w:top w:val="single" w:color="CCCCCC" w:sz="1"/>
              <w:left w:val="single" w:color="CCCCCC" w:sz="1"/>
              <w:bottom w:val="single" w:color="CCCCCC" w:sz="1"/>
              <w:right w:val="single" w:color="CCCCCC" w:sz="1"/>
            </w:tcBorders>
            <w:shd w:fill="050443" w:val="clear"/>
            <w:tcMar>
              <w:top w:type="dxa" w:w="80"/>
              <w:left w:type="dxa" w:w="120"/>
              <w:bottom w:type="dxa" w:w="80"/>
              <w:right w:type="dxa" w:w="120"/>
            </w:tcMar>
          </w:tcPr>
          <w:p>
            <w:r>
              <w:rPr>
                <w:rFonts w:ascii="Inter" w:cs="Inter" w:eastAsia="Inter" w:hAnsi="Inter"/>
                <w:b/>
                <w:bCs/>
                <w:color w:val="FFFFFF"/>
                <w:sz w:val="20"/>
                <w:szCs w:val="20"/>
              </w:rPr>
              <w:t xml:space="preserve">What happens</w:t>
            </w:r>
          </w:p>
        </w:tc>
        <w:tc>
          <w:tcPr>
            <w:tcW w:type="dxa" w:w="3560"/>
            <w:tcBorders>
              <w:top w:val="single" w:color="CCCCCC" w:sz="1"/>
              <w:left w:val="single" w:color="CCCCCC" w:sz="1"/>
              <w:bottom w:val="single" w:color="CCCCCC" w:sz="1"/>
              <w:right w:val="single" w:color="CCCCCC" w:sz="1"/>
            </w:tcBorders>
            <w:shd w:fill="050443" w:val="clear"/>
            <w:tcMar>
              <w:top w:type="dxa" w:w="80"/>
              <w:left w:type="dxa" w:w="120"/>
              <w:bottom w:type="dxa" w:w="80"/>
              <w:right w:type="dxa" w:w="120"/>
            </w:tcMar>
          </w:tcPr>
          <w:p>
            <w:r>
              <w:rPr>
                <w:rFonts w:ascii="Inter" w:cs="Inter" w:eastAsia="Inter" w:hAnsi="Inter"/>
                <w:b/>
                <w:bCs/>
                <w:color w:val="FFFFFF"/>
                <w:sz w:val="20"/>
                <w:szCs w:val="20"/>
              </w:rPr>
              <w:t xml:space="preserve">Contract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ETT.mint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An Energy Tracking Token is minted: 1 ETT per 10 kWh of verified renewable generation. Requires PoV pass with device binding, meter readings, and attestor co-sign.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ETT (ERC-1155)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CertificateNFT.mint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ETTs are consumed and bundled into a certificate: REC (100 ETT = 1 MWh), SREC, GO, or carbon credit (GRO). The NFT carries certType, registryId, serialNumber, corridor, and source ETT references.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CertificateNFT (ERC-721)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ETT.consume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When ETTs are used to mint a certificate, they are marked consumed and become non-transferable. Those kWh can never be claimed again.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ETT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CertificateNFT.retire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When a credit is sold and retired, the certificate is permanently marked retired with a receipt ID. This closes the loop: 1 energy unit -&gt; 1 ETT -&gt; 1 credit -&gt; 1 retirement.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CertificateNFT</w:t>
            </w:r>
          </w:p>
        </w:tc>
      </w:tr>
    </w:tbl>
    <w:p>
      <w:pPr>
        <w:pStyle w:val="Heading2"/>
      </w:pPr>
      <w:r>
        <w:t xml:space="preserve">3.5 Governance and Revocation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050443" w:val="clear"/>
            <w:tcMar>
              <w:top w:type="dxa" w:w="80"/>
              <w:left w:type="dxa" w:w="120"/>
              <w:bottom w:type="dxa" w:w="80"/>
              <w:right w:type="dxa" w:w="120"/>
            </w:tcMar>
          </w:tcPr>
          <w:p>
            <w:r>
              <w:rPr>
                <w:rFonts w:ascii="Inter" w:cs="Inter" w:eastAsia="Inter" w:hAnsi="Inter"/>
                <w:b/>
                <w:bCs/>
                <w:color w:val="FFFFFF"/>
                <w:sz w:val="20"/>
                <w:szCs w:val="20"/>
              </w:rPr>
              <w:t xml:space="preserve">Transaction</w:t>
            </w:r>
          </w:p>
        </w:tc>
        <w:tc>
          <w:tcPr>
            <w:tcW w:type="dxa" w:w="3600"/>
            <w:tcBorders>
              <w:top w:val="single" w:color="CCCCCC" w:sz="1"/>
              <w:left w:val="single" w:color="CCCCCC" w:sz="1"/>
              <w:bottom w:val="single" w:color="CCCCCC" w:sz="1"/>
              <w:right w:val="single" w:color="CCCCCC" w:sz="1"/>
            </w:tcBorders>
            <w:shd w:fill="050443" w:val="clear"/>
            <w:tcMar>
              <w:top w:type="dxa" w:w="80"/>
              <w:left w:type="dxa" w:w="120"/>
              <w:bottom w:type="dxa" w:w="80"/>
              <w:right w:type="dxa" w:w="120"/>
            </w:tcMar>
          </w:tcPr>
          <w:p>
            <w:r>
              <w:rPr>
                <w:rFonts w:ascii="Inter" w:cs="Inter" w:eastAsia="Inter" w:hAnsi="Inter"/>
                <w:b/>
                <w:bCs/>
                <w:color w:val="FFFFFF"/>
                <w:sz w:val="20"/>
                <w:szCs w:val="20"/>
              </w:rPr>
              <w:t xml:space="preserve">What happens</w:t>
            </w:r>
          </w:p>
        </w:tc>
        <w:tc>
          <w:tcPr>
            <w:tcW w:type="dxa" w:w="3560"/>
            <w:tcBorders>
              <w:top w:val="single" w:color="CCCCCC" w:sz="1"/>
              <w:left w:val="single" w:color="CCCCCC" w:sz="1"/>
              <w:bottom w:val="single" w:color="CCCCCC" w:sz="1"/>
              <w:right w:val="single" w:color="CCCCCC" w:sz="1"/>
            </w:tcBorders>
            <w:shd w:fill="050443" w:val="clear"/>
            <w:tcMar>
              <w:top w:type="dxa" w:w="80"/>
              <w:left w:type="dxa" w:w="120"/>
              <w:bottom w:type="dxa" w:w="80"/>
              <w:right w:type="dxa" w:w="120"/>
            </w:tcMar>
          </w:tcPr>
          <w:p>
            <w:r>
              <w:rPr>
                <w:rFonts w:ascii="Inter" w:cs="Inter" w:eastAsia="Inter" w:hAnsi="Inter"/>
                <w:b/>
                <w:bCs/>
                <w:color w:val="FFFFFF"/>
                <w:sz w:val="20"/>
                <w:szCs w:val="20"/>
              </w:rPr>
              <w:t xml:space="preserve">Contract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createRevocation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Admin creates a revocation when a previously-passed milestone needs correction. Freezes downstream milestones.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RevocationManager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resolveRevocation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After correction, unfreezes milestones and links to an amended receipt.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RevocationManager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suspend / reinstate / revoke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Attestor lifecycle management. Suspend for SLA breach, reinstate after cure, revoke for fraud.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AttestorRegistry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proposeChange / executeChange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Governance parameter changes with timelock: fee rates, SLA thresholds, freshness windows.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ParameterStore</w:t>
            </w:r>
          </w:p>
        </w:tc>
      </w:tr>
    </w:tbl>
    <w:p>
      <w:pPr>
        <w:pStyle w:val="Heading2"/>
      </w:pPr>
      <w:r>
        <w:t xml:space="preserve">3.6 EDM Token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050443" w:val="clear"/>
            <w:tcMar>
              <w:top w:type="dxa" w:w="80"/>
              <w:left w:type="dxa" w:w="120"/>
              <w:bottom w:type="dxa" w:w="80"/>
              <w:right w:type="dxa" w:w="120"/>
            </w:tcMar>
          </w:tcPr>
          <w:p>
            <w:r>
              <w:rPr>
                <w:rFonts w:ascii="Inter" w:cs="Inter" w:eastAsia="Inter" w:hAnsi="Inter"/>
                <w:b/>
                <w:bCs/>
                <w:color w:val="FFFFFF"/>
                <w:sz w:val="20"/>
                <w:szCs w:val="20"/>
              </w:rPr>
              <w:t xml:space="preserve">Transaction</w:t>
            </w:r>
          </w:p>
        </w:tc>
        <w:tc>
          <w:tcPr>
            <w:tcW w:type="dxa" w:w="3600"/>
            <w:tcBorders>
              <w:top w:val="single" w:color="CCCCCC" w:sz="1"/>
              <w:left w:val="single" w:color="CCCCCC" w:sz="1"/>
              <w:bottom w:val="single" w:color="CCCCCC" w:sz="1"/>
              <w:right w:val="single" w:color="CCCCCC" w:sz="1"/>
            </w:tcBorders>
            <w:shd w:fill="050443" w:val="clear"/>
            <w:tcMar>
              <w:top w:type="dxa" w:w="80"/>
              <w:left w:type="dxa" w:w="120"/>
              <w:bottom w:type="dxa" w:w="80"/>
              <w:right w:type="dxa" w:w="120"/>
            </w:tcMar>
          </w:tcPr>
          <w:p>
            <w:r>
              <w:rPr>
                <w:rFonts w:ascii="Inter" w:cs="Inter" w:eastAsia="Inter" w:hAnsi="Inter"/>
                <w:b/>
                <w:bCs/>
                <w:color w:val="FFFFFF"/>
                <w:sz w:val="20"/>
                <w:szCs w:val="20"/>
              </w:rPr>
              <w:t xml:space="preserve">What happens</w:t>
            </w:r>
          </w:p>
        </w:tc>
        <w:tc>
          <w:tcPr>
            <w:tcW w:type="dxa" w:w="3560"/>
            <w:tcBorders>
              <w:top w:val="single" w:color="CCCCCC" w:sz="1"/>
              <w:left w:val="single" w:color="CCCCCC" w:sz="1"/>
              <w:bottom w:val="single" w:color="CCCCCC" w:sz="1"/>
              <w:right w:val="single" w:color="CCCCCC" w:sz="1"/>
            </w:tcBorders>
            <w:shd w:fill="050443" w:val="clear"/>
            <w:tcMar>
              <w:top w:type="dxa" w:w="80"/>
              <w:left w:type="dxa" w:w="120"/>
              <w:bottom w:type="dxa" w:w="80"/>
              <w:right w:type="dxa" w:w="120"/>
            </w:tcMar>
          </w:tcPr>
          <w:p>
            <w:r>
              <w:rPr>
                <w:rFonts w:ascii="Inter" w:cs="Inter" w:eastAsia="Inter" w:hAnsi="Inter"/>
                <w:b/>
                <w:bCs/>
                <w:color w:val="FFFFFF"/>
                <w:sz w:val="20"/>
                <w:szCs w:val="20"/>
              </w:rPr>
              <w:t xml:space="preserve">Contract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Bridge: L1 -&gt; L2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EDM holder bridges their tokens from Ethereum L1 to EDMA L2 via the OP Standard Bridge. EDM is locked on L1, representation minted on L2.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L1StandardBridge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Bridge: L2 -&gt; L1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Withdraw EDM back to Ethereum L1 with 7-day challenge window.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L1StandardBridge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Fee payment in EDM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Sellers pay their 2% credit conversion fee in EDM. Minimum denomination: $0.50/EDM (fee floor, not market price).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FeeRouter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EDM burn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50% of all protocol fees are burned. Burned L2 EDM can never be bridged back to L1 --- permanent supply reduction.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EDMBurner</w:t>
            </w:r>
          </w:p>
        </w:tc>
      </w:tr>
    </w:tbl>
    <w:p>
      <w:r>
        <w:br w:type="page"/>
      </w:r>
    </w:p>
    <w:p>
      <w:pPr>
        <w:pStyle w:val="Heading1"/>
      </w:pPr>
      <w:r>
        <w:t xml:space="preserve">4. A complete deal --- transaction by transaction</w:t>
      </w:r>
    </w:p>
    <w:p>
      <w:pPr>
        <w:spacing w:after="120"/>
      </w:pPr>
      <w:r>
        <w:rPr>
          <w:rFonts w:ascii="Inter" w:cs="Inter" w:eastAsia="Inter" w:hAnsi="Inter"/>
          <w:sz w:val="22"/>
          <w:szCs w:val="22"/>
        </w:rPr>
        <w:t xml:space="preserve">Here is exactly what happens on-chain when a manufacturer ships $100,000 of solar panels from Shanghai to Rotterdam with 4 milestones.</w:t>
      </w:r>
    </w:p>
    <w:p>
      <w:pPr>
        <w:pStyle w:val="Heading2"/>
      </w:pPr>
      <w:r>
        <w:t xml:space="preserve">4.1 Before shipping</w:t>
      </w:r>
    </w:p>
    <w:p>
      <w:pPr>
        <w:spacing w:after="120"/>
      </w:pPr>
      <w:r>
        <w:rPr>
          <w:rFonts w:ascii="Inter" w:cs="Inter" w:eastAsia="Inter" w:hAnsi="Inter"/>
          <w:b/>
          <w:bCs/>
          <w:sz w:val="22"/>
          <w:szCs w:val="22"/>
        </w:rPr>
        <w:t xml:space="preserve">Transaction 1: </w:t>
      </w:r>
      <w:r>
        <w:rPr>
          <w:rFonts w:ascii="Inter" w:cs="Inter" w:eastAsia="Inter" w:hAnsi="Inter"/>
          <w:sz w:val="22"/>
          <w:szCs w:val="22"/>
        </w:rPr>
        <w:t xml:space="preserve">configureMilestone (x4) --- Admin sets up 4 milestones: ON_BOARD (20%), CUSTOMS (20%), ARRIVAL_QA (30%), DELIVERY (30%). Each specifies the supplier address and corridor ID.</w:t>
      </w:r>
    </w:p>
    <w:p>
      <w:pPr>
        <w:spacing w:after="120"/>
      </w:pPr>
      <w:r>
        <w:rPr>
          <w:rFonts w:ascii="Inter" w:cs="Inter" w:eastAsia="Inter" w:hAnsi="Inter"/>
          <w:b/>
          <w:bCs/>
          <w:sz w:val="22"/>
          <w:szCs w:val="22"/>
        </w:rPr>
        <w:t xml:space="preserve">Transaction 2: </w:t>
      </w:r>
      <w:r>
        <w:rPr>
          <w:rFonts w:ascii="Inter" w:cs="Inter" w:eastAsia="Inter" w:hAnsi="Inter"/>
          <w:sz w:val="22"/>
          <w:szCs w:val="22"/>
        </w:rPr>
        <w:t xml:space="preserve">EDSD.mint($100,000) --- Buyer deposits $100,000. EDSD is minted 1:1.</w:t>
      </w:r>
    </w:p>
    <w:p>
      <w:pPr>
        <w:spacing w:after="120"/>
      </w:pPr>
      <w:r>
        <w:rPr>
          <w:rFonts w:ascii="Inter" w:cs="Inter" w:eastAsia="Inter" w:hAnsi="Inter"/>
          <w:b/>
          <w:bCs/>
          <w:sz w:val="22"/>
          <w:szCs w:val="22"/>
        </w:rPr>
        <w:t xml:space="preserve">Transaction 3: </w:t>
      </w:r>
      <w:r>
        <w:rPr>
          <w:rFonts w:ascii="Inter" w:cs="Inter" w:eastAsia="Inter" w:hAnsi="Inter"/>
          <w:sz w:val="22"/>
          <w:szCs w:val="22"/>
        </w:rPr>
        <w:t xml:space="preserve">EDSD.lock (x4) --- $20,000 locked for ON_BOARD, $20,000 for CUSTOMS, $30,000 for ARRIVAL_QA, $30,000 for DELIVERY. All locked to the supplier address.</w:t>
      </w:r>
    </w:p>
    <w:p>
      <w:pPr>
        <w:spacing w:after="120"/>
      </w:pPr>
      <w:r>
        <w:rPr>
          <w:rFonts w:ascii="Inter" w:cs="Inter" w:eastAsia="Inter" w:hAnsi="Inter"/>
          <w:sz w:val="22"/>
          <w:szCs w:val="22"/>
        </w:rPr>
        <w:t xml:space="preserve">At this point: $100,000 EDSD exists, all locked. The supplier can see their deal in the Deal Room. Nothing can ship until these 3 transactions are confirmed on-chain.</w:t>
      </w:r>
    </w:p>
    <w:p>
      <w:pPr>
        <w:pStyle w:val="Heading2"/>
      </w:pPr>
      <w:r>
        <w:t xml:space="preserve">4.2 Shipment loaded (ON_BOARD)</w:t>
      </w:r>
    </w:p>
    <w:p>
      <w:pPr>
        <w:spacing w:after="120"/>
      </w:pPr>
      <w:r>
        <w:rPr>
          <w:rFonts w:ascii="Inter" w:cs="Inter" w:eastAsia="Inter" w:hAnsi="Inter"/>
          <w:sz w:val="22"/>
          <w:szCs w:val="22"/>
        </w:rPr>
        <w:t xml:space="preserve">The container is loaded onto the vessel in Shanghai. A title agent (eBL issuer) signs the on-board event.</w:t>
      </w:r>
    </w:p>
    <w:p>
      <w:pPr>
        <w:spacing w:after="120"/>
      </w:pPr>
      <w:r>
        <w:rPr>
          <w:rFonts w:ascii="Inter" w:cs="Inter" w:eastAsia="Inter" w:hAnsi="Inter"/>
          <w:b/>
          <w:bCs/>
          <w:sz w:val="22"/>
          <w:szCs w:val="22"/>
        </w:rPr>
        <w:t xml:space="preserve">Transaction 4: </w:t>
      </w:r>
      <w:r>
        <w:rPr>
          <w:rFonts w:ascii="Inter" w:cs="Inter" w:eastAsia="Inter" w:hAnsi="Inter"/>
          <w:sz w:val="22"/>
          <w:szCs w:val="22"/>
        </w:rPr>
        <w:t xml:space="preserve">evaluateClaim --- The PoV Gate receives the claim with an EIP-712 signed attestation from the title agent. It checks: eBL event hash present, title attestor is registered and active, signature is valid, evidence is fresh (within 30 min SLA), One-Claim check passes. Result: PASS.</w:t>
      </w:r>
    </w:p>
    <w:p>
      <w:pPr>
        <w:spacing w:after="120"/>
      </w:pPr>
      <w:r>
        <w:rPr>
          <w:rFonts w:ascii="Inter" w:cs="Inter" w:eastAsia="Inter" w:hAnsi="Inter"/>
          <w:b/>
          <w:bCs/>
          <w:sz w:val="22"/>
          <w:szCs w:val="22"/>
        </w:rPr>
        <w:t xml:space="preserve">Transaction 5: </w:t>
      </w:r>
      <w:r>
        <w:rPr>
          <w:rFonts w:ascii="Inter" w:cs="Inter" w:eastAsia="Inter" w:hAnsi="Inter"/>
          <w:sz w:val="22"/>
          <w:szCs w:val="22"/>
        </w:rPr>
        <w:t xml:space="preserve">settleTrancheOnPass --- The settlement controller: (a) consumes the GatePass, (b) calculates tranche: $20,000, (c) deducts platform fee: $100 (50 bps), (d) burns $50 worth of EDM (50% of fee), (e) unlocks $20,000 EDSD, (f) mints EMT, (g) emits Receipt with all details. The supplier receives $19,900 net.</w:t>
      </w:r>
    </w:p>
    <w:p>
      <w:pPr>
        <w:spacing w:after="120"/>
      </w:pPr>
      <w:r>
        <w:rPr>
          <w:rFonts w:ascii="Inter" w:cs="Inter" w:eastAsia="Inter" w:hAnsi="Inter"/>
          <w:sz w:val="22"/>
          <w:szCs w:val="22"/>
        </w:rPr>
        <w:t xml:space="preserve">This is 2 transactions. The explorer shows them linked by order ID. The Deal Room shows milestone 1 as green/completed.</w:t>
      </w:r>
    </w:p>
    <w:p>
      <w:pPr>
        <w:pStyle w:val="Heading2"/>
      </w:pPr>
      <w:r>
        <w:t xml:space="preserve">4.3 Customs cleared</w:t>
      </w:r>
    </w:p>
    <w:p>
      <w:pPr>
        <w:spacing w:after="120"/>
      </w:pPr>
      <w:r>
        <w:rPr>
          <w:rFonts w:ascii="Inter" w:cs="Inter" w:eastAsia="Inter" w:hAnsi="Inter"/>
          <w:sz w:val="22"/>
          <w:szCs w:val="22"/>
        </w:rPr>
        <w:t xml:space="preserve">Same pattern: customs broker attests clearance. evaluateClaim -&gt; PASS -&gt; settleTrancheOnPass. Another $20,000 released. 2 more transactions.</w:t>
      </w:r>
    </w:p>
    <w:p>
      <w:pPr>
        <w:pStyle w:val="Heading2"/>
      </w:pPr>
      <w:r>
        <w:t xml:space="preserve">4.4 Arrival and QA</w:t>
      </w:r>
    </w:p>
    <w:p>
      <w:pPr>
        <w:spacing w:after="120"/>
      </w:pPr>
      <w:r>
        <w:rPr>
          <w:rFonts w:ascii="Inter" w:cs="Inter" w:eastAsia="Inter" w:hAnsi="Inter"/>
          <w:sz w:val="22"/>
          <w:szCs w:val="22"/>
        </w:rPr>
        <w:t xml:space="preserve">This milestone requires TWO attestors: a forwarder/terminal (proof of discharge) AND a QA lab (inspection passed). Both sign the same evidence set.</w:t>
      </w:r>
    </w:p>
    <w:p>
      <w:pPr>
        <w:spacing w:after="120"/>
      </w:pPr>
      <w:r>
        <w:rPr>
          <w:rFonts w:ascii="Inter" w:cs="Inter" w:eastAsia="Inter" w:hAnsi="Inter"/>
          <w:b/>
          <w:bCs/>
          <w:sz w:val="22"/>
          <w:szCs w:val="22"/>
        </w:rPr>
        <w:t xml:space="preserve">Transaction 6: </w:t>
      </w:r>
      <w:r>
        <w:rPr>
          <w:rFonts w:ascii="Inter" w:cs="Inter" w:eastAsia="Inter" w:hAnsi="Inter"/>
          <w:sz w:val="22"/>
          <w:szCs w:val="22"/>
        </w:rPr>
        <w:t xml:space="preserve">evaluateClaim --- Two attestations in the same claim. PoV Gate checks role diversity (two different orgs, two different roles). PASS.</w:t>
      </w:r>
    </w:p>
    <w:p>
      <w:pPr>
        <w:spacing w:after="120"/>
      </w:pPr>
      <w:r>
        <w:rPr>
          <w:rFonts w:ascii="Inter" w:cs="Inter" w:eastAsia="Inter" w:hAnsi="Inter"/>
          <w:b/>
          <w:bCs/>
          <w:sz w:val="22"/>
          <w:szCs w:val="22"/>
        </w:rPr>
        <w:t xml:space="preserve">Transaction 7: </w:t>
      </w:r>
      <w:r>
        <w:rPr>
          <w:rFonts w:ascii="Inter" w:cs="Inter" w:eastAsia="Inter" w:hAnsi="Inter"/>
          <w:sz w:val="22"/>
          <w:szCs w:val="22"/>
        </w:rPr>
        <w:t xml:space="preserve">settleTrancheOnPass --- $30,000 released. Platform fee $150, burn $75 EDM.</w:t>
      </w:r>
    </w:p>
    <w:p>
      <w:pPr>
        <w:spacing w:after="120"/>
      </w:pPr>
      <w:r>
        <w:rPr>
          <w:rFonts w:ascii="Inter" w:cs="Inter" w:eastAsia="Inter" w:hAnsi="Inter"/>
          <w:sz w:val="22"/>
          <w:szCs w:val="22"/>
        </w:rPr>
        <w:t xml:space="preserve">Additionally, the buyer attaches an energy certificate to this milestone:</w:t>
      </w:r>
    </w:p>
    <w:p>
      <w:pPr>
        <w:spacing w:after="120"/>
      </w:pPr>
      <w:r>
        <w:rPr>
          <w:rFonts w:ascii="Inter" w:cs="Inter" w:eastAsia="Inter" w:hAnsi="Inter"/>
          <w:b/>
          <w:bCs/>
          <w:sz w:val="22"/>
          <w:szCs w:val="22"/>
        </w:rPr>
        <w:t xml:space="preserve">Transaction 8: </w:t>
      </w:r>
      <w:r>
        <w:rPr>
          <w:rFonts w:ascii="Inter" w:cs="Inter" w:eastAsia="Inter" w:hAnsi="Inter"/>
          <w:sz w:val="22"/>
          <w:szCs w:val="22"/>
        </w:rPr>
        <w:t xml:space="preserve">CertificateNFT.mint --- A REC is attached to this shipment's receipt. The attach fee is 2% buyer + 2% seller = $400 + $400 on the certificate value. This appears on the same receipt.</w:t>
      </w:r>
    </w:p>
    <w:p>
      <w:pPr>
        <w:pStyle w:val="Heading2"/>
      </w:pPr>
      <w:r>
        <w:t xml:space="preserve">4.5 Final delivery</w:t>
      </w:r>
    </w:p>
    <w:p>
      <w:pPr>
        <w:spacing w:after="120"/>
      </w:pPr>
      <w:r>
        <w:rPr>
          <w:rFonts w:ascii="Inter" w:cs="Inter" w:eastAsia="Inter" w:hAnsi="Inter"/>
          <w:sz w:val="22"/>
          <w:szCs w:val="22"/>
        </w:rPr>
        <w:t xml:space="preserve">Same pattern: evaluateClaim -&gt; PASS -&gt; settleTrancheOnPass. Last $30,000 released.</w:t>
      </w:r>
    </w:p>
    <w:p>
      <w:pPr>
        <w:spacing w:after="120"/>
      </w:pPr>
      <w:r>
        <w:rPr>
          <w:rFonts w:ascii="Inter" w:cs="Inter" w:eastAsia="Inter" w:hAnsi="Inter"/>
          <w:b/>
          <w:bCs/>
          <w:sz w:val="22"/>
          <w:szCs w:val="22"/>
        </w:rPr>
        <w:t xml:space="preserve">Transaction 9: </w:t>
      </w:r>
      <w:r>
        <w:rPr>
          <w:rFonts w:ascii="Inter" w:cs="Inter" w:eastAsia="Inter" w:hAnsi="Inter"/>
          <w:sz w:val="22"/>
          <w:szCs w:val="22"/>
        </w:rPr>
        <w:t xml:space="preserve">EDSD.burn --- All EDSD for this deal is now burned. The deal is fully settled. Total on-chain: ~12 transactions for a $100,000 deal.</w:t>
      </w:r>
    </w:p>
    <w:p>
      <w:pPr>
        <w:pStyle w:val="Heading2"/>
      </w:pPr>
      <w:r>
        <w:t xml:space="preserve">4.6 Transaction count for one deal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050443" w:val="clear"/>
            <w:tcMar>
              <w:top w:type="dxa" w:w="80"/>
              <w:left w:type="dxa" w:w="120"/>
              <w:bottom w:type="dxa" w:w="80"/>
              <w:right w:type="dxa" w:w="120"/>
            </w:tcMar>
          </w:tcPr>
          <w:p>
            <w:r>
              <w:rPr>
                <w:rFonts w:ascii="Inter" w:cs="Inter" w:eastAsia="Inter" w:hAnsi="Inter"/>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050443" w:val="clear"/>
            <w:tcMar>
              <w:top w:type="dxa" w:w="80"/>
              <w:left w:type="dxa" w:w="120"/>
              <w:bottom w:type="dxa" w:w="80"/>
              <w:right w:type="dxa" w:w="120"/>
            </w:tcMar>
          </w:tcPr>
          <w:p>
            <w:r>
              <w:rPr>
                <w:rFonts w:ascii="Inter" w:cs="Inter" w:eastAsia="Inter" w:hAnsi="Inter"/>
                <w:b/>
                <w:bCs/>
                <w:color w:val="FFFFFF"/>
                <w:sz w:val="20"/>
                <w:szCs w:val="20"/>
              </w:rPr>
              <w:t xml:space="preserve">Transactions</w:t>
            </w:r>
          </w:p>
        </w:tc>
        <w:tc>
          <w:tcPr>
            <w:tcW w:type="dxa" w:w="3360"/>
            <w:tcBorders>
              <w:top w:val="single" w:color="CCCCCC" w:sz="1"/>
              <w:left w:val="single" w:color="CCCCCC" w:sz="1"/>
              <w:bottom w:val="single" w:color="CCCCCC" w:sz="1"/>
              <w:right w:val="single" w:color="CCCCCC" w:sz="1"/>
            </w:tcBorders>
            <w:shd w:fill="050443" w:val="clear"/>
            <w:tcMar>
              <w:top w:type="dxa" w:w="80"/>
              <w:left w:type="dxa" w:w="120"/>
              <w:bottom w:type="dxa" w:w="80"/>
              <w:right w:type="dxa" w:w="120"/>
            </w:tcMar>
          </w:tcPr>
          <w:p>
            <w:r>
              <w:rPr>
                <w:rFonts w:ascii="Inter" w:cs="Inter" w:eastAsia="Inter" w:hAnsi="Inter"/>
                <w:b/>
                <w:bCs/>
                <w:color w:val="FFFFFF"/>
                <w:sz w:val="20"/>
                <w:szCs w:val="20"/>
              </w:rPr>
              <w:t xml:space="preserve">Cost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Deal setup (configure + mint + lock)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~$0.01 total (L2 gas)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4 milestones (claim + settle each)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~$0.01 total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Certificate attach + retirement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~$0.005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EDSD burn (cleanup)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~$0.002</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TOTAL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~17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&lt; $0.03</w:t>
            </w:r>
          </w:p>
        </w:tc>
      </w:tr>
    </w:tbl>
    <w:p>
      <w:pPr>
        <w:spacing w:after="120"/>
      </w:pPr>
      <w:r>
        <w:rPr>
          <w:rFonts w:ascii="Inter" w:cs="Inter" w:eastAsia="Inter" w:hAnsi="Inter"/>
          <w:sz w:val="22"/>
          <w:szCs w:val="22"/>
        </w:rPr>
        <w:t xml:space="preserve">Compare this to a letter of credit: $1,000-3,000 in bank fees, 3-5 days per milestone, no audit trail. EDMA: $0.03 in gas, 2 seconds per milestone, permanent on-chain receipt.</w:t>
      </w:r>
    </w:p>
    <w:p>
      <w:r>
        <w:br w:type="page"/>
      </w:r>
    </w:p>
    <w:p>
      <w:pPr>
        <w:pStyle w:val="Heading1"/>
      </w:pPr>
      <w:r>
        <w:t xml:space="preserve">5. An energy credit --- transaction by transaction</w:t>
      </w:r>
    </w:p>
    <w:p>
      <w:pPr>
        <w:spacing w:after="120"/>
      </w:pPr>
      <w:r>
        <w:rPr>
          <w:rFonts w:ascii="Inter" w:cs="Inter" w:eastAsia="Inter" w:hAnsi="Inter"/>
          <w:sz w:val="22"/>
          <w:szCs w:val="22"/>
        </w:rPr>
        <w:t xml:space="preserve">Here is what happens when a household's solar panels generate energy and the producer sells a REC.</w:t>
      </w:r>
    </w:p>
    <w:p>
      <w:pPr>
        <w:spacing w:after="120"/>
      </w:pPr>
      <w:r>
        <w:rPr>
          <w:rFonts w:ascii="Inter" w:cs="Inter" w:eastAsia="Inter" w:hAnsi="Inter"/>
          <w:b/>
          <w:bCs/>
          <w:sz w:val="22"/>
          <w:szCs w:val="22"/>
        </w:rPr>
        <w:t xml:space="preserve">Transaction 1: </w:t>
      </w:r>
      <w:r>
        <w:rPr>
          <w:rFonts w:ascii="Inter" w:cs="Inter" w:eastAsia="Inter" w:hAnsi="Inter"/>
          <w:sz w:val="22"/>
          <w:szCs w:val="22"/>
        </w:rPr>
        <w:t xml:space="preserve">ETT.mint (ongoing) --- Every time the inverter sends verified production data and it passes PoV (device binding, meter readings, attestor co-sign), 1 ETT is minted per 10 kWh. A 5kW system producing 20 kWh/day mints 2 ETTs daily.</w:t>
      </w:r>
    </w:p>
    <w:p>
      <w:pPr>
        <w:spacing w:after="120"/>
      </w:pPr>
      <w:r>
        <w:rPr>
          <w:rFonts w:ascii="Inter" w:cs="Inter" w:eastAsia="Inter" w:hAnsi="Inter"/>
          <w:b/>
          <w:bCs/>
          <w:sz w:val="22"/>
          <w:szCs w:val="22"/>
        </w:rPr>
        <w:t xml:space="preserve">Transaction 2: </w:t>
      </w:r>
      <w:r>
        <w:rPr>
          <w:rFonts w:ascii="Inter" w:cs="Inter" w:eastAsia="Inter" w:hAnsi="Inter"/>
          <w:sz w:val="22"/>
          <w:szCs w:val="22"/>
        </w:rPr>
        <w:t xml:space="preserve">ETT.consumeBatch --- When 100 ETTs accumulate (1 MWh), the producer deposits them. All 100 are marked consumed (non-transferable forever).</w:t>
      </w:r>
    </w:p>
    <w:p>
      <w:pPr>
        <w:spacing w:after="120"/>
      </w:pPr>
      <w:r>
        <w:rPr>
          <w:rFonts w:ascii="Inter" w:cs="Inter" w:eastAsia="Inter" w:hAnsi="Inter"/>
          <w:b/>
          <w:bCs/>
          <w:sz w:val="22"/>
          <w:szCs w:val="22"/>
        </w:rPr>
        <w:t xml:space="preserve">Transaction 3: </w:t>
      </w:r>
      <w:r>
        <w:rPr>
          <w:rFonts w:ascii="Inter" w:cs="Inter" w:eastAsia="Inter" w:hAnsi="Inter"/>
          <w:sz w:val="22"/>
          <w:szCs w:val="22"/>
        </w:rPr>
        <w:t xml:space="preserve">CertificateNFT.mint --- A REC is minted. It carries the program ID (e.g., NJ SREC-II), registry serial number, device ID, time window, and PoV hash linking back to all 100 source ETTs.</w:t>
      </w:r>
    </w:p>
    <w:p>
      <w:pPr>
        <w:spacing w:after="120"/>
      </w:pPr>
      <w:r>
        <w:rPr>
          <w:rFonts w:ascii="Inter" w:cs="Inter" w:eastAsia="Inter" w:hAnsi="Inter"/>
          <w:b/>
          <w:bCs/>
          <w:sz w:val="22"/>
          <w:szCs w:val="22"/>
        </w:rPr>
        <w:t xml:space="preserve">Transaction 4: </w:t>
      </w:r>
      <w:r>
        <w:rPr>
          <w:rFonts w:ascii="Inter" w:cs="Inter" w:eastAsia="Inter" w:hAnsi="Inter"/>
          <w:sz w:val="22"/>
          <w:szCs w:val="22"/>
        </w:rPr>
        <w:t xml:space="preserve">Marketplace sale --- The REC is listed, a corporate buyer purchases it. 4% total fees: 2% seller (paid in EDM), 2% buyer. 50% of fees burned.</w:t>
      </w:r>
    </w:p>
    <w:p>
      <w:pPr>
        <w:spacing w:after="120"/>
      </w:pPr>
      <w:r>
        <w:rPr>
          <w:rFonts w:ascii="Inter" w:cs="Inter" w:eastAsia="Inter" w:hAnsi="Inter"/>
          <w:b/>
          <w:bCs/>
          <w:sz w:val="22"/>
          <w:szCs w:val="22"/>
        </w:rPr>
        <w:t xml:space="preserve">Transaction 5: </w:t>
      </w:r>
      <w:r>
        <w:rPr>
          <w:rFonts w:ascii="Inter" w:cs="Inter" w:eastAsia="Inter" w:hAnsi="Inter"/>
          <w:sz w:val="22"/>
          <w:szCs w:val="22"/>
        </w:rPr>
        <w:t xml:space="preserve">CertificateNFT.retire --- The buyer retires the certificate. It is permanently marked retired with a receipt ID. The corporate buyer now owns the auditable claim to that 1 MWh of clean energy.</w:t>
      </w:r>
    </w:p>
    <w:p>
      <w:pPr>
        <w:spacing w:after="120"/>
      </w:pPr>
      <w:r>
        <w:rPr>
          <w:rFonts w:ascii="Inter" w:cs="Inter" w:eastAsia="Inter" w:hAnsi="Inter"/>
          <w:sz w:val="22"/>
          <w:szCs w:val="22"/>
        </w:rPr>
        <w:t xml:space="preserve">5 transactions. The entire chain from sunlight hitting a panel to a corporate Scope 2 claim is on-chain, auditable, and impossible to double-count.</w:t>
      </w:r>
    </w:p>
    <w:p>
      <w:r>
        <w:br w:type="page"/>
      </w:r>
    </w:p>
    <w:p>
      <w:pPr>
        <w:pStyle w:val="Heading1"/>
      </w:pPr>
      <w:r>
        <w:t xml:space="preserve">6. Where transactions are displayed</w:t>
      </w:r>
    </w:p>
    <w:p>
      <w:pPr>
        <w:pStyle w:val="Heading2"/>
      </w:pPr>
      <w:r>
        <w:t xml:space="preserve">6.1 Block Explorer (explorer.edma.app)</w:t>
      </w:r>
    </w:p>
    <w:p>
      <w:pPr>
        <w:spacing w:after="120"/>
      </w:pPr>
      <w:r>
        <w:rPr>
          <w:rFonts w:ascii="Inter" w:cs="Inter" w:eastAsia="Inter" w:hAnsi="Inter"/>
          <w:sz w:val="22"/>
          <w:szCs w:val="22"/>
        </w:rPr>
        <w:t xml:space="preserve">Every transaction is visible here. This is the public, permissionless view of everything happening on the chain. Anyone can search by transaction hash, block number, address, or contract.</w:t>
      </w:r>
    </w:p>
    <w:p>
      <w:pPr>
        <w:pStyle w:val="ListParagraph"/>
        <w:numPr>
          <w:ilvl w:val="0"/>
          <w:numId w:val="2"/>
        </w:numPr>
        <w:spacing w:after="60"/>
      </w:pPr>
      <w:r>
        <w:rPr>
          <w:rFonts w:ascii="Inter" w:cs="Inter" w:eastAsia="Inter" w:hAnsi="Inter"/>
          <w:sz w:val="22"/>
          <w:szCs w:val="22"/>
        </w:rPr>
        <w:t xml:space="preserve">Transaction list: shows every tx with hash, block, from/to addresses, method name, value, gas, timestamp.</w:t>
      </w:r>
    </w:p>
    <w:p>
      <w:pPr>
        <w:pStyle w:val="ListParagraph"/>
        <w:numPr>
          <w:ilvl w:val="0"/>
          <w:numId w:val="2"/>
        </w:numPr>
        <w:spacing w:after="60"/>
      </w:pPr>
      <w:r>
        <w:rPr>
          <w:rFonts w:ascii="Inter" w:cs="Inter" w:eastAsia="Inter" w:hAnsi="Inter"/>
          <w:sz w:val="22"/>
          <w:szCs w:val="22"/>
        </w:rPr>
        <w:t xml:space="preserve">Contract pages: shows all calls to a specific contract (e.g., all PoVGate evaluateClaim calls).</w:t>
      </w:r>
    </w:p>
    <w:p>
      <w:pPr>
        <w:pStyle w:val="ListParagraph"/>
        <w:numPr>
          <w:ilvl w:val="0"/>
          <w:numId w:val="2"/>
        </w:numPr>
        <w:spacing w:after="60"/>
      </w:pPr>
      <w:r>
        <w:rPr>
          <w:rFonts w:ascii="Inter" w:cs="Inter" w:eastAsia="Inter" w:hAnsi="Inter"/>
          <w:sz w:val="22"/>
          <w:szCs w:val="22"/>
        </w:rPr>
        <w:t xml:space="preserve">Address pages: shows all transactions for an address (e.g., a specific attestor's history).</w:t>
      </w:r>
    </w:p>
    <w:p>
      <w:pPr>
        <w:pStyle w:val="ListParagraph"/>
        <w:numPr>
          <w:ilvl w:val="0"/>
          <w:numId w:val="2"/>
        </w:numPr>
        <w:spacing w:after="60"/>
      </w:pPr>
      <w:r>
        <w:rPr>
          <w:rFonts w:ascii="Inter" w:cs="Inter" w:eastAsia="Inter" w:hAnsi="Inter"/>
          <w:sz w:val="22"/>
          <w:szCs w:val="22"/>
        </w:rPr>
        <w:t xml:space="preserve">Event logs: decoded events (GatePass, Receipt, ETTMinted, CertificateRetired) with all parameters.</w:t>
      </w:r>
    </w:p>
    <w:p>
      <w:pPr>
        <w:pStyle w:val="ListParagraph"/>
        <w:numPr>
          <w:ilvl w:val="0"/>
          <w:numId w:val="2"/>
        </w:numPr>
        <w:spacing w:after="60"/>
      </w:pPr>
      <w:r>
        <w:rPr>
          <w:rFonts w:ascii="Inter" w:cs="Inter" w:eastAsia="Inter" w:hAnsi="Inter"/>
          <w:sz w:val="22"/>
          <w:szCs w:val="22"/>
        </w:rPr>
        <w:t xml:space="preserve">Token tracker: EDSD supply, EDM supply, ETT balances, CertificateNFT ownership.</w:t>
      </w:r>
    </w:p>
    <w:p>
      <w:pPr>
        <w:pStyle w:val="Heading2"/>
      </w:pPr>
      <w:r>
        <w:t xml:space="preserve">6.2 Deal Room (app.edma.app/deals)</w:t>
      </w:r>
    </w:p>
    <w:p>
      <w:pPr>
        <w:spacing w:after="120"/>
      </w:pPr>
      <w:r>
        <w:rPr>
          <w:rFonts w:ascii="Inter" w:cs="Inter" w:eastAsia="Inter" w:hAnsi="Inter"/>
          <w:sz w:val="22"/>
          <w:szCs w:val="22"/>
        </w:rPr>
        <w:t xml:space="preserve">The business-layer view. Authorized parties (buyer, seller, their attestors) see:</w:t>
      </w:r>
    </w:p>
    <w:p>
      <w:pPr>
        <w:pStyle w:val="ListParagraph"/>
        <w:numPr>
          <w:ilvl w:val="0"/>
          <w:numId w:val="2"/>
        </w:numPr>
        <w:spacing w:after="60"/>
      </w:pPr>
      <w:r>
        <w:rPr>
          <w:rFonts w:ascii="Inter" w:cs="Inter" w:eastAsia="Inter" w:hAnsi="Inter"/>
          <w:sz w:val="22"/>
          <w:szCs w:val="22"/>
        </w:rPr>
        <w:t xml:space="preserve">Deal overview: total value, milestone progress, funding status.</w:t>
      </w:r>
    </w:p>
    <w:p>
      <w:pPr>
        <w:pStyle w:val="ListParagraph"/>
        <w:numPr>
          <w:ilvl w:val="0"/>
          <w:numId w:val="2"/>
        </w:numPr>
        <w:spacing w:after="60"/>
      </w:pPr>
      <w:r>
        <w:rPr>
          <w:rFonts w:ascii="Inter" w:cs="Inter" w:eastAsia="Inter" w:hAnsi="Inter"/>
          <w:sz w:val="22"/>
          <w:szCs w:val="22"/>
        </w:rPr>
        <w:t xml:space="preserve">Milestone timeline: visual status (funded -&gt; awaiting proof -&gt; verified -&gt; settled).</w:t>
      </w:r>
    </w:p>
    <w:p>
      <w:pPr>
        <w:pStyle w:val="ListParagraph"/>
        <w:numPr>
          <w:ilvl w:val="0"/>
          <w:numId w:val="2"/>
        </w:numPr>
        <w:spacing w:after="60"/>
      </w:pPr>
      <w:r>
        <w:rPr>
          <w:rFonts w:ascii="Inter" w:cs="Inter" w:eastAsia="Inter" w:hAnsi="Inter"/>
          <w:sz w:val="22"/>
          <w:szCs w:val="22"/>
        </w:rPr>
        <w:t xml:space="preserve">Document vault: hashed evidence linked to each milestone's PoV hash.</w:t>
      </w:r>
    </w:p>
    <w:p>
      <w:pPr>
        <w:pStyle w:val="ListParagraph"/>
        <w:numPr>
          <w:ilvl w:val="0"/>
          <w:numId w:val="2"/>
        </w:numPr>
        <w:spacing w:after="60"/>
      </w:pPr>
      <w:r>
        <w:rPr>
          <w:rFonts w:ascii="Inter" w:cs="Inter" w:eastAsia="Inter" w:hAnsi="Inter"/>
          <w:sz w:val="22"/>
          <w:szCs w:val="22"/>
        </w:rPr>
        <w:t xml:space="preserve">Settlement receipts: the Receipt v1 for each milestone with full financial ledger.</w:t>
      </w:r>
    </w:p>
    <w:p>
      <w:pPr>
        <w:pStyle w:val="ListParagraph"/>
        <w:numPr>
          <w:ilvl w:val="0"/>
          <w:numId w:val="2"/>
        </w:numPr>
        <w:spacing w:after="60"/>
      </w:pPr>
      <w:r>
        <w:rPr>
          <w:rFonts w:ascii="Inter" w:cs="Inter" w:eastAsia="Inter" w:hAnsi="Inter"/>
          <w:sz w:val="22"/>
          <w:szCs w:val="22"/>
        </w:rPr>
        <w:t xml:space="preserve">Each element links to the corresponding block explorer transaction.</w:t>
      </w:r>
    </w:p>
    <w:p>
      <w:pPr>
        <w:pStyle w:val="Heading2"/>
      </w:pPr>
      <w:r>
        <w:t xml:space="preserve">6.3 PoV Console (app.edma.app/pov)</w:t>
      </w:r>
    </w:p>
    <w:p>
      <w:pPr>
        <w:spacing w:after="120"/>
      </w:pPr>
      <w:r>
        <w:rPr>
          <w:rFonts w:ascii="Inter" w:cs="Inter" w:eastAsia="Inter" w:hAnsi="Inter"/>
          <w:sz w:val="22"/>
          <w:szCs w:val="22"/>
        </w:rPr>
        <w:t xml:space="preserve">Where attestors and admins see the verification pipeline:</w:t>
      </w:r>
    </w:p>
    <w:p>
      <w:pPr>
        <w:pStyle w:val="ListParagraph"/>
        <w:numPr>
          <w:ilvl w:val="0"/>
          <w:numId w:val="2"/>
        </w:numPr>
        <w:spacing w:after="60"/>
      </w:pPr>
      <w:r>
        <w:rPr>
          <w:rFonts w:ascii="Inter" w:cs="Inter" w:eastAsia="Inter" w:hAnsi="Inter"/>
          <w:sz w:val="22"/>
          <w:szCs w:val="22"/>
        </w:rPr>
        <w:t xml:space="preserve">Claim queue: pending claims awaiting evaluation.</w:t>
      </w:r>
    </w:p>
    <w:p>
      <w:pPr>
        <w:pStyle w:val="ListParagraph"/>
        <w:numPr>
          <w:ilvl w:val="0"/>
          <w:numId w:val="2"/>
        </w:numPr>
        <w:spacing w:after="60"/>
      </w:pPr>
      <w:r>
        <w:rPr>
          <w:rFonts w:ascii="Inter" w:cs="Inter" w:eastAsia="Inter" w:hAnsi="Inter"/>
          <w:sz w:val="22"/>
          <w:szCs w:val="22"/>
        </w:rPr>
        <w:t xml:space="preserve">PASS/FAIL history: every gate decision with reason codes.</w:t>
      </w:r>
    </w:p>
    <w:p>
      <w:pPr>
        <w:pStyle w:val="ListParagraph"/>
        <w:numPr>
          <w:ilvl w:val="0"/>
          <w:numId w:val="2"/>
        </w:numPr>
        <w:spacing w:after="60"/>
      </w:pPr>
      <w:r>
        <w:rPr>
          <w:rFonts w:ascii="Inter" w:cs="Inter" w:eastAsia="Inter" w:hAnsi="Inter"/>
          <w:sz w:val="22"/>
          <w:szCs w:val="22"/>
        </w:rPr>
        <w:t xml:space="preserve">Attestor performance: pass rate, latency, reversal rate per attestor.</w:t>
      </w:r>
    </w:p>
    <w:p>
      <w:pPr>
        <w:pStyle w:val="ListParagraph"/>
        <w:numPr>
          <w:ilvl w:val="0"/>
          <w:numId w:val="2"/>
        </w:numPr>
        <w:spacing w:after="60"/>
      </w:pPr>
      <w:r>
        <w:rPr>
          <w:rFonts w:ascii="Inter" w:cs="Inter" w:eastAsia="Inter" w:hAnsi="Inter"/>
          <w:sz w:val="22"/>
          <w:szCs w:val="22"/>
        </w:rPr>
        <w:t xml:space="preserve">Schema management: which milestones require which roles and evidence.</w:t>
      </w:r>
    </w:p>
    <w:p>
      <w:pPr>
        <w:pStyle w:val="Heading2"/>
      </w:pPr>
      <w:r>
        <w:t xml:space="preserve">6.4 Marketplace (app.edma.app/marketplace)</w:t>
      </w:r>
    </w:p>
    <w:p>
      <w:pPr>
        <w:spacing w:after="120"/>
      </w:pPr>
      <w:r>
        <w:rPr>
          <w:rFonts w:ascii="Inter" w:cs="Inter" w:eastAsia="Inter" w:hAnsi="Inter"/>
          <w:sz w:val="22"/>
          <w:szCs w:val="22"/>
        </w:rPr>
        <w:t xml:space="preserve">Where energy credits are traded:</w:t>
      </w:r>
    </w:p>
    <w:p>
      <w:pPr>
        <w:pStyle w:val="ListParagraph"/>
        <w:numPr>
          <w:ilvl w:val="0"/>
          <w:numId w:val="2"/>
        </w:numPr>
        <w:spacing w:after="60"/>
      </w:pPr>
      <w:r>
        <w:rPr>
          <w:rFonts w:ascii="Inter" w:cs="Inter" w:eastAsia="Inter" w:hAnsi="Inter"/>
          <w:sz w:val="22"/>
          <w:szCs w:val="22"/>
        </w:rPr>
        <w:t xml:space="preserve">Active listings: RECs, SRECs, GROs available for purchase.</w:t>
      </w:r>
    </w:p>
    <w:p>
      <w:pPr>
        <w:pStyle w:val="ListParagraph"/>
        <w:numPr>
          <w:ilvl w:val="0"/>
          <w:numId w:val="2"/>
        </w:numPr>
        <w:spacing w:after="60"/>
      </w:pPr>
      <w:r>
        <w:rPr>
          <w:rFonts w:ascii="Inter" w:cs="Inter" w:eastAsia="Inter" w:hAnsi="Inter"/>
          <w:sz w:val="22"/>
          <w:szCs w:val="22"/>
        </w:rPr>
        <w:t xml:space="preserve">Trade history: completed sales with price, buyer, date, and consumed ETT batch.</w:t>
      </w:r>
    </w:p>
    <w:p>
      <w:pPr>
        <w:pStyle w:val="ListParagraph"/>
        <w:numPr>
          <w:ilvl w:val="0"/>
          <w:numId w:val="2"/>
        </w:numPr>
        <w:spacing w:after="60"/>
      </w:pPr>
      <w:r>
        <w:rPr>
          <w:rFonts w:ascii="Inter" w:cs="Inter" w:eastAsia="Inter" w:hAnsi="Inter"/>
          <w:sz w:val="22"/>
          <w:szCs w:val="22"/>
        </w:rPr>
        <w:t xml:space="preserve">Retirement registry: all retired certificates with receipt IDs.</w:t>
      </w:r>
    </w:p>
    <w:p>
      <w:pPr>
        <w:pStyle w:val="ListParagraph"/>
        <w:numPr>
          <w:ilvl w:val="0"/>
          <w:numId w:val="2"/>
        </w:numPr>
        <w:spacing w:after="60"/>
      </w:pPr>
      <w:r>
        <w:rPr>
          <w:rFonts w:ascii="Inter" w:cs="Inter" w:eastAsia="Inter" w:hAnsi="Inter"/>
          <w:sz w:val="22"/>
          <w:szCs w:val="22"/>
        </w:rPr>
        <w:t xml:space="preserve">Producer dashboard: ETT balance, pending deposits, earnings vault.</w:t>
      </w:r>
    </w:p>
    <w:p>
      <w:pPr>
        <w:pStyle w:val="Heading2"/>
      </w:pPr>
      <w:r>
        <w:t xml:space="preserve">6.5 Bridge UI (bridge.edma.app)</w:t>
      </w:r>
    </w:p>
    <w:p>
      <w:pPr>
        <w:spacing w:after="120"/>
      </w:pPr>
      <w:r>
        <w:rPr>
          <w:rFonts w:ascii="Inter" w:cs="Inter" w:eastAsia="Inter" w:hAnsi="Inter"/>
          <w:sz w:val="22"/>
          <w:szCs w:val="22"/>
        </w:rPr>
        <w:t xml:space="preserve">Where users move assets between Ethereum L1 and EDMA L2:</w:t>
      </w:r>
    </w:p>
    <w:p>
      <w:pPr>
        <w:pStyle w:val="ListParagraph"/>
        <w:numPr>
          <w:ilvl w:val="0"/>
          <w:numId w:val="2"/>
        </w:numPr>
        <w:spacing w:after="60"/>
      </w:pPr>
      <w:r>
        <w:rPr>
          <w:rFonts w:ascii="Inter" w:cs="Inter" w:eastAsia="Inter" w:hAnsi="Inter"/>
          <w:sz w:val="22"/>
          <w:szCs w:val="22"/>
        </w:rPr>
        <w:t xml:space="preserve">Deposit: send ETH or EDM from L1 to L2 (shows pending, confirmed).</w:t>
      </w:r>
    </w:p>
    <w:p>
      <w:pPr>
        <w:pStyle w:val="ListParagraph"/>
        <w:numPr>
          <w:ilvl w:val="0"/>
          <w:numId w:val="2"/>
        </w:numPr>
        <w:spacing w:after="60"/>
      </w:pPr>
      <w:r>
        <w:rPr>
          <w:rFonts w:ascii="Inter" w:cs="Inter" w:eastAsia="Inter" w:hAnsi="Inter"/>
          <w:sz w:val="22"/>
          <w:szCs w:val="22"/>
        </w:rPr>
        <w:t xml:space="preserve">Withdraw: send assets from L2 to L1 (shows 7-day challenge period).</w:t>
      </w:r>
    </w:p>
    <w:p>
      <w:pPr>
        <w:pStyle w:val="ListParagraph"/>
        <w:numPr>
          <w:ilvl w:val="0"/>
          <w:numId w:val="2"/>
        </w:numPr>
        <w:spacing w:after="60"/>
      </w:pPr>
      <w:r>
        <w:rPr>
          <w:rFonts w:ascii="Inter" w:cs="Inter" w:eastAsia="Inter" w:hAnsi="Inter"/>
          <w:sz w:val="22"/>
          <w:szCs w:val="22"/>
        </w:rPr>
        <w:t xml:space="preserve">History: all bridge transactions with status and links to both L1 and L2 explorers.</w:t>
      </w:r>
    </w:p>
    <w:p>
      <w:r>
        <w:br w:type="page"/>
      </w:r>
    </w:p>
    <w:p>
      <w:pPr>
        <w:pStyle w:val="Heading1"/>
      </w:pPr>
      <w:r>
        <w:t xml:space="preserve">7. What a transaction means</w:t>
      </w:r>
    </w:p>
    <w:p>
      <w:pPr>
        <w:spacing w:after="120"/>
      </w:pPr>
      <w:r>
        <w:rPr>
          <w:rFonts w:ascii="Inter" w:cs="Inter" w:eastAsia="Inter" w:hAnsi="Inter"/>
          <w:sz w:val="22"/>
          <w:szCs w:val="22"/>
        </w:rPr>
        <w:t xml:space="preserve">On the EDMA L2, every transaction is one of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050443" w:val="clear"/>
            <w:tcMar>
              <w:top w:type="dxa" w:w="80"/>
              <w:left w:type="dxa" w:w="120"/>
              <w:bottom w:type="dxa" w:w="80"/>
              <w:right w:type="dxa" w:w="120"/>
            </w:tcMar>
          </w:tcPr>
          <w:p>
            <w:r>
              <w:rPr>
                <w:rFonts w:ascii="Inter" w:cs="Inter" w:eastAsia="Inter" w:hAnsi="Inter"/>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050443" w:val="clear"/>
            <w:tcMar>
              <w:top w:type="dxa" w:w="80"/>
              <w:left w:type="dxa" w:w="120"/>
              <w:bottom w:type="dxa" w:w="80"/>
              <w:right w:type="dxa" w:w="120"/>
            </w:tcMar>
          </w:tcPr>
          <w:p>
            <w:r>
              <w:rPr>
                <w:rFonts w:ascii="Inter" w:cs="Inter" w:eastAsia="Inter" w:hAnsi="Inter"/>
                <w:b/>
                <w:bCs/>
                <w:color w:val="FFFFFF"/>
                <w:sz w:val="20"/>
                <w:szCs w:val="20"/>
              </w:rPr>
              <w:t xml:space="preserve">Meaning</w:t>
            </w:r>
          </w:p>
        </w:tc>
        <w:tc>
          <w:tcPr>
            <w:tcW w:type="dxa" w:w="3760"/>
            <w:tcBorders>
              <w:top w:val="single" w:color="CCCCCC" w:sz="1"/>
              <w:left w:val="single" w:color="CCCCCC" w:sz="1"/>
              <w:bottom w:val="single" w:color="CCCCCC" w:sz="1"/>
              <w:right w:val="single" w:color="CCCCCC" w:sz="1"/>
            </w:tcBorders>
            <w:shd w:fill="050443" w:val="clear"/>
            <w:tcMar>
              <w:top w:type="dxa" w:w="80"/>
              <w:left w:type="dxa" w:w="120"/>
              <w:bottom w:type="dxa" w:w="80"/>
              <w:right w:type="dxa" w:w="120"/>
            </w:tcMar>
          </w:tcPr>
          <w:p>
            <w:r>
              <w:rPr>
                <w:rFonts w:ascii="Inter" w:cs="Inter" w:eastAsia="Inter" w:hAnsi="Inter"/>
                <w:b/>
                <w:bCs/>
                <w:color w:val="FFFFFF"/>
                <w:sz w:val="20"/>
                <w:szCs w:val="20"/>
              </w:rPr>
              <w:t xml:space="preserve">Real-world equivalent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EDSD.mint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Money entered the system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Buyer wired funds to escrow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EDSD.lock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Money is committed to a milestone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LC is opened at a bank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evaluateClaim (PASS)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Evidence was verified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Bank examines documents and approves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evaluateClaim (FAIL)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Evidence was rejected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Bank rejects documents with discrepancy notice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settleTrancheOnPass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Money released to supplier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Bank releases LC payment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ETT.mint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Verified energy recorded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Meter reading accepted by utility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CertificateNFT.mint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Credit issued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Registry issues REC/SREC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CertificateNFT.retire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Credit permanently claimed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Company retires REC for Scope 2 reporting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EDMBurner.burn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Protocol fee burned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 equivalent --- deflationary mechanism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Bridge deposit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Assets moved to EDMA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Wire transfer to trade account</w:t>
            </w:r>
          </w:p>
        </w:tc>
      </w:tr>
    </w:tbl>
    <w:p>
      <w:pPr>
        <w:spacing w:after="120"/>
      </w:pPr>
      <w:r>
        <w:rPr>
          <w:rFonts w:ascii="Inter" w:cs="Inter" w:eastAsia="Inter" w:hAnsi="Inter"/>
          <w:sz w:val="22"/>
          <w:szCs w:val="22"/>
        </w:rPr>
        <w:t xml:space="default"/>
      </w:r>
    </w:p>
    <w:p>
      <w:pPr>
        <w:pStyle w:val="Heading2"/>
      </w:pPr>
      <w:r>
        <w:t xml:space="preserve">7.1 How this differs from other L2s</w:t>
      </w:r>
    </w:p>
    <w:p>
      <w:pPr>
        <w:spacing w:after="120"/>
      </w:pPr>
      <w:r>
        <w:rPr>
          <w:rFonts w:ascii="Inter" w:cs="Inter" w:eastAsia="Inter" w:hAnsi="Inter"/>
          <w:sz w:val="22"/>
          <w:szCs w:val="22"/>
        </w:rPr>
        <w:t xml:space="preserve">On Base or Arbitrum, 90%+ of transactions are DEX swaps, NFT trades, token transfers, and DeFi interactions. On EDMA, the transaction profile looks completely different:</w:t>
      </w:r>
    </w:p>
    <w:p>
      <w:pPr>
        <w:pStyle w:val="ListParagraph"/>
        <w:numPr>
          <w:ilvl w:val="0"/>
          <w:numId w:val="2"/>
        </w:numPr>
        <w:spacing w:after="60"/>
      </w:pPr>
      <w:r>
        <w:rPr>
          <w:rFonts w:ascii="Inter" w:cs="Inter" w:eastAsia="Inter" w:hAnsi="Inter"/>
          <w:sz w:val="22"/>
          <w:szCs w:val="22"/>
        </w:rPr>
        <w:t xml:space="preserve">~40% are evidence verification (evaluateClaim) --- the core PoV flow.</w:t>
      </w:r>
    </w:p>
    <w:p>
      <w:pPr>
        <w:pStyle w:val="ListParagraph"/>
        <w:numPr>
          <w:ilvl w:val="0"/>
          <w:numId w:val="2"/>
        </w:numPr>
        <w:spacing w:after="60"/>
      </w:pPr>
      <w:r>
        <w:rPr>
          <w:rFonts w:ascii="Inter" w:cs="Inter" w:eastAsia="Inter" w:hAnsi="Inter"/>
          <w:sz w:val="22"/>
          <w:szCs w:val="22"/>
        </w:rPr>
        <w:t xml:space="preserve">~25% are settlement (settleTrancheOnPass, EDSD operations) --- money moving on proof.</w:t>
      </w:r>
    </w:p>
    <w:p>
      <w:pPr>
        <w:pStyle w:val="ListParagraph"/>
        <w:numPr>
          <w:ilvl w:val="0"/>
          <w:numId w:val="2"/>
        </w:numPr>
        <w:spacing w:after="60"/>
      </w:pPr>
      <w:r>
        <w:rPr>
          <w:rFonts w:ascii="Inter" w:cs="Inter" w:eastAsia="Inter" w:hAnsi="Inter"/>
          <w:sz w:val="22"/>
          <w:szCs w:val="22"/>
        </w:rPr>
        <w:t xml:space="preserve">~20% are asset operations (ETT.mint, CertificateNFT) --- environmental credit lifecycle.</w:t>
      </w:r>
    </w:p>
    <w:p>
      <w:pPr>
        <w:pStyle w:val="ListParagraph"/>
        <w:numPr>
          <w:ilvl w:val="0"/>
          <w:numId w:val="2"/>
        </w:numPr>
        <w:spacing w:after="60"/>
      </w:pPr>
      <w:r>
        <w:rPr>
          <w:rFonts w:ascii="Inter" w:cs="Inter" w:eastAsia="Inter" w:hAnsi="Inter"/>
          <w:sz w:val="22"/>
          <w:szCs w:val="22"/>
        </w:rPr>
        <w:t xml:space="preserve">~10% are governance and attestor management.</w:t>
      </w:r>
    </w:p>
    <w:p>
      <w:pPr>
        <w:pStyle w:val="ListParagraph"/>
        <w:numPr>
          <w:ilvl w:val="0"/>
          <w:numId w:val="2"/>
        </w:numPr>
        <w:spacing w:after="60"/>
      </w:pPr>
      <w:r>
        <w:rPr>
          <w:rFonts w:ascii="Inter" w:cs="Inter" w:eastAsia="Inter" w:hAnsi="Inter"/>
          <w:sz w:val="22"/>
          <w:szCs w:val="22"/>
        </w:rPr>
        <w:t xml:space="preserve">~5% are bridge and token operations.</w:t>
      </w:r>
    </w:p>
    <w:p>
      <w:pPr>
        <w:spacing w:after="120"/>
      </w:pPr>
      <w:r>
        <w:rPr>
          <w:rFonts w:ascii="Inter" w:cs="Inter" w:eastAsia="Inter" w:hAnsi="Inter"/>
          <w:sz w:val="22"/>
          <w:szCs w:val="22"/>
        </w:rPr>
        <w:t xml:space="preserve">This is why EDMA needs its own chain. These transactions have specific ordering requirements, custom gas economics, and domain-specific indexing that a general L2 cannot optimize for.</w:t>
      </w:r>
    </w:p>
    <w:p>
      <w:r>
        <w:br w:type="page"/>
      </w:r>
    </w:p>
    <w:p>
      <w:pPr>
        <w:pStyle w:val="Heading1"/>
      </w:pPr>
      <w:r>
        <w:t xml:space="preserve">8. How transactions are recorded</w:t>
      </w:r>
    </w:p>
    <w:p>
      <w:pPr>
        <w:pStyle w:val="Heading2"/>
      </w:pPr>
      <w:r>
        <w:t xml:space="preserve">8.1 On-chain (permanent, immutable)</w:t>
      </w:r>
    </w:p>
    <w:p>
      <w:pPr>
        <w:pStyle w:val="ListParagraph"/>
        <w:numPr>
          <w:ilvl w:val="0"/>
          <w:numId w:val="2"/>
        </w:numPr>
        <w:spacing w:after="60"/>
      </w:pPr>
      <w:r>
        <w:rPr>
          <w:rFonts w:ascii="Inter" w:cs="Inter" w:eastAsia="Inter" w:hAnsi="Inter"/>
          <w:sz w:val="22"/>
          <w:szCs w:val="22"/>
        </w:rPr>
        <w:t xml:space="preserve">Every transaction is included in a block on the EDMA L2 (2-second block time).</w:t>
      </w:r>
    </w:p>
    <w:p>
      <w:pPr>
        <w:pStyle w:val="ListParagraph"/>
        <w:numPr>
          <w:ilvl w:val="0"/>
          <w:numId w:val="2"/>
        </w:numPr>
        <w:spacing w:after="60"/>
      </w:pPr>
      <w:r>
        <w:rPr>
          <w:rFonts w:ascii="Inter" w:cs="Inter" w:eastAsia="Inter" w:hAnsi="Inter"/>
          <w:sz w:val="22"/>
          <w:szCs w:val="22"/>
        </w:rPr>
        <w:t xml:space="preserve">Block data is posted to Ethereum L1 as calldata/blobs (data availability).</w:t>
      </w:r>
    </w:p>
    <w:p>
      <w:pPr>
        <w:pStyle w:val="ListParagraph"/>
        <w:numPr>
          <w:ilvl w:val="0"/>
          <w:numId w:val="2"/>
        </w:numPr>
        <w:spacing w:after="60"/>
      </w:pPr>
      <w:r>
        <w:rPr>
          <w:rFonts w:ascii="Inter" w:cs="Inter" w:eastAsia="Inter" w:hAnsi="Inter"/>
          <w:sz w:val="22"/>
          <w:szCs w:val="22"/>
        </w:rPr>
        <w:t xml:space="preserve">State roots are proposed to L1 by the op-proposer every 12 seconds.</w:t>
      </w:r>
    </w:p>
    <w:p>
      <w:pPr>
        <w:pStyle w:val="ListParagraph"/>
        <w:numPr>
          <w:ilvl w:val="0"/>
          <w:numId w:val="2"/>
        </w:numPr>
        <w:spacing w:after="60"/>
      </w:pPr>
      <w:r>
        <w:rPr>
          <w:rFonts w:ascii="Inter" w:cs="Inter" w:eastAsia="Inter" w:hAnsi="Inter"/>
          <w:sz w:val="22"/>
          <w:szCs w:val="22"/>
        </w:rPr>
        <w:t xml:space="preserve">After 7-day challenge window, state is finalized on Ethereum --- inherited security.</w:t>
      </w:r>
    </w:p>
    <w:p>
      <w:pPr>
        <w:pStyle w:val="Heading2"/>
      </w:pPr>
      <w:r>
        <w:t xml:space="preserve">8.2 Indexed (queryable, searchable)</w:t>
      </w:r>
    </w:p>
    <w:p>
      <w:pPr>
        <w:pStyle w:val="ListParagraph"/>
        <w:numPr>
          <w:ilvl w:val="0"/>
          <w:numId w:val="2"/>
        </w:numPr>
        <w:spacing w:after="60"/>
      </w:pPr>
      <w:r>
        <w:rPr>
          <w:rFonts w:ascii="Inter" w:cs="Inter" w:eastAsia="Inter" w:hAnsi="Inter"/>
          <w:sz w:val="22"/>
          <w:szCs w:val="22"/>
        </w:rPr>
        <w:t xml:space="preserve">Blockscout indexes every block, transaction, log, and internal transaction.</w:t>
      </w:r>
    </w:p>
    <w:p>
      <w:pPr>
        <w:pStyle w:val="ListParagraph"/>
        <w:numPr>
          <w:ilvl w:val="0"/>
          <w:numId w:val="2"/>
        </w:numPr>
        <w:spacing w:after="60"/>
      </w:pPr>
      <w:r>
        <w:rPr>
          <w:rFonts w:ascii="Inter" w:cs="Inter" w:eastAsia="Inter" w:hAnsi="Inter"/>
          <w:sz w:val="22"/>
          <w:szCs w:val="22"/>
        </w:rPr>
        <w:t xml:space="preserve">Custom indexers parse EDMA-specific events (GatePass, Receipt, ETTMinted) into queryable APIs.</w:t>
      </w:r>
    </w:p>
    <w:p>
      <w:pPr>
        <w:pStyle w:val="ListParagraph"/>
        <w:numPr>
          <w:ilvl w:val="0"/>
          <w:numId w:val="2"/>
        </w:numPr>
        <w:spacing w:after="60"/>
      </w:pPr>
      <w:r>
        <w:rPr>
          <w:rFonts w:ascii="Inter" w:cs="Inter" w:eastAsia="Inter" w:hAnsi="Inter"/>
          <w:sz w:val="22"/>
          <w:szCs w:val="22"/>
        </w:rPr>
        <w:t xml:space="preserve">The Deal Room, PoV Console, and Marketplace all read from these indexed views.</w:t>
      </w:r>
    </w:p>
    <w:p>
      <w:pPr>
        <w:pStyle w:val="Heading2"/>
      </w:pPr>
      <w:r>
        <w:t xml:space="preserve">8.3 Off-chain (linked by hash)</w:t>
      </w:r>
    </w:p>
    <w:p>
      <w:pPr>
        <w:pStyle w:val="ListParagraph"/>
        <w:numPr>
          <w:ilvl w:val="0"/>
          <w:numId w:val="2"/>
        </w:numPr>
        <w:spacing w:after="60"/>
      </w:pPr>
      <w:r>
        <w:rPr>
          <w:rFonts w:ascii="Inter" w:cs="Inter" w:eastAsia="Inter" w:hAnsi="Inter"/>
          <w:sz w:val="22"/>
          <w:szCs w:val="22"/>
        </w:rPr>
        <w:t xml:space="preserve">Full evidence documents (eBL PDFs, QA reports, meter data files) remain off-chain.</w:t>
      </w:r>
    </w:p>
    <w:p>
      <w:pPr>
        <w:pStyle w:val="ListParagraph"/>
        <w:numPr>
          <w:ilvl w:val="0"/>
          <w:numId w:val="2"/>
        </w:numPr>
        <w:spacing w:after="60"/>
      </w:pPr>
      <w:r>
        <w:rPr>
          <w:rFonts w:ascii="Inter" w:cs="Inter" w:eastAsia="Inter" w:hAnsi="Inter"/>
          <w:sz w:val="22"/>
          <w:szCs w:val="22"/>
        </w:rPr>
        <w:t xml:space="preserve">Only their normalized hashes appear on-chain (PoV hash, evidence node hashes).</w:t>
      </w:r>
    </w:p>
    <w:p>
      <w:pPr>
        <w:pStyle w:val="ListParagraph"/>
        <w:numPr>
          <w:ilvl w:val="0"/>
          <w:numId w:val="2"/>
        </w:numPr>
        <w:spacing w:after="60"/>
      </w:pPr>
      <w:r>
        <w:rPr>
          <w:rFonts w:ascii="Inter" w:cs="Inter" w:eastAsia="Inter" w:hAnsi="Inter"/>
          <w:sz w:val="22"/>
          <w:szCs w:val="22"/>
        </w:rPr>
        <w:t xml:space="preserve">The receipt stores hashes and canonical IDs, not document bodies (data minimization).</w:t>
      </w:r>
    </w:p>
    <w:p>
      <w:pPr>
        <w:pStyle w:val="ListParagraph"/>
        <w:numPr>
          <w:ilvl w:val="0"/>
          <w:numId w:val="2"/>
        </w:numPr>
        <w:spacing w:after="60"/>
      </w:pPr>
      <w:r>
        <w:rPr>
          <w:rFonts w:ascii="Inter" w:cs="Inter" w:eastAsia="Inter" w:hAnsi="Inter"/>
          <w:sz w:val="22"/>
          <w:szCs w:val="22"/>
        </w:rPr>
        <w:t xml:space="preserve">Full artifacts are stored under access-controlled custody with retention per Attestor SLA.</w:t>
      </w:r>
    </w:p>
    <w:p>
      <w:pPr>
        <w:pStyle w:val="Heading2"/>
      </w:pPr>
      <w:r>
        <w:t xml:space="preserve">8.4 The receipt as the artifact of record</w:t>
      </w:r>
    </w:p>
    <w:p>
      <w:pPr>
        <w:spacing w:after="120"/>
      </w:pPr>
      <w:r>
        <w:rPr>
          <w:rFonts w:ascii="Inter" w:cs="Inter" w:eastAsia="Inter" w:hAnsi="Inter"/>
          <w:sz w:val="22"/>
          <w:szCs w:val="22"/>
        </w:rPr>
        <w:t xml:space="preserve">The Receipt v1 is the most important output. It is generated per PASS and contains:</w:t>
      </w:r>
    </w:p>
    <w:p>
      <w:pPr>
        <w:pStyle w:val="ListParagraph"/>
        <w:numPr>
          <w:ilvl w:val="0"/>
          <w:numId w:val="2"/>
        </w:numPr>
        <w:spacing w:after="60"/>
      </w:pPr>
      <w:r>
        <w:rPr>
          <w:rFonts w:ascii="Inter" w:cs="Inter" w:eastAsia="Inter" w:hAnsi="Inter"/>
          <w:sz w:val="22"/>
          <w:szCs w:val="22"/>
        </w:rPr>
        <w:t xml:space="preserve">Header: claim ID, PO ID, corridor, milestone, schedule version, timestamp, counterparties.</w:t>
      </w:r>
    </w:p>
    <w:p>
      <w:pPr>
        <w:pStyle w:val="ListParagraph"/>
        <w:numPr>
          <w:ilvl w:val="0"/>
          <w:numId w:val="2"/>
        </w:numPr>
        <w:spacing w:after="60"/>
      </w:pPr>
      <w:r>
        <w:rPr>
          <w:rFonts w:ascii="Inter" w:cs="Inter" w:eastAsia="Inter" w:hAnsi="Inter"/>
          <w:sz w:val="22"/>
          <w:szCs w:val="22"/>
        </w:rPr>
        <w:t xml:space="preserve">Evidence graph: PoV hash, evidence nodes (each event/source), attestor signatures, One-Claim links.</w:t>
      </w:r>
    </w:p>
    <w:p>
      <w:pPr>
        <w:pStyle w:val="ListParagraph"/>
        <w:numPr>
          <w:ilvl w:val="0"/>
          <w:numId w:val="2"/>
        </w:numPr>
        <w:spacing w:after="60"/>
      </w:pPr>
      <w:r>
        <w:rPr>
          <w:rFonts w:ascii="Inter" w:cs="Inter" w:eastAsia="Inter" w:hAnsi="Inter"/>
          <w:sz w:val="22"/>
          <w:szCs w:val="22"/>
        </w:rPr>
        <w:t xml:space="preserve">Financial ledger: tranche gross, platform fees, rail/FX pass-through, M1 interest, taxes, net to beneficiary, Supplier Sends, certificate attach fees.</w:t>
      </w:r>
    </w:p>
    <w:p>
      <w:pPr>
        <w:pStyle w:val="ListParagraph"/>
        <w:numPr>
          <w:ilvl w:val="0"/>
          <w:numId w:val="2"/>
        </w:numPr>
        <w:spacing w:after="60"/>
      </w:pPr>
      <w:r>
        <w:rPr>
          <w:rFonts w:ascii="Inter" w:cs="Inter" w:eastAsia="Inter" w:hAnsi="Inter"/>
          <w:sz w:val="22"/>
          <w:szCs w:val="22"/>
        </w:rPr>
        <w:t xml:space="preserve">Corrections: revocation scope, amended receipt links, ESRS/ISSB export mapping.</w:t>
      </w:r>
    </w:p>
    <w:p>
      <w:pPr>
        <w:spacing w:after="120"/>
      </w:pPr>
      <w:r>
        <w:rPr>
          <w:rFonts w:ascii="Inter" w:cs="Inter" w:eastAsia="Inter" w:hAnsi="Inter"/>
          <w:sz w:val="22"/>
          <w:szCs w:val="22"/>
        </w:rPr>
        <w:t xml:space="preserve">This receipt is what finance teams, auditors, banks, regulators, and ESG reporting systems consume. It is the single source of truth for what happened, when, why, and how much.</w:t>
      </w:r>
    </w:p>
    <w:p>
      <w:pPr>
        <w:pStyle w:val="Heading1"/>
      </w:pPr>
      <w:r>
        <w:t xml:space="preserve">9. Summary</w:t>
      </w:r>
    </w:p>
    <w:p>
      <w:pPr>
        <w:spacing w:after="120"/>
      </w:pPr>
      <w:r>
        <w:rPr>
          <w:rFonts w:ascii="Inter" w:cs="Inter" w:eastAsia="Inter" w:hAnsi="Inter"/>
          <w:sz w:val="22"/>
          <w:szCs w:val="22"/>
        </w:rPr>
        <w:t xml:space="preserve">The EDMA L2 is a purpose-built settlement chain where every transaction maps to a real-world action. Money enters as EDSD, gets locked per milestone, and only releases when independent attestors provide cryptographic proof that the milestone was met. Energy enters as verified meter data, gets minted as ETT, bundles into tradeable credits, and retires with an auditable chain from photon to claim. Everything is on-chain, everything is auditable, and nothing moves without proof.</w:t>
      </w:r>
    </w:p>
    <w:p>
      <w:pPr>
        <w:spacing w:after="120"/>
      </w:pPr>
      <w:r>
        <w:rPr>
          <w:rFonts w:ascii="Inter" w:cs="Inter" w:eastAsia="Inter" w:hAnsi="Inter"/>
          <w:sz w:val="22"/>
          <w:szCs w:val="22"/>
        </w:rPr>
        <w:t xml:space="preserve">The block explorer shows every transaction. The Deal Room makes it human-readable for business users. The PoV Console shows the verification pipeline. The Marketplace shows the credit lifecycle. And the Receipt v1 is the artifact that ties it all together for the outside world.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Inter" w:cs="Inter" w:eastAsia="Inter" w:hAnsi="Inter"/>
      <w:b/>
      <w:bCs/>
      <w:color w:val="050443"/>
      <w:sz w:val="36"/>
      <w:szCs w:val="36"/>
    </w:rPr>
  </w:style>
  <w:style w:type="paragraph" w:styleId="Heading2">
    <w:name w:val="Heading 2"/>
    <w:basedOn w:val="Normal"/>
    <w:next w:val="Normal"/>
    <w:qFormat/>
    <w:pPr>
      <w:spacing w:before="280" w:after="160"/>
      <w:outlineLvl w:val="1"/>
    </w:pPr>
    <w:rPr>
      <w:rFonts w:ascii="Inter" w:cs="Inter" w:eastAsia="Inter" w:hAnsi="Inter"/>
      <w:b/>
      <w:bCs/>
      <w:color w:val="1E1D5C"/>
      <w:sz w:val="28"/>
      <w:szCs w:val="28"/>
    </w:rPr>
  </w:style>
  <w:style w:type="paragraph" w:styleId="Heading3">
    <w:name w:val="Heading 3"/>
    <w:basedOn w:val="Normal"/>
    <w:next w:val="Normal"/>
    <w:qFormat/>
    <w:pPr>
      <w:spacing w:before="200" w:after="120"/>
      <w:outlineLvl w:val="2"/>
    </w:pPr>
    <w:rPr>
      <w:rFonts w:ascii="Inter" w:cs="Inter" w:eastAsia="Inter" w:hAnsi="Inter"/>
      <w:b/>
      <w:bCs/>
      <w:color w:val="3A39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2026-03-15T21:46:01.817Z</dcterms:created>
  <dcterms:modified xsi:type="dcterms:W3CDTF">2026-03-15T21:46:01.818Z</dcterms:modified>
</cp:coreProperties>
</file>

<file path=docProps/custom.xml><?xml version="1.0" encoding="utf-8"?>
<Properties xmlns="http://schemas.openxmlformats.org/officeDocument/2006/custom-properties" xmlns:vt="http://schemas.openxmlformats.org/officeDocument/2006/docPropsVTypes"/>
</file>