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1A2E"/>
          <w:sz w:val="72"/>
          <w:szCs w:val="72"/>
        </w:rPr>
        <w:t xml:space="preserve">EDMA L2</w:t>
      </w:r>
    </w:p>
    <w:p>
      <w:pPr>
        <w:spacing w:after="200"/>
        <w:jc w:val="center"/>
      </w:pPr>
      <w:r>
        <w:rPr>
          <w:rFonts w:ascii="Arial" w:cs="Arial" w:eastAsia="Arial" w:hAnsi="Arial"/>
          <w:color w:val="666666"/>
          <w:sz w:val="36"/>
          <w:szCs w:val="36"/>
        </w:rPr>
        <w:t xml:space="preserve">Mainnet Implementation Roadmap</w:t>
      </w:r>
    </w:p>
    <w:p>
      <w:pPr>
        <w:spacing w:after="200"/>
        <w:jc w:val="center"/>
      </w:pPr>
      <w:r>
        <w:rPr>
          <w:rFonts w:ascii="Arial" w:cs="Arial" w:eastAsia="Arial" w:hAnsi="Arial"/>
          <w:color w:val="999999"/>
          <w:sz w:val="22"/>
          <w:szCs w:val="22"/>
        </w:rPr>
        <w:t xml:space="preserve">Chain ID 741  |  OP Stack Rollup  |  Proof-of-Verification Settlement</w:t>
      </w:r>
    </w:p>
    <w:p>
      <w:pPr>
        <w:spacing w:after="600"/>
        <w:jc w:val="center"/>
      </w:pPr>
      <w:r>
        <w:rPr>
          <w:rFonts w:ascii="Arial" w:cs="Arial" w:eastAsia="Arial" w:hAnsi="Arial"/>
          <w:color w:val="AAAAAA"/>
          <w:sz w:val="20"/>
          <w:szCs w:val="20"/>
        </w:rPr>
        <w:t xml:space="preserve">Version 1.0  |  March 2026</w:t>
      </w:r>
    </w:p>
    <w:p>
      <w:pPr>
        <w:pStyle w:val="Heading1"/>
      </w:pPr>
      <w:r>
        <w:t xml:space="preserve">1. Current State</w:t>
      </w:r>
    </w:p>
    <w:p>
      <w:pPr>
        <w:spacing w:after="120"/>
      </w:pPr>
      <w:r>
        <w:t xml:space="preserve">The EDMA L2 devnet is live and operational on a local OP Stack fork. The following has been completed:</w:t>
      </w:r>
    </w:p>
    <w:p>
      <w:pPr>
        <w:pStyle w:val="ListParagraph"/>
        <w:numPr>
          <w:ilvl w:val="0"/>
          <w:numId w:val="2"/>
        </w:numPr>
      </w:pPr>
      <w:r>
        <w:t xml:space="preserve">OP Stack fork (v1.9.4) running on iMac M1: op-geth, op-node, op-batcher, op-proposer</w:t>
      </w:r>
    </w:p>
    <w:p>
      <w:pPr>
        <w:pStyle w:val="ListParagraph"/>
        <w:numPr>
          <w:ilvl w:val="0"/>
          <w:numId w:val="2"/>
        </w:numPr>
      </w:pPr>
      <w:r>
        <w:t xml:space="preserve">Chain ID 741 producing blocks every 2 seconds at localhost:9545</w:t>
      </w:r>
    </w:p>
    <w:p>
      <w:pPr>
        <w:pStyle w:val="ListParagraph"/>
        <w:numPr>
          <w:ilvl w:val="0"/>
          <w:numId w:val="2"/>
        </w:numPr>
      </w:pPr>
      <w:r>
        <w:t xml:space="preserve">16 Solidity contracts (1,824 lines) deployed and permission-wired</w:t>
      </w:r>
    </w:p>
    <w:p>
      <w:pPr>
        <w:pStyle w:val="ListParagraph"/>
        <w:numPr>
          <w:ilvl w:val="0"/>
          <w:numId w:val="2"/>
        </w:numPr>
      </w:pPr>
      <w:r>
        <w:t xml:space="preserve">Test suite (604 lines) with EIP-712 signature verification</w:t>
      </w:r>
    </w:p>
    <w:p>
      <w:pPr>
        <w:pStyle w:val="ListParagraph"/>
        <w:numPr>
          <w:ilvl w:val="0"/>
          <w:numId w:val="2"/>
        </w:numPr>
      </w:pPr>
      <w:r>
        <w:t xml:space="preserve">TypeScript SDK (@edma/sdk) for contract interaction</w:t>
      </w:r>
    </w:p>
    <w:p>
      <w:pPr>
        <w:pStyle w:val="ListParagraph"/>
        <w:numPr>
          <w:ilvl w:val="0"/>
          <w:numId w:val="2"/>
        </w:numPr>
      </w:pPr>
      <w:r>
        <w:t xml:space="preserve">React dashboard for devnet contract testing</w:t>
      </w:r>
    </w:p>
    <w:p>
      <w:pPr>
        <w:pStyle w:val="ListParagraph"/>
        <w:numPr>
          <w:ilvl w:val="0"/>
          <w:numId w:val="2"/>
        </w:numPr>
        <w:spacing w:after="200"/>
      </w:pPr>
      <w:r>
        <w:t xml:space="preserve">Repository: github.com/devedma/edma</w:t>
      </w:r>
    </w:p>
    <w:p>
      <w:pPr>
        <w:pStyle w:val="Heading2"/>
      </w:pPr>
      <w:r>
        <w:t xml:space="preserve">1.1 Deployed Contracts (Devnet)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Contract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Address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PoVGate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0x9fE46736679d2D9a65F0992F2272dE9f3c7fa6e0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OneClaimLedger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0x5FbDB2315678afecb367f032d93F642f64180aa3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AttestorRegistry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0xe7f1725E7734CE288F8367e1Bb143E90bb3F0512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RevocationManager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PoV</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0xB7f8BC63BbcaD18155201308C8f3540b07f84F5e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EDSD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0xCf7Ed3AccA5a467e9e704C703E8D87F634fB0Fc9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0xa513E6E4b8f2a923D98304ec87F64353C4D5C853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SettlementController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0x0165878A594ca255338adfa4d48449f69242Eb8F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FeeRouter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0xDc64a140Aa3E981100a9becA4E685f962f0cF6C9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EDMBurner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0x5FC8d32690cc91D4c39d9d3abcBD16989F875707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0x2279B7A0a67DB372996a5FaB50D91eAA73d2eBe6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CertificateNFT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0x8A791620dd6260079BF849Dc5567aDC3F2FdC318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ParameterStore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0x610178dA211FEF7D417bC0e6FeD39F05609AD788</w:t>
            </w:r>
          </w:p>
        </w:tc>
      </w:tr>
    </w:tbl>
    <w:p>
      <w:pPr>
        <w:pStyle w:val="Heading2"/>
      </w:pPr>
      <w:r>
        <w:t xml:space="preserve">1.2 Five Immutable Invariants</w:t>
      </w:r>
    </w:p>
    <w:p>
      <w:pPr>
        <w:spacing w:after="60"/>
      </w:pPr>
      <w:r>
        <w:t xml:space="preserve">Every contract and every UI enforces these:</w:t>
      </w:r>
    </w:p>
    <w:p>
      <w:pPr>
        <w:pStyle w:val="ListParagraph"/>
        <w:numPr>
          <w:ilvl w:val="0"/>
          <w:numId w:val="3"/>
        </w:numPr>
      </w:pPr>
      <w:r>
        <w:rPr>
          <w:b/>
          <w:bCs/>
        </w:rPr>
        <w:t xml:space="preserve">I-1: No EMT, No Funds </w:t>
      </w:r>
      <w:r>
        <w:t xml:space="preserve">- No escrow movement without a minted Escrow Movement Ticket.</w:t>
      </w:r>
    </w:p>
    <w:p>
      <w:pPr>
        <w:pStyle w:val="ListParagraph"/>
        <w:numPr>
          <w:ilvl w:val="0"/>
          <w:numId w:val="3"/>
        </w:numPr>
      </w:pPr>
      <w:r>
        <w:rPr>
          <w:b/>
          <w:bCs/>
        </w:rPr>
        <w:t xml:space="preserve">I-2: One-Claim </w:t>
      </w:r>
      <w:r>
        <w:t xml:space="preserve">- Each evidence hash can only be claimed once, globally.</w:t>
      </w:r>
    </w:p>
    <w:p>
      <w:pPr>
        <w:pStyle w:val="ListParagraph"/>
        <w:numPr>
          <w:ilvl w:val="0"/>
          <w:numId w:val="3"/>
        </w:numPr>
      </w:pPr>
      <w:r>
        <w:rPr>
          <w:b/>
          <w:bCs/>
        </w:rPr>
        <w:t xml:space="preserve">I-3: Must-Fund </w:t>
      </w:r>
      <w:r>
        <w:t xml:space="preserve">- Escrow must be fully funded before shipping begins.</w:t>
      </w:r>
    </w:p>
    <w:p>
      <w:pPr>
        <w:pStyle w:val="ListParagraph"/>
        <w:numPr>
          <w:ilvl w:val="0"/>
          <w:numId w:val="3"/>
        </w:numPr>
      </w:pPr>
      <w:r>
        <w:rPr>
          <w:b/>
          <w:bCs/>
        </w:rPr>
        <w:t xml:space="preserve">I-4: Locked to Unlocked only on proof </w:t>
      </w:r>
      <w:r>
        <w:t xml:space="preserve">- Only cryptographic verification unlocks funds.</w:t>
      </w:r>
    </w:p>
    <w:p>
      <w:pPr>
        <w:pStyle w:val="ListParagraph"/>
        <w:numPr>
          <w:ilvl w:val="0"/>
          <w:numId w:val="3"/>
        </w:numPr>
        <w:spacing w:after="200"/>
      </w:pPr>
      <w:r>
        <w:rPr>
          <w:b/>
          <w:bCs/>
        </w:rPr>
        <w:t xml:space="preserve">I-5: 50% protocol fee burns EDM </w:t>
      </w:r>
      <w:r>
        <w:t xml:space="preserve">- Deflationary pressure toward 100M EDM supply.</w:t>
      </w:r>
    </w:p>
    <w:p>
      <w:r>
        <w:br w:type="page"/>
      </w:r>
    </w:p>
    <w:p>
      <w:pPr>
        <w:pStyle w:val="Heading1"/>
      </w:pPr>
      <w:r>
        <w:t xml:space="preserve">2. Layer 1 - Chain Infrastructure (Table Stakes)</w:t>
      </w:r>
    </w:p>
    <w:p>
      <w:pPr>
        <w:spacing w:after="120"/>
      </w:pPr>
      <w:r>
        <w:t xml:space="preserve">Every production L2 (Base, Arbitrum, Optimism, Blast) ships these components. Without them, developers and users will not treat EDMA as a real chain.</w:t>
      </w:r>
    </w:p>
    <w:p>
      <w:pPr>
        <w:pStyle w:val="Heading2"/>
      </w:pPr>
      <w:r>
        <w:t xml:space="preserve">2.1 Block Explorer (Blockscout)</w:t>
      </w:r>
    </w:p>
    <w:p>
      <w:pPr>
        <w:spacing w:after="60"/>
      </w:pPr>
      <w:r>
        <w:rPr>
          <w:b/>
          <w:bCs/>
        </w:rPr>
        <w:t xml:space="preserve">URL: </w:t>
      </w:r>
      <w:r>
        <w:t xml:space="preserve">explorer.edma.app</w:t>
      </w:r>
    </w:p>
    <w:p>
      <w:pPr>
        <w:spacing w:after="60"/>
      </w:pPr>
      <w:r>
        <w:t xml:space="preserve">Self-hosted Blockscout instance configured for EDMA L2. Provides transaction search, block browsing, contract verification (Sourcify), token tracking, address balances, event log decoding, and API access. Light and dark theme with EDMA branding. This is the single source of truth for on-chain activity.</w:t>
      </w:r>
    </w:p>
    <w:p>
      <w:pPr>
        <w:pStyle w:val="ListParagraph"/>
        <w:numPr>
          <w:ilvl w:val="0"/>
          <w:numId w:val="2"/>
        </w:numPr>
      </w:pPr>
      <w:r>
        <w:t xml:space="preserve">Docker-based deployment (Blockscout v6+)</w:t>
      </w:r>
    </w:p>
    <w:p>
      <w:pPr>
        <w:pStyle w:val="ListParagraph"/>
        <w:numPr>
          <w:ilvl w:val="0"/>
          <w:numId w:val="2"/>
        </w:numPr>
      </w:pPr>
      <w:r>
        <w:t xml:space="preserve">Custom EDMA branding, logo, color scheme</w:t>
      </w:r>
    </w:p>
    <w:p>
      <w:pPr>
        <w:pStyle w:val="ListParagraph"/>
        <w:numPr>
          <w:ilvl w:val="0"/>
          <w:numId w:val="2"/>
        </w:numPr>
      </w:pPr>
      <w:r>
        <w:t xml:space="preserve">Contract verification with Solidity source</w:t>
      </w:r>
    </w:p>
    <w:p>
      <w:pPr>
        <w:pStyle w:val="ListParagraph"/>
        <w:numPr>
          <w:ilvl w:val="0"/>
          <w:numId w:val="2"/>
        </w:numPr>
      </w:pPr>
      <w:r>
        <w:t xml:space="preserve">Token tracker for EDM, EDSD, ETT, CLE, GRO</w:t>
      </w:r>
    </w:p>
    <w:p>
      <w:pPr>
        <w:pStyle w:val="ListParagraph"/>
        <w:numPr>
          <w:ilvl w:val="0"/>
          <w:numId w:val="2"/>
        </w:numPr>
        <w:spacing w:after="200"/>
      </w:pPr>
      <w:r>
        <w:t xml:space="preserve">REST API for third-party integrations</w:t>
      </w:r>
    </w:p>
    <w:p>
      <w:pPr>
        <w:pStyle w:val="Heading2"/>
      </w:pPr>
      <w:r>
        <w:t xml:space="preserve">2.2 Bridge UI</w:t>
      </w:r>
    </w:p>
    <w:p>
      <w:pPr>
        <w:spacing w:after="60"/>
      </w:pPr>
      <w:r>
        <w:rPr>
          <w:b/>
          <w:bCs/>
        </w:rPr>
        <w:t xml:space="preserve">URL: </w:t>
      </w:r>
      <w:r>
        <w:t xml:space="preserve">bridge.edma.app</w:t>
      </w:r>
    </w:p>
    <w:p>
      <w:pPr>
        <w:spacing w:after="60"/>
      </w:pPr>
      <w:r>
        <w:t xml:space="preserve">React application connecting to the OP Standard Bridge contracts deployed on L1. Allows users to deposit ETH and EDM from Ethereum L1 to EDMA L2, and withdraw back. Shows pending deposits, withdrawal challenge periods, and transaction history.</w:t>
      </w:r>
    </w:p>
    <w:p>
      <w:pPr>
        <w:pStyle w:val="ListParagraph"/>
        <w:numPr>
          <w:ilvl w:val="0"/>
          <w:numId w:val="2"/>
        </w:numPr>
      </w:pPr>
      <w:r>
        <w:t xml:space="preserve">Deposit: ETH and EDM from L1 to L2 (instant)</w:t>
      </w:r>
    </w:p>
    <w:p>
      <w:pPr>
        <w:pStyle w:val="ListParagraph"/>
        <w:numPr>
          <w:ilvl w:val="0"/>
          <w:numId w:val="2"/>
        </w:numPr>
      </w:pPr>
      <w:r>
        <w:t xml:space="preserve">Withdraw: L2 to L1 with 7-day challenge window</w:t>
      </w:r>
    </w:p>
    <w:p>
      <w:pPr>
        <w:pStyle w:val="ListParagraph"/>
        <w:numPr>
          <w:ilvl w:val="0"/>
          <w:numId w:val="2"/>
        </w:numPr>
      </w:pPr>
      <w:r>
        <w:t xml:space="preserve">MetaMask and WalletConnect integration</w:t>
      </w:r>
    </w:p>
    <w:p>
      <w:pPr>
        <w:pStyle w:val="ListParagraph"/>
        <w:numPr>
          <w:ilvl w:val="0"/>
          <w:numId w:val="2"/>
        </w:numPr>
        <w:spacing w:after="200"/>
      </w:pPr>
      <w:r>
        <w:t xml:space="preserve">Transaction history and status tracking</w:t>
      </w:r>
    </w:p>
    <w:p>
      <w:pPr>
        <w:pStyle w:val="Heading2"/>
      </w:pPr>
      <w:r>
        <w:t xml:space="preserve">2.3 Public RPC and Chain Metadata</w:t>
      </w:r>
    </w:p>
    <w:p>
      <w:pPr>
        <w:spacing w:after="60"/>
      </w:pPr>
      <w:r>
        <w:rPr>
          <w:b/>
          <w:bCs/>
        </w:rPr>
        <w:t xml:space="preserve">URL: </w:t>
      </w:r>
      <w:r>
        <w:t xml:space="preserve">rpc.edma.app (HTTPS) / ws.edma.app (WebSocket)</w:t>
      </w:r>
    </w:p>
    <w:p>
      <w:pPr>
        <w:pStyle w:val="ListParagraph"/>
        <w:numPr>
          <w:ilvl w:val="0"/>
          <w:numId w:val="2"/>
        </w:numPr>
      </w:pPr>
      <w:r>
        <w:t xml:space="preserve">Load-balanced RPC endpoint for public access</w:t>
      </w:r>
    </w:p>
    <w:p>
      <w:pPr>
        <w:pStyle w:val="ListParagraph"/>
        <w:numPr>
          <w:ilvl w:val="0"/>
          <w:numId w:val="2"/>
        </w:numPr>
      </w:pPr>
      <w:r>
        <w:t xml:space="preserve">Chainlist registration (chainid.network) for MetaMask auto-add</w:t>
      </w:r>
    </w:p>
    <w:p>
      <w:pPr>
        <w:pStyle w:val="ListParagraph"/>
        <w:numPr>
          <w:ilvl w:val="0"/>
          <w:numId w:val="2"/>
        </w:numPr>
      </w:pPr>
      <w:r>
        <w:t xml:space="preserve">Chain metadata: name=EDMA, chainId=741, symbol=ETH, explorer URL</w:t>
      </w:r>
    </w:p>
    <w:p>
      <w:pPr>
        <w:pStyle w:val="ListParagraph"/>
        <w:numPr>
          <w:ilvl w:val="0"/>
          <w:numId w:val="2"/>
        </w:numPr>
        <w:spacing w:after="200"/>
      </w:pPr>
      <w:r>
        <w:t xml:space="preserve">Rate limiting, monitoring, and uptime SLA</w:t>
      </w:r>
    </w:p>
    <w:p>
      <w:pPr>
        <w:pStyle w:val="Heading2"/>
      </w:pPr>
      <w:r>
        <w:t xml:space="preserve">2.4 Testnet Faucet</w:t>
      </w:r>
    </w:p>
    <w:p>
      <w:pPr>
        <w:spacing w:after="60"/>
      </w:pPr>
      <w:r>
        <w:rPr>
          <w:b/>
          <w:bCs/>
        </w:rPr>
        <w:t xml:space="preserve">URL: </w:t>
      </w:r>
      <w:r>
        <w:t xml:space="preserve">faucet.edma.app</w:t>
      </w:r>
    </w:p>
    <w:p>
      <w:pPr>
        <w:spacing w:after="200"/>
      </w:pPr>
      <w:r>
        <w:t xml:space="preserve">Simple web interface that drips test ETH to developers building on EDMA testnet. GitHub authentication to prevent abuse. Rate-limited to 0.1 ETH per address per 24 hours.</w:t>
      </w:r>
    </w:p>
    <w:p>
      <w:pPr>
        <w:pStyle w:val="Heading2"/>
      </w:pPr>
      <w:r>
        <w:t xml:space="preserve">2.5 Developer Documentation Portal</w:t>
      </w:r>
    </w:p>
    <w:p>
      <w:pPr>
        <w:spacing w:after="60"/>
      </w:pPr>
      <w:r>
        <w:rPr>
          <w:b/>
          <w:bCs/>
        </w:rPr>
        <w:t xml:space="preserve">URL: </w:t>
      </w:r>
      <w:r>
        <w:t xml:space="preserve">docs.edma.app (expand existing)</w:t>
      </w:r>
    </w:p>
    <w:p>
      <w:pPr>
        <w:pStyle w:val="ListParagraph"/>
        <w:numPr>
          <w:ilvl w:val="0"/>
          <w:numId w:val="2"/>
        </w:numPr>
      </w:pPr>
      <w:r>
        <w:t xml:space="preserve">Chain specification: RPC endpoints, chain ID, gas config</w:t>
      </w:r>
    </w:p>
    <w:p>
      <w:pPr>
        <w:pStyle w:val="ListParagraph"/>
        <w:numPr>
          <w:ilvl w:val="0"/>
          <w:numId w:val="2"/>
        </w:numPr>
      </w:pPr>
      <w:r>
        <w:t xml:space="preserve">Contract addresses and ABIs for all deployed contracts</w:t>
      </w:r>
    </w:p>
    <w:p>
      <w:pPr>
        <w:pStyle w:val="ListParagraph"/>
        <w:numPr>
          <w:ilvl w:val="0"/>
          <w:numId w:val="2"/>
        </w:numPr>
      </w:pPr>
      <w:r>
        <w:t xml:space="preserve">SDK reference (@edma/sdk) with TypeScript examples</w:t>
      </w:r>
    </w:p>
    <w:p>
      <w:pPr>
        <w:pStyle w:val="ListParagraph"/>
        <w:numPr>
          <w:ilvl w:val="0"/>
          <w:numId w:val="2"/>
        </w:numPr>
      </w:pPr>
      <w:r>
        <w:t xml:space="preserve">Tutorial: deploy a contract, submit a PoV claim, settle a milestone</w:t>
      </w:r>
    </w:p>
    <w:p>
      <w:pPr>
        <w:pStyle w:val="ListParagraph"/>
        <w:numPr>
          <w:ilvl w:val="0"/>
          <w:numId w:val="2"/>
        </w:numPr>
        <w:spacing w:after="200"/>
      </w:pPr>
      <w:r>
        <w:t xml:space="preserve">API reference for enterprise integration</w:t>
      </w:r>
    </w:p>
    <w:p>
      <w:r>
        <w:br w:type="page"/>
      </w:r>
    </w:p>
    <w:p>
      <w:pPr>
        <w:pStyle w:val="Heading1"/>
      </w:pPr>
      <w:r>
        <w:t xml:space="preserve">3. Layer 2 - PoV Settlement Rail (EDMA Core)</w:t>
      </w:r>
    </w:p>
    <w:p>
      <w:pPr>
        <w:spacing w:after="120"/>
      </w:pPr>
      <w:r>
        <w:t xml:space="preserve">This is what makes EDMA fundamentally different from every other L2. No other chain has milestone-based escrow settlement triggered by cryptographic proof-of-verification. These are the user-facing applications built on the deployed smart contracts.</w:t>
      </w:r>
    </w:p>
    <w:p>
      <w:pPr>
        <w:pStyle w:val="Heading2"/>
      </w:pPr>
      <w:r>
        <w:t xml:space="preserve">3.1 Deal Room</w:t>
      </w:r>
    </w:p>
    <w:p>
      <w:pPr>
        <w:spacing w:after="60"/>
      </w:pPr>
      <w:r>
        <w:t xml:space="preserve">One workspace per trade deal. A buyer creates a deal, defines milestones and Incoterms, the seller accepts. Everything - documents, proofs, communications, settlement status - lives in one place. This replaces email threads, scattered PDFs, and letters of credit.</w:t>
      </w:r>
    </w:p>
    <w:p>
      <w:pPr>
        <w:pStyle w:val="ListParagraph"/>
        <w:numPr>
          <w:ilvl w:val="0"/>
          <w:numId w:val="2"/>
        </w:numPr>
      </w:pPr>
      <w:r>
        <w:t xml:space="preserve">Deal creation: parties, scope, Incoterms, milestones, e-sign</w:t>
      </w:r>
    </w:p>
    <w:p>
      <w:pPr>
        <w:pStyle w:val="ListParagraph"/>
        <w:numPr>
          <w:ilvl w:val="0"/>
          <w:numId w:val="2"/>
        </w:numPr>
      </w:pPr>
      <w:r>
        <w:t xml:space="preserve">Document vault: upload BLs, CMRs, inspection reports, QC photos</w:t>
      </w:r>
    </w:p>
    <w:p>
      <w:pPr>
        <w:pStyle w:val="ListParagraph"/>
        <w:numPr>
          <w:ilvl w:val="0"/>
          <w:numId w:val="2"/>
        </w:numPr>
      </w:pPr>
      <w:r>
        <w:t xml:space="preserve">Milestone timeline: visual progress from PO to final delivery</w:t>
      </w:r>
    </w:p>
    <w:p>
      <w:pPr>
        <w:pStyle w:val="ListParagraph"/>
        <w:numPr>
          <w:ilvl w:val="0"/>
          <w:numId w:val="2"/>
        </w:numPr>
      </w:pPr>
      <w:r>
        <w:t xml:space="preserve">Real-time status: which milestones are funded, awaiting proof, released</w:t>
      </w:r>
    </w:p>
    <w:p>
      <w:pPr>
        <w:pStyle w:val="ListParagraph"/>
        <w:numPr>
          <w:ilvl w:val="0"/>
          <w:numId w:val="2"/>
        </w:numPr>
        <w:spacing w:after="200"/>
      </w:pPr>
      <w:r>
        <w:t xml:space="preserve">On-chain contracts: SettlementController.configureMilestone(), EDSD.lock()</w:t>
      </w:r>
    </w:p>
    <w:p>
      <w:pPr>
        <w:pStyle w:val="Heading2"/>
      </w:pPr>
      <w:r>
        <w:t xml:space="preserve">3.2 Smart Settlement Dashboard</w:t>
      </w:r>
    </w:p>
    <w:p>
      <w:pPr>
        <w:spacing w:after="60"/>
      </w:pPr>
      <w:r>
        <w:t xml:space="preserve">Visual interface for milestone-based escrow. Buyers fund EDSD, the dashboard shows the money flow in real time: locked -&gt; verified -&gt; released -&gt; burned. Shows tranches, fees, and burn amounts per milestone.</w:t>
      </w:r>
    </w:p>
    <w:p>
      <w:pPr>
        <w:pStyle w:val="ListParagraph"/>
        <w:numPr>
          <w:ilvl w:val="0"/>
          <w:numId w:val="2"/>
        </w:numPr>
      </w:pPr>
      <w:r>
        <w:t xml:space="preserve">Fund escrow: buyer deposits fiat/stablecoin, EDSD minted 1:1</w:t>
      </w:r>
    </w:p>
    <w:p>
      <w:pPr>
        <w:pStyle w:val="ListParagraph"/>
        <w:numPr>
          <w:ilvl w:val="0"/>
          <w:numId w:val="2"/>
        </w:numPr>
      </w:pPr>
      <w:r>
        <w:t xml:space="preserve">Milestone tracker: weight, supplier, corridor, status per milestone</w:t>
      </w:r>
    </w:p>
    <w:p>
      <w:pPr>
        <w:pStyle w:val="ListParagraph"/>
        <w:numPr>
          <w:ilvl w:val="0"/>
          <w:numId w:val="2"/>
        </w:numPr>
      </w:pPr>
      <w:r>
        <w:t xml:space="preserve">Settlement receipt: on-chain receipt per tranche (Receipt v1 Spec)</w:t>
      </w:r>
    </w:p>
    <w:p>
      <w:pPr>
        <w:pStyle w:val="ListParagraph"/>
        <w:numPr>
          <w:ilvl w:val="0"/>
          <w:numId w:val="2"/>
        </w:numPr>
        <w:spacing w:after="200"/>
      </w:pPr>
      <w:r>
        <w:t xml:space="preserve">On-chain contracts: EDSD, EMT, SettlementController, FeeRouter, EDMBurner</w:t>
      </w:r>
    </w:p>
    <w:p>
      <w:pPr>
        <w:pStyle w:val="Heading2"/>
      </w:pPr>
      <w:r>
        <w:t xml:space="preserve">3.3 PoV Console</w:t>
      </w:r>
    </w:p>
    <w:p>
      <w:pPr>
        <w:spacing w:after="60"/>
      </w:pPr>
      <w:r>
        <w:t xml:space="preserve">Where attestors submit claims, upload evidence bundles, and the system evaluates them against schemas. Shows claim status (PASS/FAIL), gate passes issued, evidence hashes, and the full audit trail.</w:t>
      </w:r>
    </w:p>
    <w:p>
      <w:pPr>
        <w:pStyle w:val="ListParagraph"/>
        <w:numPr>
          <w:ilvl w:val="0"/>
          <w:numId w:val="2"/>
        </w:numPr>
      </w:pPr>
      <w:r>
        <w:t xml:space="preserve">Schema management: define required roles, min attestations, freshness</w:t>
      </w:r>
    </w:p>
    <w:p>
      <w:pPr>
        <w:pStyle w:val="ListParagraph"/>
        <w:numPr>
          <w:ilvl w:val="0"/>
          <w:numId w:val="2"/>
        </w:numPr>
      </w:pPr>
      <w:r>
        <w:t xml:space="preserve">Claim submission: EIP-712 signed attestations from multiple roles</w:t>
      </w:r>
    </w:p>
    <w:p>
      <w:pPr>
        <w:pStyle w:val="ListParagraph"/>
        <w:numPr>
          <w:ilvl w:val="0"/>
          <w:numId w:val="2"/>
        </w:numPr>
      </w:pPr>
      <w:r>
        <w:t xml:space="preserve">Gate evaluation: real-time PASS/FAIL with detailed failure reasons</w:t>
      </w:r>
    </w:p>
    <w:p>
      <w:pPr>
        <w:pStyle w:val="ListParagraph"/>
        <w:numPr>
          <w:ilvl w:val="0"/>
          <w:numId w:val="2"/>
        </w:numPr>
      </w:pPr>
      <w:r>
        <w:t xml:space="preserve">Audit trail: every claim, every attestation, every gate pass on-chain</w:t>
      </w:r>
    </w:p>
    <w:p>
      <w:pPr>
        <w:pStyle w:val="ListParagraph"/>
        <w:numPr>
          <w:ilvl w:val="0"/>
          <w:numId w:val="2"/>
        </w:numPr>
        <w:spacing w:after="200"/>
      </w:pPr>
      <w:r>
        <w:t xml:space="preserve">On-chain contracts: PoVGate, OneClaimLedger</w:t>
      </w:r>
    </w:p>
    <w:p>
      <w:pPr>
        <w:pStyle w:val="Heading2"/>
      </w:pPr>
      <w:r>
        <w:t xml:space="preserve">3.4 Attestor Portal</w:t>
      </w:r>
    </w:p>
    <w:p>
      <w:pPr>
        <w:spacing w:after="60"/>
      </w:pPr>
      <w:r>
        <w:t xml:space="preserve">Where logistics partners, QA labs, customs agents, and inspectors register, stake EDM, and manage their credentials. Shows performance metrics, SLA compliance, and reputation scores.</w:t>
      </w:r>
    </w:p>
    <w:p>
      <w:pPr>
        <w:pStyle w:val="ListParagraph"/>
        <w:numPr>
          <w:ilvl w:val="0"/>
          <w:numId w:val="2"/>
        </w:numPr>
      </w:pPr>
      <w:r>
        <w:t xml:space="preserve">Registration: KYC, org ID (LEI/vLEI), role assignment, bond staking</w:t>
      </w:r>
    </w:p>
    <w:p>
      <w:pPr>
        <w:pStyle w:val="ListParagraph"/>
        <w:numPr>
          <w:ilvl w:val="0"/>
          <w:numId w:val="2"/>
        </w:numPr>
      </w:pPr>
      <w:r>
        <w:t xml:space="preserve">Performance dashboard: pass rate, latency, reversal rate, SLA status</w:t>
      </w:r>
    </w:p>
    <w:p>
      <w:pPr>
        <w:pStyle w:val="ListParagraph"/>
        <w:numPr>
          <w:ilvl w:val="0"/>
          <w:numId w:val="2"/>
        </w:numPr>
      </w:pPr>
      <w:r>
        <w:t xml:space="preserve">Suspension/reinstatement tracking</w:t>
      </w:r>
    </w:p>
    <w:p>
      <w:pPr>
        <w:pStyle w:val="ListParagraph"/>
        <w:numPr>
          <w:ilvl w:val="0"/>
          <w:numId w:val="2"/>
        </w:numPr>
        <w:spacing w:after="200"/>
      </w:pPr>
      <w:r>
        <w:t xml:space="preserve">On-chain contracts: AttestorRegistry, RevocationManager</w:t>
      </w:r>
    </w:p>
    <w:p>
      <w:r>
        <w:br w:type="page"/>
      </w:r>
    </w:p>
    <w:p>
      <w:pPr>
        <w:pStyle w:val="Heading1"/>
      </w:pPr>
      <w:r>
        <w:t xml:space="preserve">4. Layer 3 - Marketplace and Asset Engine</w:t>
      </w:r>
    </w:p>
    <w:p>
      <w:pPr>
        <w:spacing w:after="120"/>
      </w:pPr>
      <w:r>
        <w:t xml:space="preserve">The ESG/energy/carbon revenue engine. Converts real-world environmental performance into auditable, tradeable on-chain assets.</w:t>
      </w:r>
    </w:p>
    <w:p>
      <w:pPr>
        <w:pStyle w:val="Heading2"/>
      </w:pPr>
      <w:r>
        <w:t xml:space="preserve">4.1 ETT Minting Pipeline</w:t>
      </w:r>
    </w:p>
    <w:p>
      <w:pPr>
        <w:spacing w:after="60"/>
      </w:pPr>
      <w:r>
        <w:t xml:space="preserve">IoT devices (solar inverters, smart meters) push signed telemetry. The pipeline validates data, checks anomalies, and mints 1 ETT per 10 kWh of verified generation. Near real-time, tamper-evident.</w:t>
      </w:r>
    </w:p>
    <w:p>
      <w:pPr>
        <w:pStyle w:val="ListParagraph"/>
        <w:numPr>
          <w:ilvl w:val="0"/>
          <w:numId w:val="2"/>
        </w:numPr>
      </w:pPr>
      <w:r>
        <w:t xml:space="preserve">Device onboarding: register inverter/meter, assign device ID</w:t>
      </w:r>
    </w:p>
    <w:p>
      <w:pPr>
        <w:pStyle w:val="ListParagraph"/>
        <w:numPr>
          <w:ilvl w:val="0"/>
          <w:numId w:val="2"/>
        </w:numPr>
      </w:pPr>
      <w:r>
        <w:t xml:space="preserve">Telemetry ingestion: signed, geotagged readings via secure channel</w:t>
      </w:r>
    </w:p>
    <w:p>
      <w:pPr>
        <w:pStyle w:val="ListParagraph"/>
        <w:numPr>
          <w:ilvl w:val="0"/>
          <w:numId w:val="2"/>
        </w:numPr>
      </w:pPr>
      <w:r>
        <w:t xml:space="preserve">Anomaly detection: flag implausible readings before minting</w:t>
      </w:r>
    </w:p>
    <w:p>
      <w:pPr>
        <w:pStyle w:val="ListParagraph"/>
        <w:numPr>
          <w:ilvl w:val="0"/>
          <w:numId w:val="2"/>
        </w:numPr>
        <w:spacing w:after="200"/>
      </w:pPr>
      <w:r>
        <w:t xml:space="preserve">On-chain contracts: ETT.mint() triggered on PoV pass</w:t>
      </w:r>
    </w:p>
    <w:p>
      <w:pPr>
        <w:pStyle w:val="Heading2"/>
      </w:pPr>
      <w:r>
        <w:t xml:space="preserve">4.2 CLE / GRO Issuance</w:t>
      </w:r>
    </w:p>
    <w:p>
      <w:pPr>
        <w:spacing w:after="60"/>
      </w:pPr>
      <w:r>
        <w:t xml:space="preserve">ETTs bundle into Clean Energy credits (CLE, 1 per MWh) or carbon offsets (GRO, 1 per tCO2). CertificateNFT tracks the full lifecycle: mint -&gt; bundle -&gt; convert -&gt; sell -&gt; retire. 1:1:1 mapping enforced - no double counting.</w:t>
      </w:r>
    </w:p>
    <w:p>
      <w:pPr>
        <w:pStyle w:val="ListParagraph"/>
        <w:numPr>
          <w:ilvl w:val="0"/>
          <w:numId w:val="2"/>
        </w:numPr>
      </w:pPr>
      <w:r>
        <w:t xml:space="preserve">CLE: 70% to producer, 30% to platform</w:t>
      </w:r>
    </w:p>
    <w:p>
      <w:pPr>
        <w:pStyle w:val="ListParagraph"/>
        <w:numPr>
          <w:ilvl w:val="0"/>
          <w:numId w:val="2"/>
        </w:numPr>
      </w:pPr>
      <w:r>
        <w:t xml:space="preserve">GRO: satellite/biomass analytics + ground audit, bundled in PoV</w:t>
      </w:r>
    </w:p>
    <w:p>
      <w:pPr>
        <w:pStyle w:val="ListParagraph"/>
        <w:numPr>
          <w:ilvl w:val="0"/>
          <w:numId w:val="2"/>
        </w:numPr>
        <w:spacing w:after="200"/>
      </w:pPr>
      <w:r>
        <w:t xml:space="preserve">On-chain contracts: CertificateNFT, ETT.consumeBatch()</w:t>
      </w:r>
    </w:p>
    <w:p>
      <w:pPr>
        <w:pStyle w:val="Heading2"/>
      </w:pPr>
      <w:r>
        <w:t xml:space="preserve">4.3 Marketplace</w:t>
      </w:r>
    </w:p>
    <w:p>
      <w:pPr>
        <w:spacing w:after="60"/>
      </w:pPr>
      <w:r>
        <w:t xml:space="preserve">Where credits are listed, bid on, bought, sold, and retired. Order books, price discovery, and transparent fee collection. Every retirement generates an ESG receipt: a blockchain hash tied to the specific deal.</w:t>
      </w:r>
    </w:p>
    <w:p>
      <w:pPr>
        <w:pStyle w:val="ListParagraph"/>
        <w:numPr>
          <w:ilvl w:val="0"/>
          <w:numId w:val="2"/>
        </w:numPr>
      </w:pPr>
      <w:r>
        <w:t xml:space="preserve">Per-deal platform fee: 0.6-1.2% (cheaper than LC/escrow)</w:t>
      </w:r>
    </w:p>
    <w:p>
      <w:pPr>
        <w:pStyle w:val="ListParagraph"/>
        <w:numPr>
          <w:ilvl w:val="0"/>
          <w:numId w:val="2"/>
        </w:numPr>
      </w:pPr>
      <w:r>
        <w:t xml:space="preserve">2% EDM fee rail on every credit conversion (mint -&gt; retire)</w:t>
      </w:r>
    </w:p>
    <w:p>
      <w:pPr>
        <w:pStyle w:val="ListParagraph"/>
        <w:numPr>
          <w:ilvl w:val="0"/>
          <w:numId w:val="2"/>
        </w:numPr>
        <w:spacing w:after="200"/>
      </w:pPr>
      <w:r>
        <w:t xml:space="preserve">50% of EDM fees burned -&gt; supply toward 100M target</w:t>
      </w:r>
    </w:p>
    <w:p>
      <w:pPr>
        <w:pStyle w:val="Heading2"/>
      </w:pPr>
      <w:r>
        <w:t xml:space="preserve">4.4 ESG Scoring Engine</w:t>
      </w:r>
    </w:p>
    <w:p>
      <w:pPr>
        <w:spacing w:after="200"/>
      </w:pPr>
      <w:r>
        <w:t xml:space="preserve">AI + validator pipeline aligned to CSRD, IFRS S2, SEC, and GRI. Documents and machine logs ingested, mapped to E/S/G metrics, scored by AI, confirmed by validators on-chain. Replaces fragmented manual reporting.</w:t>
      </w:r>
    </w:p>
    <w:p>
      <w:pPr>
        <w:pStyle w:val="Heading2"/>
      </w:pPr>
      <w:r>
        <w:t xml:space="preserve">4.5 EDM Token Economics</w:t>
      </w:r>
    </w:p>
    <w:p>
      <w:pPr>
        <w:pStyle w:val="ListParagraph"/>
        <w:numPr>
          <w:ilvl w:val="0"/>
          <w:numId w:val="2"/>
        </w:numPr>
      </w:pPr>
      <w:r>
        <w:t xml:space="preserve">Fixed 500M supply (L1 contract: 0xf6fb036ca17ceeb345fe39dfb132d1d80ab45029)</w:t>
      </w:r>
    </w:p>
    <w:p>
      <w:pPr>
        <w:pStyle w:val="ListParagraph"/>
        <w:numPr>
          <w:ilvl w:val="0"/>
          <w:numId w:val="2"/>
        </w:numPr>
      </w:pPr>
      <w:r>
        <w:t xml:space="preserve">Bridged to L2 via OP Standard Bridge</w:t>
      </w:r>
    </w:p>
    <w:p>
      <w:pPr>
        <w:pStyle w:val="ListParagraph"/>
        <w:numPr>
          <w:ilvl w:val="0"/>
          <w:numId w:val="2"/>
        </w:numPr>
      </w:pPr>
      <w:r>
        <w:t xml:space="preserve">EDMBurner burns 50% of protocol fees on L2</w:t>
      </w:r>
    </w:p>
    <w:p>
      <w:pPr>
        <w:pStyle w:val="ListParagraph"/>
        <w:numPr>
          <w:ilvl w:val="0"/>
          <w:numId w:val="2"/>
        </w:numPr>
        <w:spacing w:after="200"/>
      </w:pPr>
      <w:r>
        <w:t xml:space="preserve">Target circulating supply: 100M EDM</w:t>
      </w:r>
    </w:p>
    <w:p>
      <w:r>
        <w:br w:type="page"/>
      </w:r>
    </w:p>
    <w:p>
      <w:pPr>
        <w:pStyle w:val="Heading1"/>
      </w:pPr>
      <w:r>
        <w:t xml:space="preserve">5. Layer 4 - External Integrations</w:t>
      </w:r>
    </w:p>
    <w:p>
      <w:pPr>
        <w:pStyle w:val="ListParagraph"/>
        <w:numPr>
          <w:ilvl w:val="0"/>
          <w:numId w:val="2"/>
        </w:numPr>
      </w:pPr>
      <w:r>
        <w:rPr>
          <w:b/>
          <w:bCs/>
        </w:rPr>
        <w:t xml:space="preserve">IoT Devices: </w:t>
      </w:r>
      <w:r>
        <w:t xml:space="preserve">Solar inverters, smart meters, forestry sensors. Secure onboarding, firmware management, signed geotagged telemetry.</w:t>
      </w:r>
    </w:p>
    <w:p>
      <w:pPr>
        <w:pStyle w:val="ListParagraph"/>
        <w:numPr>
          <w:ilvl w:val="0"/>
          <w:numId w:val="2"/>
        </w:numPr>
      </w:pPr>
      <w:r>
        <w:rPr>
          <w:b/>
          <w:bCs/>
        </w:rPr>
        <w:t xml:space="preserve">Registries: </w:t>
      </w:r>
      <w:r>
        <w:t xml:space="preserve">Interop with Verra, Gold Standard, I-REC, and national registries for external credit recognition.</w:t>
      </w:r>
    </w:p>
    <w:p>
      <w:pPr>
        <w:pStyle w:val="ListParagraph"/>
        <w:numPr>
          <w:ilvl w:val="0"/>
          <w:numId w:val="2"/>
        </w:numPr>
      </w:pPr>
      <w:r>
        <w:rPr>
          <w:b/>
          <w:bCs/>
        </w:rPr>
        <w:t xml:space="preserve">Enterprise API: </w:t>
      </w:r>
      <w:r>
        <w:t xml:space="preserve">REST/GraphQL endpoints for ESG scoring, credit purchasing, and compliance reporting integration.</w:t>
      </w:r>
    </w:p>
    <w:p>
      <w:pPr>
        <w:pStyle w:val="ListParagraph"/>
        <w:numPr>
          <w:ilvl w:val="0"/>
          <w:numId w:val="2"/>
        </w:numPr>
        <w:spacing w:after="200"/>
      </w:pPr>
      <w:r>
        <w:rPr>
          <w:b/>
          <w:bCs/>
        </w:rPr>
        <w:t xml:space="preserve">Validator Network: </w:t>
      </w:r>
      <w:r>
        <w:t xml:space="preserve">Decentralized credentialed experts. Stake EDM, review PoV bundles, governed by DAO.</w:t>
      </w:r>
    </w:p>
    <w:p>
      <w:pPr>
        <w:pStyle w:val="Heading1"/>
      </w:pPr>
      <w:r>
        <w:t xml:space="preserve">6. Design System and Visual Identity</w:t>
      </w:r>
    </w:p>
    <w:p>
      <w:pPr>
        <w:spacing w:after="120"/>
      </w:pPr>
      <w:r>
        <w:t xml:space="preserve">All EDMA applications share a unified design language. Modern, clean, modular. Light and dark themes throughout.</w:t>
      </w:r>
    </w:p>
    <w:p>
      <w:pPr>
        <w:pStyle w:val="Heading2"/>
      </w:pPr>
      <w:r>
        <w:t xml:space="preserve">6.1 Design Principles</w:t>
      </w:r>
    </w:p>
    <w:p>
      <w:pPr>
        <w:pStyle w:val="ListParagraph"/>
        <w:numPr>
          <w:ilvl w:val="0"/>
          <w:numId w:val="3"/>
        </w:numPr>
      </w:pPr>
      <w:r>
        <w:rPr>
          <w:b/>
          <w:bCs/>
        </w:rPr>
        <w:t xml:space="preserve">Clarity first: </w:t>
      </w:r>
      <w:r>
        <w:t xml:space="preserve">Every screen answers one question. No clutter, no noise.</w:t>
      </w:r>
    </w:p>
    <w:p>
      <w:pPr>
        <w:pStyle w:val="ListParagraph"/>
        <w:numPr>
          <w:ilvl w:val="0"/>
          <w:numId w:val="3"/>
        </w:numPr>
      </w:pPr>
      <w:r>
        <w:rPr>
          <w:b/>
          <w:bCs/>
        </w:rPr>
        <w:t xml:space="preserve">Trust through transparency: </w:t>
      </w:r>
      <w:r>
        <w:t xml:space="preserve">On-chain data is always one click away. Every number links to its source.</w:t>
      </w:r>
    </w:p>
    <w:p>
      <w:pPr>
        <w:pStyle w:val="ListParagraph"/>
        <w:numPr>
          <w:ilvl w:val="0"/>
          <w:numId w:val="3"/>
        </w:numPr>
      </w:pPr>
      <w:r>
        <w:rPr>
          <w:b/>
          <w:bCs/>
        </w:rPr>
        <w:t xml:space="preserve">Progressive disclosure: </w:t>
      </w:r>
      <w:r>
        <w:t xml:space="preserve">Summary first, detail on demand. Never overwhelm.</w:t>
      </w:r>
    </w:p>
    <w:p>
      <w:pPr>
        <w:pStyle w:val="ListParagraph"/>
        <w:numPr>
          <w:ilvl w:val="0"/>
          <w:numId w:val="3"/>
        </w:numPr>
        <w:spacing w:after="200"/>
      </w:pPr>
      <w:r>
        <w:rPr>
          <w:b/>
          <w:bCs/>
        </w:rPr>
        <w:t xml:space="preserve">Consistent language: </w:t>
      </w:r>
      <w:r>
        <w:t xml:space="preserve">Same component, same interaction, everywhere. Modular and composable.</w:t>
      </w:r>
    </w:p>
    <w:p>
      <w:pPr>
        <w:pStyle w:val="Heading2"/>
      </w:pPr>
      <w:r>
        <w:t xml:space="preserve">6.2 Theme</w:t>
      </w:r>
    </w:p>
    <w:p>
      <w:pPr>
        <w:spacing w:after="60"/>
      </w:pPr>
      <w:r>
        <w:t xml:space="preserve">Two themes: light (default) and dark. Auto-detect system preference, user toggle. Both themes share the same spatial layout, typography, and component library. Only colors change.</w:t>
      </w:r>
    </w:p>
    <w:p>
      <w:pPr>
        <w:spacing w:after="200"/>
      </w:pPr>
      <w:r>
        <w:t xml:space="preserve">The EDMA visual identity should feel premium and institutional (this is infrastructure for sustainability finance) while remaining approachable for developers and enterprise users. Think: Bloomberg terminal meets Stripe dashboard. Clean surfaces, generous spacing, monospace accents for data, warm accent colors for EDMA-specific elements.</w:t>
      </w:r>
    </w:p>
    <w:p>
      <w:r>
        <w:br w:type="page"/>
      </w:r>
    </w:p>
    <w:p>
      <w:pPr>
        <w:pStyle w:val="Heading1"/>
      </w:pPr>
      <w:r>
        <w:t xml:space="preserve">7. Implementation Order</w:t>
      </w:r>
    </w:p>
    <w:p>
      <w:pPr>
        <w:spacing w:after="120"/>
      </w:pPr>
      <w:r>
        <w:t xml:space="preserve">Ordered by dependency and impact. Each phase builds on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400"/>
        <w:gridCol w:w="1480"/>
        <w:gridCol w:w="148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Explorer (Blockscout)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Bridge UI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RPC + Chainlist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Testnet Faucet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 Portal (expand)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Room MVP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PoV Settlement</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Settlement 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PoV Settlement</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PoV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PoV Settlement</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Attestor Portal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PoV Settlement</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ETT Minting Pipeline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CLE/GRO Issuance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ESG Scoring Engine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IoT Device Pipeline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Validator Network + DAO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bl>
    <w:p>
      <w:pPr>
        <w:spacing w:before="200" w:after="200"/>
      </w:pPr>
      <w:r>
        <w:rPr>
          <w:b/>
          <w:bCs/>
        </w:rPr>
        <w:t xml:space="preserve">Priority Key: </w:t>
      </w:r>
      <w:r>
        <w:t xml:space="preserve">P0 = Build now (foundation). P1 = Build next (core product). P2 = Phase 2 (revenue). P3 = Phase 3 (scale).</w:t>
      </w:r>
    </w:p>
    <w:p>
      <w:pPr>
        <w:pStyle w:val="Heading1"/>
      </w:pPr>
      <w:r>
        <w:t xml:space="preserve">8. Key Addresses and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EDMA L2 Chain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RPC (devnet)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http://localhost:9545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 RPC (devnet)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http://localhost:8545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Inbox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0xfF00000000000000000000000000000000000741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EDM Token (L1)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0xf6fb036ca17ceeb345fe39dfb132d1d80ab45029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EDM Supply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500,000,000 (18 decimals)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EDM Holders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17,079+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github.com/devedma/edma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Ops Repository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github.com/devedma/edma-ops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edma.app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docs.edma.app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2026-03-15T15:11:15.459Z</dcterms:created>
  <dcterms:modified xsi:type="dcterms:W3CDTF">2026-03-15T15:11:15.460Z</dcterms:modified>
</cp:coreProperties>
</file>

<file path=docProps/custom.xml><?xml version="1.0" encoding="utf-8"?>
<Properties xmlns="http://schemas.openxmlformats.org/officeDocument/2006/custom-properties" xmlns:vt="http://schemas.openxmlformats.org/officeDocument/2006/docPropsVTypes"/>
</file>