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DE811" w14:textId="77777777" w:rsidR="00AF693A" w:rsidRPr="00AF693A" w:rsidRDefault="00AF693A" w:rsidP="00AF693A">
      <w:pPr>
        <w:spacing w:after="100" w:afterAutospacing="1" w:line="240" w:lineRule="auto"/>
        <w:outlineLvl w:val="1"/>
        <w:rPr>
          <w:rFonts w:ascii="Arial" w:eastAsia="Times New Roman" w:hAnsi="Arial" w:cs="Arial"/>
          <w:b/>
          <w:bCs/>
          <w:kern w:val="0"/>
          <w:sz w:val="36"/>
          <w:szCs w:val="36"/>
          <w:lang w:eastAsia="en-GB"/>
          <w14:ligatures w14:val="none"/>
        </w:rPr>
      </w:pPr>
      <w:r w:rsidRPr="00AF693A">
        <w:rPr>
          <w:rFonts w:ascii="Arial" w:eastAsia="Times New Roman" w:hAnsi="Arial" w:cs="Arial"/>
          <w:b/>
          <w:bCs/>
          <w:kern w:val="0"/>
          <w:sz w:val="36"/>
          <w:szCs w:val="36"/>
          <w:lang w:eastAsia="en-GB"/>
          <w14:ligatures w14:val="none"/>
        </w:rPr>
        <w:t>Slide 1: Strategy Overview – Transitioning to Parallel Execution</w:t>
      </w:r>
    </w:p>
    <w:p w14:paraId="10FCD5A8" w14:textId="77777777" w:rsidR="00AF693A" w:rsidRPr="00AF693A" w:rsidRDefault="00AF693A" w:rsidP="00AF693A">
      <w:pPr>
        <w:spacing w:after="100" w:afterAutospacing="1"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Objective:</w:t>
      </w:r>
      <w:r w:rsidRPr="00AF693A">
        <w:rPr>
          <w:rFonts w:ascii="Arial" w:eastAsia="Times New Roman" w:hAnsi="Arial" w:cs="Arial"/>
          <w:kern w:val="0"/>
          <w:lang w:eastAsia="en-GB"/>
          <w14:ligatures w14:val="none"/>
        </w:rPr>
        <w:t xml:space="preserve"> Accelerate the Project Completion (PAC) by </w:t>
      </w:r>
      <w:r w:rsidRPr="00AF693A">
        <w:rPr>
          <w:rFonts w:ascii="Arial" w:eastAsia="Times New Roman" w:hAnsi="Arial" w:cs="Arial"/>
          <w:b/>
          <w:bCs/>
          <w:kern w:val="0"/>
          <w:lang w:eastAsia="en-GB"/>
          <w14:ligatures w14:val="none"/>
        </w:rPr>
        <w:t>81 days</w:t>
      </w:r>
      <w:r w:rsidRPr="00AF693A">
        <w:rPr>
          <w:rFonts w:ascii="Arial" w:eastAsia="Times New Roman" w:hAnsi="Arial" w:cs="Arial"/>
          <w:kern w:val="0"/>
          <w:lang w:eastAsia="en-GB"/>
          <w14:ligatures w14:val="none"/>
        </w:rPr>
        <w:t xml:space="preserve">, moving the finish date from </w:t>
      </w:r>
      <w:r w:rsidRPr="00AF693A">
        <w:rPr>
          <w:rFonts w:ascii="Arial" w:eastAsia="Times New Roman" w:hAnsi="Arial" w:cs="Arial"/>
          <w:b/>
          <w:bCs/>
          <w:kern w:val="0"/>
          <w:lang w:eastAsia="en-GB"/>
          <w14:ligatures w14:val="none"/>
        </w:rPr>
        <w:t>July 2027 to April 2027</w:t>
      </w:r>
      <w:r w:rsidRPr="00AF693A">
        <w:rPr>
          <w:rFonts w:ascii="Arial" w:eastAsia="Times New Roman" w:hAnsi="Arial" w:cs="Arial"/>
          <w:kern w:val="0"/>
          <w:lang w:eastAsia="en-GB"/>
          <w14:ligatures w14:val="none"/>
        </w:rPr>
        <w:t>.</w:t>
      </w:r>
    </w:p>
    <w:p w14:paraId="4E9D3CB6" w14:textId="77777777" w:rsidR="00AF693A" w:rsidRPr="00AF693A" w:rsidRDefault="00AF693A" w:rsidP="00AF693A">
      <w:pPr>
        <w:numPr>
          <w:ilvl w:val="0"/>
          <w:numId w:val="1"/>
        </w:numPr>
        <w:spacing w:after="100" w:afterAutospacing="1"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The Current Bottleneck:</w:t>
      </w:r>
      <w:r w:rsidRPr="00AF693A">
        <w:rPr>
          <w:rFonts w:ascii="Arial" w:eastAsia="Times New Roman" w:hAnsi="Arial" w:cs="Arial"/>
          <w:kern w:val="0"/>
          <w:lang w:eastAsia="en-GB"/>
          <w14:ligatures w14:val="none"/>
        </w:rPr>
        <w:t xml:space="preserve"> Our current schedule follows a "Waterfall" logic where large blocks of work (Construction $\rightarrow$ Pre-comm $\rightarrow$ Commissioning) wait for the previous phase to be 100% complete.</w:t>
      </w:r>
    </w:p>
    <w:p w14:paraId="012EF22E" w14:textId="77777777" w:rsidR="00AF693A" w:rsidRPr="00AF693A" w:rsidRDefault="00AF693A" w:rsidP="00AF693A">
      <w:pPr>
        <w:numPr>
          <w:ilvl w:val="0"/>
          <w:numId w:val="1"/>
        </w:numPr>
        <w:spacing w:after="100" w:afterAutospacing="1"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The Solution (Fast-Tracking):</w:t>
      </w:r>
      <w:r w:rsidRPr="00AF693A">
        <w:rPr>
          <w:rFonts w:ascii="Arial" w:eastAsia="Times New Roman" w:hAnsi="Arial" w:cs="Arial"/>
          <w:kern w:val="0"/>
          <w:lang w:eastAsia="en-GB"/>
          <w14:ligatures w14:val="none"/>
        </w:rPr>
        <w:t xml:space="preserve"> We will move away from linear dependencies. By overlapping high-impact activities, we compress the schedule without reducing the technical requirements or safety standards.</w:t>
      </w:r>
    </w:p>
    <w:p w14:paraId="010D7CF2" w14:textId="77777777" w:rsidR="00AF693A" w:rsidRPr="00AF693A" w:rsidRDefault="00AF693A" w:rsidP="00AF693A">
      <w:pPr>
        <w:numPr>
          <w:ilvl w:val="0"/>
          <w:numId w:val="1"/>
        </w:numPr>
        <w:spacing w:after="100" w:afterAutospacing="1"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Key Change:</w:t>
      </w:r>
      <w:r w:rsidRPr="00AF693A">
        <w:rPr>
          <w:rFonts w:ascii="Arial" w:eastAsia="Times New Roman" w:hAnsi="Arial" w:cs="Arial"/>
          <w:kern w:val="0"/>
          <w:lang w:eastAsia="en-GB"/>
          <w14:ligatures w14:val="none"/>
        </w:rPr>
        <w:t xml:space="preserve"> Shifting from "Area-based completion" to "System-based handover."</w:t>
      </w:r>
    </w:p>
    <w:p w14:paraId="7D7F0629" w14:textId="77777777" w:rsidR="00AF693A" w:rsidRPr="00AF693A" w:rsidRDefault="00504342" w:rsidP="00AF693A">
      <w:pPr>
        <w:spacing w:after="0" w:line="240" w:lineRule="auto"/>
        <w:rPr>
          <w:rFonts w:ascii="Arial" w:eastAsia="Times New Roman" w:hAnsi="Arial" w:cs="Arial"/>
          <w:kern w:val="0"/>
          <w:lang w:eastAsia="en-GB"/>
          <w14:ligatures w14:val="none"/>
        </w:rPr>
      </w:pPr>
      <w:r w:rsidRPr="00504342">
        <w:rPr>
          <w:rFonts w:ascii="Times New Roman" w:eastAsia="Times New Roman" w:hAnsi="Times New Roman" w:cs="Times New Roman"/>
          <w:noProof/>
          <w:kern w:val="0"/>
          <w:lang w:eastAsia="en-GB"/>
        </w:rPr>
        <w:pict w14:anchorId="5AF748B5">
          <v:rect id="_x0000_i1026" alt="" style="width:451.3pt;height:.05pt;mso-width-percent:0;mso-height-percent:0;mso-width-percent:0;mso-height-percent:0" o:hralign="center" o:hrstd="t" o:hr="t" fillcolor="#a0a0a0" stroked="f"/>
        </w:pict>
      </w:r>
    </w:p>
    <w:p w14:paraId="0D1C4BB8" w14:textId="77777777" w:rsidR="00AF693A" w:rsidRPr="00AF693A" w:rsidRDefault="00AF693A" w:rsidP="00AF693A">
      <w:pPr>
        <w:spacing w:after="100" w:afterAutospacing="1" w:line="240" w:lineRule="auto"/>
        <w:outlineLvl w:val="1"/>
        <w:rPr>
          <w:rFonts w:ascii="Arial" w:eastAsia="Times New Roman" w:hAnsi="Arial" w:cs="Arial"/>
          <w:b/>
          <w:bCs/>
          <w:kern w:val="0"/>
          <w:sz w:val="36"/>
          <w:szCs w:val="36"/>
          <w:lang w:eastAsia="en-GB"/>
          <w14:ligatures w14:val="none"/>
        </w:rPr>
      </w:pPr>
      <w:r w:rsidRPr="00AF693A">
        <w:rPr>
          <w:rFonts w:ascii="Arial" w:eastAsia="Times New Roman" w:hAnsi="Arial" w:cs="Arial"/>
          <w:b/>
          <w:bCs/>
          <w:kern w:val="0"/>
          <w:sz w:val="36"/>
          <w:szCs w:val="36"/>
          <w:lang w:eastAsia="en-GB"/>
          <w14:ligatures w14:val="none"/>
        </w:rPr>
        <w:t>Slide 2: Execution Breakdown – Where the 81 Days are Found</w:t>
      </w:r>
    </w:p>
    <w:p w14:paraId="11917D88" w14:textId="77777777" w:rsidR="00AF693A" w:rsidRPr="00AF693A" w:rsidRDefault="00AF693A" w:rsidP="00AF693A">
      <w:pPr>
        <w:spacing w:after="100" w:afterAutospacing="1" w:line="240" w:lineRule="auto"/>
        <w:rPr>
          <w:rFonts w:ascii="Arial" w:eastAsia="Times New Roman" w:hAnsi="Arial" w:cs="Arial"/>
          <w:kern w:val="0"/>
          <w:lang w:eastAsia="en-GB"/>
          <w14:ligatures w14:val="none"/>
        </w:rPr>
      </w:pPr>
      <w:r w:rsidRPr="00AF693A">
        <w:rPr>
          <w:rFonts w:ascii="Arial" w:eastAsia="Times New Roman" w:hAnsi="Arial" w:cs="Arial"/>
          <w:kern w:val="0"/>
          <w:lang w:eastAsia="en-GB"/>
          <w14:ligatures w14:val="none"/>
        </w:rPr>
        <w:t>To achieve the 3-month gain, we will implement four tactical shifts in the Critical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6316"/>
        <w:gridCol w:w="1070"/>
      </w:tblGrid>
      <w:tr w:rsidR="00AF693A" w:rsidRPr="00AF693A" w14:paraId="56AEA6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8979EA" w14:textId="77777777" w:rsidR="00AF693A" w:rsidRPr="00AF693A" w:rsidRDefault="00AF693A" w:rsidP="00AF693A">
            <w:pPr>
              <w:spacing w:after="0"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Focus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6BFA0" w14:textId="77777777" w:rsidR="00AF693A" w:rsidRPr="00AF693A" w:rsidRDefault="00AF693A" w:rsidP="00AF693A">
            <w:pPr>
              <w:spacing w:after="0"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Tactical Shift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2511D" w14:textId="77777777" w:rsidR="00AF693A" w:rsidRPr="00AF693A" w:rsidRDefault="00AF693A" w:rsidP="00AF693A">
            <w:pPr>
              <w:spacing w:after="0"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Time Saved</w:t>
            </w:r>
          </w:p>
        </w:tc>
      </w:tr>
      <w:tr w:rsidR="00AF693A" w:rsidRPr="00AF693A" w14:paraId="24D172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2D6BA7" w14:textId="77777777" w:rsidR="00AF693A" w:rsidRPr="00AF693A" w:rsidRDefault="00AF693A" w:rsidP="00AF693A">
            <w:pPr>
              <w:spacing w:after="0"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Start-Up Lags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79D31" w14:textId="77777777" w:rsidR="00AF693A" w:rsidRPr="00AF693A" w:rsidRDefault="00AF693A" w:rsidP="00AF693A">
            <w:pPr>
              <w:spacing w:after="0" w:line="240" w:lineRule="auto"/>
              <w:rPr>
                <w:rFonts w:ascii="Arial" w:eastAsia="Times New Roman" w:hAnsi="Arial" w:cs="Arial"/>
                <w:kern w:val="0"/>
                <w:lang w:eastAsia="en-GB"/>
                <w14:ligatures w14:val="none"/>
              </w:rPr>
            </w:pPr>
            <w:r w:rsidRPr="00AF693A">
              <w:rPr>
                <w:rFonts w:ascii="Arial" w:eastAsia="Times New Roman" w:hAnsi="Arial" w:cs="Arial"/>
                <w:kern w:val="0"/>
                <w:lang w:eastAsia="en-GB"/>
                <w14:ligatures w14:val="none"/>
              </w:rPr>
              <w:t>Reduce the 90-day static wait times between MC, RFSU, and PAC by overlapping documentation and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62B20" w14:textId="77777777" w:rsidR="00AF693A" w:rsidRPr="00AF693A" w:rsidRDefault="00AF693A" w:rsidP="00AF693A">
            <w:pPr>
              <w:spacing w:after="0"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45 Days</w:t>
            </w:r>
          </w:p>
        </w:tc>
      </w:tr>
      <w:tr w:rsidR="00AF693A" w:rsidRPr="00AF693A" w14:paraId="1564E5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100C5A" w14:textId="77777777" w:rsidR="00AF693A" w:rsidRPr="00AF693A" w:rsidRDefault="00AF693A" w:rsidP="00AF693A">
            <w:pPr>
              <w:spacing w:after="0"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System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686B4" w14:textId="77777777" w:rsidR="00AF693A" w:rsidRPr="00AF693A" w:rsidRDefault="00AF693A" w:rsidP="00AF693A">
            <w:pPr>
              <w:spacing w:after="0" w:line="240" w:lineRule="auto"/>
              <w:rPr>
                <w:rFonts w:ascii="Arial" w:eastAsia="Times New Roman" w:hAnsi="Arial" w:cs="Arial"/>
                <w:kern w:val="0"/>
                <w:lang w:eastAsia="en-GB"/>
                <w14:ligatures w14:val="none"/>
              </w:rPr>
            </w:pPr>
            <w:r w:rsidRPr="00AF693A">
              <w:rPr>
                <w:rFonts w:ascii="Arial" w:eastAsia="Times New Roman" w:hAnsi="Arial" w:cs="Arial"/>
                <w:kern w:val="0"/>
                <w:lang w:eastAsia="en-GB"/>
                <w14:ligatures w14:val="none"/>
              </w:rPr>
              <w:t>Initiate Pre-commissioning (cleaning/flushing) once Hydrotesting hits 70%, rather than waiting for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A6F19" w14:textId="77777777" w:rsidR="00AF693A" w:rsidRPr="00AF693A" w:rsidRDefault="00AF693A" w:rsidP="00AF693A">
            <w:pPr>
              <w:spacing w:after="0"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14 Days</w:t>
            </w:r>
          </w:p>
        </w:tc>
      </w:tr>
      <w:tr w:rsidR="00AF693A" w:rsidRPr="00AF693A" w14:paraId="057BAD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C179A8" w14:textId="77777777" w:rsidR="00AF693A" w:rsidRPr="00AF693A" w:rsidRDefault="00AF693A" w:rsidP="00AF693A">
            <w:pPr>
              <w:spacing w:after="0"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E&amp;I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508AF" w14:textId="77777777" w:rsidR="00AF693A" w:rsidRPr="00AF693A" w:rsidRDefault="00AF693A" w:rsidP="00AF693A">
            <w:pPr>
              <w:spacing w:after="0" w:line="240" w:lineRule="auto"/>
              <w:rPr>
                <w:rFonts w:ascii="Arial" w:eastAsia="Times New Roman" w:hAnsi="Arial" w:cs="Arial"/>
                <w:kern w:val="0"/>
                <w:lang w:eastAsia="en-GB"/>
                <w14:ligatures w14:val="none"/>
              </w:rPr>
            </w:pPr>
            <w:r w:rsidRPr="00AF693A">
              <w:rPr>
                <w:rFonts w:ascii="Arial" w:eastAsia="Times New Roman" w:hAnsi="Arial" w:cs="Arial"/>
                <w:kern w:val="0"/>
                <w:lang w:eastAsia="en-GB"/>
                <w14:ligatures w14:val="none"/>
              </w:rPr>
              <w:t>Implement a "Rolling Handover" for loop checks; testing begins as soon as the first racks are terminated.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AF591" w14:textId="77777777" w:rsidR="00AF693A" w:rsidRPr="00AF693A" w:rsidRDefault="00AF693A" w:rsidP="00AF693A">
            <w:pPr>
              <w:spacing w:after="0"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12 Days</w:t>
            </w:r>
          </w:p>
        </w:tc>
      </w:tr>
      <w:tr w:rsidR="00AF693A" w:rsidRPr="00AF693A" w14:paraId="5B0C2B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B2F1A0" w14:textId="77777777" w:rsidR="00AF693A" w:rsidRPr="00AF693A" w:rsidRDefault="00AF693A" w:rsidP="00AF693A">
            <w:pPr>
              <w:spacing w:after="0"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Long-Lead Items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C84DC" w14:textId="77777777" w:rsidR="00AF693A" w:rsidRPr="00AF693A" w:rsidRDefault="00AF693A" w:rsidP="00AF693A">
            <w:pPr>
              <w:spacing w:after="0" w:line="240" w:lineRule="auto"/>
              <w:rPr>
                <w:rFonts w:ascii="Arial" w:eastAsia="Times New Roman" w:hAnsi="Arial" w:cs="Arial"/>
                <w:kern w:val="0"/>
                <w:lang w:eastAsia="en-GB"/>
                <w14:ligatures w14:val="none"/>
              </w:rPr>
            </w:pPr>
            <w:r w:rsidRPr="00AF693A">
              <w:rPr>
                <w:rFonts w:ascii="Arial" w:eastAsia="Times New Roman" w:hAnsi="Arial" w:cs="Arial"/>
                <w:kern w:val="0"/>
                <w:lang w:eastAsia="en-GB"/>
                <w14:ligatures w14:val="none"/>
              </w:rPr>
              <w:t>Secure "Certified for Construction" data early from Analyzer vendors to finish civil/piping interfaces ahead of delivery.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19774" w14:textId="77777777" w:rsidR="00AF693A" w:rsidRPr="00AF693A" w:rsidRDefault="00AF693A" w:rsidP="00AF693A">
            <w:pPr>
              <w:spacing w:after="0"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10 Days</w:t>
            </w:r>
          </w:p>
        </w:tc>
      </w:tr>
    </w:tbl>
    <w:p w14:paraId="7CEB298C" w14:textId="77777777" w:rsidR="00AF693A" w:rsidRPr="00AF693A" w:rsidRDefault="00AF693A" w:rsidP="00AF693A">
      <w:pPr>
        <w:spacing w:after="100" w:afterAutospacing="1"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Total Schedule Recovery: 81 Days</w:t>
      </w:r>
    </w:p>
    <w:p w14:paraId="64A5D319" w14:textId="77777777" w:rsidR="00AF693A" w:rsidRPr="00AF693A" w:rsidRDefault="00504342" w:rsidP="00AF693A">
      <w:pPr>
        <w:spacing w:after="0" w:line="240" w:lineRule="auto"/>
        <w:rPr>
          <w:rFonts w:ascii="Arial" w:eastAsia="Times New Roman" w:hAnsi="Arial" w:cs="Arial"/>
          <w:kern w:val="0"/>
          <w:lang w:eastAsia="en-GB"/>
          <w14:ligatures w14:val="none"/>
        </w:rPr>
      </w:pPr>
      <w:r w:rsidRPr="00504342">
        <w:rPr>
          <w:rFonts w:ascii="Times New Roman" w:eastAsia="Times New Roman" w:hAnsi="Times New Roman" w:cs="Times New Roman"/>
          <w:noProof/>
          <w:kern w:val="0"/>
          <w:lang w:eastAsia="en-GB"/>
        </w:rPr>
        <w:pict w14:anchorId="0AF1A972">
          <v:rect id="_x0000_i1025" alt="" style="width:451.3pt;height:.05pt;mso-width-percent:0;mso-height-percent:0;mso-width-percent:0;mso-height-percent:0" o:hralign="center" o:hrstd="t" o:hr="t" fillcolor="#a0a0a0" stroked="f"/>
        </w:pict>
      </w:r>
    </w:p>
    <w:p w14:paraId="48A04DDC" w14:textId="77777777" w:rsidR="00AF693A" w:rsidRPr="00AF693A" w:rsidRDefault="00AF693A" w:rsidP="00AF693A">
      <w:pPr>
        <w:spacing w:after="100" w:afterAutospacing="1" w:line="240" w:lineRule="auto"/>
        <w:outlineLvl w:val="1"/>
        <w:rPr>
          <w:rFonts w:ascii="Arial" w:eastAsia="Times New Roman" w:hAnsi="Arial" w:cs="Arial"/>
          <w:b/>
          <w:bCs/>
          <w:kern w:val="0"/>
          <w:sz w:val="36"/>
          <w:szCs w:val="36"/>
          <w:lang w:eastAsia="en-GB"/>
          <w14:ligatures w14:val="none"/>
        </w:rPr>
      </w:pPr>
      <w:r w:rsidRPr="00AF693A">
        <w:rPr>
          <w:rFonts w:ascii="Arial" w:eastAsia="Times New Roman" w:hAnsi="Arial" w:cs="Arial"/>
          <w:b/>
          <w:bCs/>
          <w:kern w:val="0"/>
          <w:sz w:val="36"/>
          <w:szCs w:val="36"/>
          <w:lang w:eastAsia="en-GB"/>
          <w14:ligatures w14:val="none"/>
        </w:rPr>
        <w:t>Speaker Notes / Quick Tips for Your Presentation:</w:t>
      </w:r>
    </w:p>
    <w:p w14:paraId="48D7BA5A" w14:textId="77777777" w:rsidR="00AF693A" w:rsidRPr="00AF693A" w:rsidRDefault="00AF693A" w:rsidP="00AF693A">
      <w:pPr>
        <w:numPr>
          <w:ilvl w:val="0"/>
          <w:numId w:val="2"/>
        </w:numPr>
        <w:spacing w:after="100" w:afterAutospacing="1"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Maintain Fidelity:</w:t>
      </w:r>
      <w:r w:rsidRPr="00AF693A">
        <w:rPr>
          <w:rFonts w:ascii="Arial" w:eastAsia="Times New Roman" w:hAnsi="Arial" w:cs="Arial"/>
          <w:kern w:val="0"/>
          <w:lang w:eastAsia="en-GB"/>
          <w14:ligatures w14:val="none"/>
        </w:rPr>
        <w:t xml:space="preserve"> Stress to the team that we aren't "cutting corners"—we are simply starting the </w:t>
      </w:r>
      <w:r w:rsidRPr="00AF693A">
        <w:rPr>
          <w:rFonts w:ascii="Arial" w:eastAsia="Times New Roman" w:hAnsi="Arial" w:cs="Arial"/>
          <w:i/>
          <w:iCs/>
          <w:kern w:val="0"/>
          <w:lang w:eastAsia="en-GB"/>
          <w14:ligatures w14:val="none"/>
        </w:rPr>
        <w:t>next</w:t>
      </w:r>
      <w:r w:rsidRPr="00AF693A">
        <w:rPr>
          <w:rFonts w:ascii="Arial" w:eastAsia="Times New Roman" w:hAnsi="Arial" w:cs="Arial"/>
          <w:kern w:val="0"/>
          <w:lang w:eastAsia="en-GB"/>
          <w14:ligatures w14:val="none"/>
        </w:rPr>
        <w:t xml:space="preserve"> step as soon as the </w:t>
      </w:r>
      <w:r w:rsidRPr="00AF693A">
        <w:rPr>
          <w:rFonts w:ascii="Arial" w:eastAsia="Times New Roman" w:hAnsi="Arial" w:cs="Arial"/>
          <w:i/>
          <w:iCs/>
          <w:kern w:val="0"/>
          <w:lang w:eastAsia="en-GB"/>
          <w14:ligatures w14:val="none"/>
        </w:rPr>
        <w:t>minimum required data/work</w:t>
      </w:r>
      <w:r w:rsidRPr="00AF693A">
        <w:rPr>
          <w:rFonts w:ascii="Arial" w:eastAsia="Times New Roman" w:hAnsi="Arial" w:cs="Arial"/>
          <w:kern w:val="0"/>
          <w:lang w:eastAsia="en-GB"/>
          <w14:ligatures w14:val="none"/>
        </w:rPr>
        <w:t xml:space="preserve"> from the previous step is available.</w:t>
      </w:r>
    </w:p>
    <w:p w14:paraId="1714E8D6" w14:textId="77777777" w:rsidR="00AF693A" w:rsidRPr="00AF693A" w:rsidRDefault="00AF693A" w:rsidP="00AF693A">
      <w:pPr>
        <w:numPr>
          <w:ilvl w:val="0"/>
          <w:numId w:val="2"/>
        </w:numPr>
        <w:spacing w:after="100" w:afterAutospacing="1" w:line="240" w:lineRule="auto"/>
        <w:rPr>
          <w:rFonts w:ascii="Arial" w:eastAsia="Times New Roman" w:hAnsi="Arial" w:cs="Arial"/>
          <w:kern w:val="0"/>
          <w:lang w:eastAsia="en-GB"/>
          <w14:ligatures w14:val="none"/>
        </w:rPr>
      </w:pPr>
      <w:r w:rsidRPr="00AF693A">
        <w:rPr>
          <w:rFonts w:ascii="Arial" w:eastAsia="Times New Roman" w:hAnsi="Arial" w:cs="Arial"/>
          <w:b/>
          <w:bCs/>
          <w:kern w:val="0"/>
          <w:lang w:eastAsia="en-GB"/>
          <w14:ligatures w14:val="none"/>
        </w:rPr>
        <w:t>Risk Management:</w:t>
      </w:r>
      <w:r w:rsidRPr="00AF693A">
        <w:rPr>
          <w:rFonts w:ascii="Arial" w:eastAsia="Times New Roman" w:hAnsi="Arial" w:cs="Arial"/>
          <w:kern w:val="0"/>
          <w:lang w:eastAsia="en-GB"/>
          <w14:ligatures w14:val="none"/>
        </w:rPr>
        <w:t xml:space="preserve"> Mention that the main requirement for this to work is </w:t>
      </w:r>
      <w:r w:rsidRPr="00AF693A">
        <w:rPr>
          <w:rFonts w:ascii="Arial" w:eastAsia="Times New Roman" w:hAnsi="Arial" w:cs="Arial"/>
          <w:b/>
          <w:bCs/>
          <w:kern w:val="0"/>
          <w:lang w:eastAsia="en-GB"/>
          <w14:ligatures w14:val="none"/>
        </w:rPr>
        <w:t>increased coordination</w:t>
      </w:r>
      <w:r w:rsidRPr="00AF693A">
        <w:rPr>
          <w:rFonts w:ascii="Arial" w:eastAsia="Times New Roman" w:hAnsi="Arial" w:cs="Arial"/>
          <w:kern w:val="0"/>
          <w:lang w:eastAsia="en-GB"/>
          <w14:ligatures w14:val="none"/>
        </w:rPr>
        <w:t xml:space="preserve"> between the Piping, Electrical, and Commissioning teams to ensure handovers happen system-by-system rather than all at once at the end of the year.</w:t>
      </w:r>
    </w:p>
    <w:p w14:paraId="2F5607AA" w14:textId="77777777" w:rsidR="00AF693A" w:rsidRPr="00AF693A" w:rsidRDefault="00AF693A" w:rsidP="00AF693A">
      <w:r w:rsidRPr="00AF693A">
        <w:lastRenderedPageBreak/>
        <w:t>Now I have a thorough understanding of the schedule. Let me build the analysis.</w:t>
      </w:r>
    </w:p>
    <w:p w14:paraId="1270E472" w14:textId="77777777" w:rsidR="00AF693A" w:rsidRPr="00AF693A" w:rsidRDefault="00AF693A" w:rsidP="00AF693A">
      <w:r w:rsidRPr="00AF693A">
        <w:t>Here is my full analysis of the critical path and schedule compression opportunities.</w:t>
      </w:r>
    </w:p>
    <w:p w14:paraId="0FF89B2B" w14:textId="77777777" w:rsidR="00AF693A" w:rsidRPr="00AF693A" w:rsidRDefault="00AF693A" w:rsidP="00AF693A">
      <w:r w:rsidRPr="00AF693A">
        <w:rPr>
          <w:b/>
          <w:bCs/>
        </w:rPr>
        <w:t>Project overview:</w:t>
      </w:r>
      <w:r w:rsidRPr="00AF693A">
        <w:t xml:space="preserve"> The Borouge EU3 H2 Extraction EPC Project runs from 20 Feb 2026 to 20 Jul 2027 — a 515-calendar-day schedule. A1-PM-PMM-0001 (Letter of Award) is the master anchor: 885 lag relationships trace back to it. The critical path runs through: LOA → Engineering &amp; Interface Inputs → Procurement of Long-Lead Items → Construction → Pre-commissioning → Commissioning/Start-up → RFSU (20 Jul 2027).</w:t>
      </w:r>
    </w:p>
    <w:p w14:paraId="4F658B79" w14:textId="77777777" w:rsidR="00AF693A" w:rsidRPr="00AF693A" w:rsidRDefault="00AF693A" w:rsidP="00AF693A">
      <w:r w:rsidRPr="00AF693A">
        <w:t>The schedule contains 26,387 total lag-days across 885 relationships. The five most impactful compression opportunities — where tasks can be reordered, overlapped, or de-lagged without compromising technical fidelity — are below.</w:t>
      </w:r>
    </w:p>
    <w:p w14:paraId="05A48C68" w14:textId="77777777" w:rsidR="00AF693A" w:rsidRPr="00AF693A" w:rsidRDefault="00AF693A" w:rsidP="00AF693A">
      <w:r w:rsidRPr="00AF693A">
        <w:t>V</w:t>
      </w:r>
    </w:p>
    <w:p w14:paraId="14AB3765" w14:textId="77777777" w:rsidR="00AF693A" w:rsidRPr="00AF693A" w:rsidRDefault="00AF693A" w:rsidP="00AF693A">
      <w:r w:rsidRPr="00AF693A">
        <w:t>visualize</w:t>
      </w:r>
    </w:p>
    <w:p w14:paraId="0778C75B" w14:textId="77777777" w:rsidR="00AF693A" w:rsidRPr="00AF693A" w:rsidRDefault="00AF693A" w:rsidP="00AF693A">
      <w:r w:rsidRPr="00AF693A">
        <w:t>V</w:t>
      </w:r>
    </w:p>
    <w:p w14:paraId="3F84A13C" w14:textId="77777777" w:rsidR="00AF693A" w:rsidRPr="00AF693A" w:rsidRDefault="00AF693A" w:rsidP="00AF693A">
      <w:r w:rsidRPr="00AF693A">
        <w:t>visualize show_widget</w:t>
      </w:r>
    </w:p>
    <w:p w14:paraId="5E2A56F5" w14:textId="77777777" w:rsidR="00AF693A" w:rsidRPr="00AF693A" w:rsidRDefault="00AF693A" w:rsidP="00AF693A">
      <w:r w:rsidRPr="00AF693A">
        <w:t>Here is a summary of the five suggestions and their individual savings:</w:t>
      </w:r>
    </w:p>
    <w:p w14:paraId="1956DEE1" w14:textId="77777777" w:rsidR="00AF693A" w:rsidRPr="00AF693A" w:rsidRDefault="00AF693A" w:rsidP="00AF693A">
      <w:r w:rsidRPr="00AF693A">
        <w:rPr>
          <w:b/>
          <w:bCs/>
        </w:rPr>
        <w:t>Suggestion 1 — Expedite COMPANY P&amp;ID and line list delivery (~35 days).</w:t>
      </w:r>
      <w:r w:rsidRPr="00AF693A">
        <w:t xml:space="preserve"> Activity A60680 has a 291-day lag from LOA, making it the single biggest schedule risk in the file. Push for phased delivery of P&amp;IDs by process area rather than waiting for a full-set freeze; a dedicated interface manager assigned at LOA should be able to pull delivery in to around Day 240. This flows directly through to A62490 and several construction-start triggers.</w:t>
      </w:r>
    </w:p>
    <w:p w14:paraId="34B12A77" w14:textId="77777777" w:rsidR="00AF693A" w:rsidRPr="00AF693A" w:rsidRDefault="00AF693A" w:rsidP="00AF693A">
      <w:r w:rsidRPr="00AF693A">
        <w:rPr>
          <w:b/>
          <w:bCs/>
        </w:rPr>
        <w:t>Suggestion 2 — Start site preparation earlier via pre-LOA permitting (~28 days).</w:t>
      </w:r>
      <w:r w:rsidRPr="00AF693A">
        <w:t xml:space="preserve"> A62220 does not start until Day 223 post-LOA. Civil permits, access agreements, and temporary facilities mobilisation can all be progressed during the bid and contract phase. Pulling site preparation to Day 181 gives civil and underground works an additional six weeks and directly relieves pressure on the foundation and structural steel sequences.</w:t>
      </w:r>
    </w:p>
    <w:p w14:paraId="0BB6F113" w14:textId="77777777" w:rsidR="00AF693A" w:rsidRPr="00AF693A" w:rsidRDefault="00AF693A" w:rsidP="00AF693A">
      <w:r w:rsidRPr="00AF693A">
        <w:rPr>
          <w:b/>
          <w:bCs/>
        </w:rPr>
        <w:t>Suggestion 3 — Reduce SPI database receipt lag (~21 days).</w:t>
      </w:r>
      <w:r w:rsidRPr="00AF693A">
        <w:t xml:space="preserve"> The SPI/SP3D database login (A60660) is gated at Day 63, blocking 18 piping and instrument design deliverables. This is an administrative credential, not a design output, and should be obtainable within 3–4 weeks of LOA via a pre-agreed data access protocol with COMPANY.</w:t>
      </w:r>
    </w:p>
    <w:p w14:paraId="044B1137" w14:textId="77777777" w:rsidR="00AF693A" w:rsidRPr="00AF693A" w:rsidRDefault="00AF693A" w:rsidP="00AF693A">
      <w:r w:rsidRPr="00AF693A">
        <w:rPr>
          <w:b/>
          <w:bCs/>
        </w:rPr>
        <w:t>Suggestion 4 — Fast-track painting, insulation, and electrical subcontract awards (~21 days).</w:t>
      </w:r>
      <w:r w:rsidRPr="00AF693A">
        <w:t xml:space="preserve"> These subcontracts carry 200–280 day lags from their procurement trigger, pushing painting and cabling completion dangerously close to the mechanical </w:t>
      </w:r>
      <w:r w:rsidRPr="00AF693A">
        <w:lastRenderedPageBreak/>
        <w:t>completion milestone. Issuing ITBs six weeks ahead of the current trigger using preliminary engineering data will compress the award and mobilisation timeline.</w:t>
      </w:r>
    </w:p>
    <w:p w14:paraId="4EE01E02" w14:textId="77777777" w:rsidR="00AF693A" w:rsidRPr="00AF693A" w:rsidRDefault="00AF693A" w:rsidP="00AF693A">
      <w:r w:rsidRPr="00AF693A">
        <w:rPr>
          <w:b/>
          <w:bCs/>
        </w:rPr>
        <w:t>Suggestion 5 — Mobilise construction management 4 weeks earlier (~14 days).</w:t>
      </w:r>
      <w:r w:rsidRPr="00AF693A">
        <w:t xml:space="preserve"> Key field roles (Field Engineering Manager, Construction Superintendent) are scheduled at Day 206–268 — absent during early structural and foundation works. Earlier mobilisation reduces field decisions being blocked and late punch-list accumulation, with an indirect but meaningful effect on mechanical completion.</w:t>
      </w:r>
    </w:p>
    <w:p w14:paraId="06EC00F5" w14:textId="77777777" w:rsidR="00AF693A" w:rsidRPr="00AF693A" w:rsidRDefault="00AF693A" w:rsidP="00AF693A">
      <w:r w:rsidRPr="00AF693A">
        <w:rPr>
          <w:b/>
          <w:bCs/>
        </w:rPr>
        <w:t>Total: ~84 days (≈ 12 weeks)</w:t>
      </w:r>
      <w:r w:rsidRPr="00AF693A">
        <w:t xml:space="preserve"> off the current project end date, assuming all five are pursued in parallel. Items 1 and 2 are the highest priority — they sit directly on the critical path and together account for 63 of the 84 days. Items 3–5 address near-critical chains and should be considered regardless, as they reduce the schedule's sensitivity to any slippage on items 1 and 2. I'd recommend a formal CPM re-run in P6 once any of these lags are adjusted to confirm the float impact across the full network.</w:t>
      </w:r>
    </w:p>
    <w:p w14:paraId="1AE712D2" w14:textId="77777777" w:rsidR="00444B78" w:rsidRDefault="00444B78"/>
    <w:sectPr w:rsidR="00444B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E08F9"/>
    <w:multiLevelType w:val="multilevel"/>
    <w:tmpl w:val="DF6E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B53368"/>
    <w:multiLevelType w:val="multilevel"/>
    <w:tmpl w:val="C0EA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408570">
    <w:abstractNumId w:val="1"/>
  </w:num>
  <w:num w:numId="2" w16cid:durableId="1277909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93A"/>
    <w:rsid w:val="00362B2F"/>
    <w:rsid w:val="00434B52"/>
    <w:rsid w:val="00444B78"/>
    <w:rsid w:val="00504342"/>
    <w:rsid w:val="006134CD"/>
    <w:rsid w:val="008F4212"/>
    <w:rsid w:val="00AF693A"/>
    <w:rsid w:val="00CC44E9"/>
    <w:rsid w:val="00CE1E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984C"/>
  <w15:chartTrackingRefBased/>
  <w15:docId w15:val="{458D1D7A-6EEB-AA49-9D69-95773BFD8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6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6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93A"/>
    <w:rPr>
      <w:rFonts w:eastAsiaTheme="majorEastAsia" w:cstheme="majorBidi"/>
      <w:color w:val="272727" w:themeColor="text1" w:themeTint="D8"/>
    </w:rPr>
  </w:style>
  <w:style w:type="paragraph" w:styleId="Title">
    <w:name w:val="Title"/>
    <w:basedOn w:val="Normal"/>
    <w:next w:val="Normal"/>
    <w:link w:val="TitleChar"/>
    <w:uiPriority w:val="10"/>
    <w:qFormat/>
    <w:rsid w:val="00AF6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93A"/>
    <w:pPr>
      <w:spacing w:before="160"/>
      <w:jc w:val="center"/>
    </w:pPr>
    <w:rPr>
      <w:i/>
      <w:iCs/>
      <w:color w:val="404040" w:themeColor="text1" w:themeTint="BF"/>
    </w:rPr>
  </w:style>
  <w:style w:type="character" w:customStyle="1" w:styleId="QuoteChar">
    <w:name w:val="Quote Char"/>
    <w:basedOn w:val="DefaultParagraphFont"/>
    <w:link w:val="Quote"/>
    <w:uiPriority w:val="29"/>
    <w:rsid w:val="00AF693A"/>
    <w:rPr>
      <w:i/>
      <w:iCs/>
      <w:color w:val="404040" w:themeColor="text1" w:themeTint="BF"/>
    </w:rPr>
  </w:style>
  <w:style w:type="paragraph" w:styleId="ListParagraph">
    <w:name w:val="List Paragraph"/>
    <w:basedOn w:val="Normal"/>
    <w:uiPriority w:val="34"/>
    <w:qFormat/>
    <w:rsid w:val="00AF693A"/>
    <w:pPr>
      <w:ind w:left="720"/>
      <w:contextualSpacing/>
    </w:pPr>
  </w:style>
  <w:style w:type="character" w:styleId="IntenseEmphasis">
    <w:name w:val="Intense Emphasis"/>
    <w:basedOn w:val="DefaultParagraphFont"/>
    <w:uiPriority w:val="21"/>
    <w:qFormat/>
    <w:rsid w:val="00AF693A"/>
    <w:rPr>
      <w:i/>
      <w:iCs/>
      <w:color w:val="0F4761" w:themeColor="accent1" w:themeShade="BF"/>
    </w:rPr>
  </w:style>
  <w:style w:type="paragraph" w:styleId="IntenseQuote">
    <w:name w:val="Intense Quote"/>
    <w:basedOn w:val="Normal"/>
    <w:next w:val="Normal"/>
    <w:link w:val="IntenseQuoteChar"/>
    <w:uiPriority w:val="30"/>
    <w:qFormat/>
    <w:rsid w:val="00AF6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93A"/>
    <w:rPr>
      <w:i/>
      <w:iCs/>
      <w:color w:val="0F4761" w:themeColor="accent1" w:themeShade="BF"/>
    </w:rPr>
  </w:style>
  <w:style w:type="character" w:styleId="IntenseReference">
    <w:name w:val="Intense Reference"/>
    <w:basedOn w:val="DefaultParagraphFont"/>
    <w:uiPriority w:val="32"/>
    <w:qFormat/>
    <w:rsid w:val="00AF693A"/>
    <w:rPr>
      <w:b/>
      <w:bCs/>
      <w:smallCaps/>
      <w:color w:val="0F4761" w:themeColor="accent1" w:themeShade="BF"/>
      <w:spacing w:val="5"/>
    </w:rPr>
  </w:style>
  <w:style w:type="paragraph" w:styleId="NormalWeb">
    <w:name w:val="Normal (Web)"/>
    <w:basedOn w:val="Normal"/>
    <w:uiPriority w:val="99"/>
    <w:semiHidden/>
    <w:unhideWhenUsed/>
    <w:rsid w:val="00AF693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AF693A"/>
  </w:style>
  <w:style w:type="character" w:styleId="Strong">
    <w:name w:val="Strong"/>
    <w:basedOn w:val="DefaultParagraphFont"/>
    <w:uiPriority w:val="22"/>
    <w:qFormat/>
    <w:rsid w:val="00AF69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796</Words>
  <Characters>4542</Characters>
  <Application>Microsoft Office Word</Application>
  <DocSecurity>0</DocSecurity>
  <Lines>37</Lines>
  <Paragraphs>10</Paragraphs>
  <ScaleCrop>false</ScaleCrop>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Shah</dc:creator>
  <cp:keywords/>
  <dc:description/>
  <cp:lastModifiedBy>Junaid Shah</cp:lastModifiedBy>
  <cp:revision>1</cp:revision>
  <dcterms:created xsi:type="dcterms:W3CDTF">2026-04-10T11:06:00Z</dcterms:created>
  <dcterms:modified xsi:type="dcterms:W3CDTF">2026-04-10T11:10:00Z</dcterms:modified>
</cp:coreProperties>
</file>