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p>
    <w:p>
      <w:pPr>
        <w:spacing w:after="0" w:before="0" w:line="480"/>
      </w:pPr>
    </w:p>
    <w:p>
      <w:pPr>
        <w:spacing w:after="0" w:before="0" w:line="480"/>
      </w:pPr>
    </w:p>
    <w:p>
      <w:pPr>
        <w:spacing w:after="0" w:before="0" w:line="480"/>
      </w:pPr>
    </w:p>
    <w:p>
      <w:pPr>
        <w:spacing w:after="0" w:before="0" w:line="480"/>
        <w:jc w:val="center"/>
      </w:pPr>
      <w:r>
        <w:rPr>
          <w:rFonts w:ascii="Times New Roman" w:cs="Times New Roman" w:eastAsia="Times New Roman" w:hAnsi="Times New Roman"/>
          <w:b/>
          <w:bCs/>
          <w:sz w:val="24"/>
          <w:szCs w:val="24"/>
        </w:rPr>
        <w:t xml:space="preserve">Data Analytics Capstone</w:t>
      </w:r>
    </w:p>
    <w:p>
      <w:pPr>
        <w:spacing w:after="0" w:before="0" w:line="480"/>
        <w:jc w:val="center"/>
      </w:pPr>
      <w:r>
        <w:rPr>
          <w:rFonts w:ascii="Times New Roman" w:cs="Times New Roman" w:eastAsia="Times New Roman" w:hAnsi="Times New Roman"/>
          <w:b/>
          <w:bCs/>
          <w:sz w:val="24"/>
          <w:szCs w:val="24"/>
        </w:rPr>
        <w:t xml:space="preserve">Accuracy and Fairness Trade-offs in Machine Learning Credit Default Prediction:</w:t>
      </w:r>
    </w:p>
    <w:p>
      <w:pPr>
        <w:spacing w:after="0" w:before="0" w:line="480"/>
        <w:jc w:val="center"/>
      </w:pPr>
      <w:r>
        <w:rPr>
          <w:rFonts w:ascii="Times New Roman" w:cs="Times New Roman" w:eastAsia="Times New Roman" w:hAnsi="Times New Roman"/>
          <w:b/>
          <w:bCs/>
          <w:sz w:val="24"/>
          <w:szCs w:val="24"/>
        </w:rPr>
        <w:t xml:space="preserve">A Threshold-Level Governance Study for Retail Lenders</w:t>
      </w:r>
    </w:p>
    <w:p>
      <w:pPr>
        <w:spacing w:after="0" w:before="0" w:line="480"/>
      </w:pPr>
    </w:p>
    <w:p>
      <w:pPr>
        <w:spacing w:after="0" w:before="0" w:line="480"/>
        <w:jc w:val="center"/>
      </w:pPr>
      <w:r>
        <w:rPr>
          <w:rFonts w:ascii="Times New Roman" w:cs="Times New Roman" w:eastAsia="Times New Roman" w:hAnsi="Times New Roman"/>
          <w:sz w:val="24"/>
          <w:szCs w:val="24"/>
        </w:rPr>
        <w:t xml:space="preserve">Synopsis</w:t>
      </w:r>
    </w:p>
    <w:p>
      <w:pPr>
        <w:spacing w:after="0" w:before="0" w:line="480"/>
        <w:jc w:val="center"/>
      </w:pPr>
      <w:r>
        <w:rPr>
          <w:rFonts w:ascii="Times New Roman" w:cs="Times New Roman" w:eastAsia="Times New Roman" w:hAnsi="Times New Roman"/>
          <w:sz w:val="24"/>
          <w:szCs w:val="24"/>
        </w:rPr>
        <w:t xml:space="preserve">Mrityunjay Ravi Iyer</w:t>
      </w:r>
    </w:p>
    <w:p>
      <w:pPr>
        <w:spacing w:after="0" w:before="0" w:line="480"/>
        <w:jc w:val="center"/>
      </w:pPr>
      <w:r>
        <w:rPr>
          <w:rFonts w:ascii="Times New Roman" w:cs="Times New Roman" w:eastAsia="Times New Roman" w:hAnsi="Times New Roman"/>
          <w:sz w:val="24"/>
          <w:szCs w:val="24"/>
        </w:rPr>
        <w:t xml:space="preserve">Walsh College</w:t>
      </w:r>
    </w:p>
    <w:p>
      <w:pPr>
        <w:spacing w:after="0" w:before="0" w:line="480"/>
        <w:jc w:val="center"/>
      </w:pPr>
      <w:r>
        <w:rPr>
          <w:rFonts w:ascii="Times New Roman" w:cs="Times New Roman" w:eastAsia="Times New Roman" w:hAnsi="Times New Roman"/>
          <w:sz w:val="24"/>
          <w:szCs w:val="24"/>
        </w:rPr>
        <w:t xml:space="preserve">QM640: Data Analytics Capstone</w:t>
      </w:r>
    </w:p>
    <w:p>
      <w:pPr>
        <w:spacing w:after="0" w:before="0" w:line="480"/>
        <w:jc w:val="center"/>
      </w:pPr>
      <w:r>
        <w:rPr>
          <w:rFonts w:ascii="Times New Roman" w:cs="Times New Roman" w:eastAsia="Times New Roman" w:hAnsi="Times New Roman"/>
          <w:sz w:val="24"/>
          <w:szCs w:val="24"/>
        </w:rPr>
        <w:t xml:space="preserve">[Mentor Name]</w:t>
      </w:r>
    </w:p>
    <w:p>
      <w:pPr>
        <w:spacing w:after="0" w:before="0" w:line="480"/>
        <w:jc w:val="center"/>
      </w:pPr>
      <w:r>
        <w:rPr>
          <w:rFonts w:ascii="Times New Roman" w:cs="Times New Roman" w:eastAsia="Times New Roman" w:hAnsi="Times New Roman"/>
          <w:sz w:val="24"/>
          <w:szCs w:val="24"/>
        </w:rPr>
        <w:t xml:space="preserve">Fall 2026 Term</w:t>
      </w:r>
    </w:p>
    <w:p>
      <w:pPr>
        <w:spacing w:after="0" w:before="0" w:line="480"/>
        <w:jc w:val="center"/>
      </w:pPr>
      <w:r>
        <w:rPr>
          <w:rFonts w:ascii="Times New Roman" w:cs="Times New Roman" w:eastAsia="Times New Roman" w:hAnsi="Times New Roman"/>
          <w:sz w:val="24"/>
          <w:szCs w:val="24"/>
        </w:rPr>
        <w:t xml:space="preserve">October 9, 2026</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Introduction</w:t>
      </w:r>
    </w:p>
    <w:p>
      <w:pPr>
        <w:pStyle w:val="Heading2"/>
        <w:spacing w:after="0" w:before="0" w:line="480"/>
        <w:jc w:val="left"/>
      </w:pPr>
      <w:r>
        <w:rPr>
          <w:rFonts w:ascii="Times New Roman" w:cs="Times New Roman" w:eastAsia="Times New Roman" w:hAnsi="Times New Roman"/>
          <w:b/>
          <w:bCs/>
          <w:color w:val="000000"/>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The credit decisions I review for Indian banks and non-banking financial companies (NBFCs) are now produced, in most new retail programmes, by gradient-boosted tree models rather than by logistic scorecards. Ensemble methods have improved on logistic regression in most published benchmarks, although the gain varies by dataset: Lessmann et al. (2015) compared 41 classifiers on eight credit datasets and found boosted and bagged trees ahead on the area under the receiver operating characteristic curve (AUC) in most cases. What is less often measured is whether the model treats groups of borrowers differently and by how much. In my experience that question is answered with a policy statement, usually that sex and marital status are excluded from the feature set, not with a number. Excluding the protected attribute does not establish that the resulting decisions are free of group-level differences, because other features can carry the same information (Kamiran &amp; Calders, 2012).</w:t>
      </w:r>
    </w:p>
    <w:p>
      <w:pPr>
        <w:spacing w:after="0" w:before="0" w:line="480"/>
        <w:ind w:firstLine="720"/>
      </w:pPr>
      <w:r>
        <w:rPr>
          <w:rFonts w:ascii="Times New Roman" w:cs="Times New Roman" w:eastAsia="Times New Roman" w:hAnsi="Times New Roman"/>
          <w:sz w:val="24"/>
          <w:szCs w:val="24"/>
        </w:rPr>
        <w:t xml:space="preserve">Regulatory attention to fairness in financial AI has increased, although the specific obligations depend on jurisdiction and instrument. The Reserve Bank of India (RBI) FREE-AI Committee report of 13 August 2025 sets out seven guiding principles and 26 recommendations, among them disclosure of AI-driven credit assessments and fairness provisions proposed for the Digital Lending Directions. The recommendations remain advisory until the RBI adopts them (Reserve Bank of India, 2025). The European Union's Artificial Intelligence Act lists credit scoring of natural persons as a high-risk use in Annex III (European Parliament &amp; Council of the European Union, 2024), a point of comparison rather than applicable Indian law. The United States literature has measured the problem: Fuster et al. (2022) found that machine learning in mortgage underwriting raised accuracy while widening the dispersion of predicted default across racial groups, and Bartlett et al. (2022) found algorithmic lenders charging Latinx and African-American borrowers higher rates.</w:t>
      </w:r>
    </w:p>
    <w:p>
      <w:pPr>
        <w:spacing w:after="0" w:before="0" w:line="480"/>
        <w:ind w:firstLine="720"/>
      </w:pPr>
      <w:r>
        <w:rPr>
          <w:rFonts w:ascii="Times New Roman" w:cs="Times New Roman" w:eastAsia="Times New Roman" w:hAnsi="Times New Roman"/>
          <w:sz w:val="24"/>
          <w:szCs w:val="24"/>
        </w:rPr>
        <w:t xml:space="preserve">The measurement tools exist. Hardt et al. (2016) defined equality of opportunity as equal true-positive rates for the favourable outcome across groups, Feldman et al. (2015) expressed the four-fifths rule from United States employment-selection guidelines (Uniform Guidelines on Employee Selection Procedures, 1978) as a disparate impact ratio, and Kleinberg et al. (2017) proved that calibration and equal error rates cannot both hold when base rates differ, so a lender must choose which criterion to govern to. Kozodoi et al. (2022) applied these criteria to seven credit datasets, found that fairness could be reached at a low profit cost, and identified separation, the family that includes equal opportunity, as the suitable criterion for a scorecard. This study places the trade-off in a threshold-level decision table using the measures validation teams already read: retention rate, default rate among retained customers, AUC, and the fairness gap at each cut-off. My position, developed in the AI strategy coursework of this programme, is that fairness in a deployed model is decided by configuration choices such as the threshold and the sample weights rather than by governance documents, and this capstone tests that position.</w:t>
      </w:r>
    </w:p>
    <w:p>
      <w:pPr>
        <w:pStyle w:val="Heading2"/>
        <w:spacing w:after="0" w:before="0" w:line="480"/>
        <w:jc w:val="left"/>
      </w:pPr>
      <w:r>
        <w:rPr>
          <w:rFonts w:ascii="Times New Roman" w:cs="Times New Roman" w:eastAsia="Times New Roman" w:hAnsi="Times New Roman"/>
          <w:b/>
          <w:bCs/>
          <w:color w:val="000000"/>
          <w:sz w:val="24"/>
          <w:szCs w:val="24"/>
        </w:rPr>
        <w:t xml:space="preserve">Problem Statement</w:t>
      </w:r>
    </w:p>
    <w:p>
      <w:pPr>
        <w:spacing w:after="0" w:before="0" w:line="480"/>
        <w:ind w:firstLine="720"/>
      </w:pPr>
      <w:r>
        <w:rPr>
          <w:rFonts w:ascii="Times New Roman" w:cs="Times New Roman" w:eastAsia="Times New Roman" w:hAnsi="Times New Roman"/>
          <w:sz w:val="24"/>
          <w:szCs w:val="24"/>
        </w:rPr>
        <w:t xml:space="preserve">Retail lenders deploy machine learning default models that rank borrowers more accurately than logistic scorecards, but they lack a quantified, reproducible measure of how those models' decisions differ by demographic group and of what it costs to narrow the difference. Validation reports record the AUC and the Kolmogorov–Smirnov (KS) statistic and treat fairness as satisfied once protected attributes are dropped, an approach called fairness through unawareness that fails when proxy variables remain (Mehrabi et al., 2021). The gap this project addresses is the absence of a trade-off curve, estimated on an open credit dataset with stated statistical power, that expresses the cost of two standard mitigation methods in the units of a credit policy and ends in a decision rule for the threshold. The setting is a retrospective portfolio-retention simulation on existing cardholders: the dataset records repayment outcomes for customers who already held credit, so a threshold applied to it simulates which cardholders a lender would have retained or referred, not whom it would have approved. The dependent variable is DEFAULT, next-month payment default, coded 1 or 0. The independent variables are the 23 borrower attributes in the dataset, listed in Table 2. Two derived decision variables, FLAG (simulated referral or decline) and RETAIN (simulated favourable decision), carry the fairness audit. Sex is the primary protected attribute and age band the secondary one. The problem is a supervised binary classification task with an attached fairness audit.</w:t>
      </w:r>
    </w:p>
    <w:p>
      <w:pPr>
        <w:pStyle w:val="Heading2"/>
        <w:spacing w:after="0" w:before="0" w:line="480"/>
        <w:jc w:val="left"/>
      </w:pPr>
      <w:r>
        <w:rPr>
          <w:rFonts w:ascii="Times New Roman" w:cs="Times New Roman" w:eastAsia="Times New Roman" w:hAnsi="Times New Roman"/>
          <w:b/>
          <w:bCs/>
          <w:color w:val="000000"/>
          <w:sz w:val="24"/>
          <w:szCs w:val="24"/>
        </w:rPr>
        <w:t xml:space="preserve">Purpose of the Study</w:t>
      </w:r>
    </w:p>
    <w:p>
      <w:pPr>
        <w:spacing w:after="0" w:before="0" w:line="480"/>
        <w:ind w:firstLine="720"/>
      </w:pPr>
      <w:r>
        <w:rPr>
          <w:rFonts w:ascii="Times New Roman" w:cs="Times New Roman" w:eastAsia="Times New Roman" w:hAnsi="Times New Roman"/>
          <w:sz w:val="24"/>
          <w:szCs w:val="24"/>
        </w:rPr>
        <w:t xml:space="preserve">The study has four aims, one per research question. First, it predicts: it classifies cardholders as likely or unlikely to default next month using three model families and tests a pre-specified contrast between gradient boosting and the logistic baseline. Second, it tests: it estimates how far the observed default rate differs by sex and by age band, which decides which fairness criteria can hold together (Kleinberg et al., 2017). Third, it audits: it measures, at a simulated cut-off, how favourable-selection rates and false-decline rates differ by sex and compares the differences with predefined research benchmarks. Fourth, it quantifies: it applies two mitigation methods and records the predictive-performance or decision-quality cost of each. The deliverable is a reproducible validation workflow and an auditable decision-support table, not an algorithm that certifies fairness.</w:t>
      </w:r>
    </w:p>
    <w:p>
      <w:pPr>
        <w:pStyle w:val="Heading1"/>
        <w:spacing w:after="0" w:before="0" w:line="480"/>
        <w:jc w:val="center"/>
      </w:pPr>
      <w:r>
        <w:rPr>
          <w:rFonts w:ascii="Times New Roman" w:cs="Times New Roman" w:eastAsia="Times New Roman" w:hAnsi="Times New Roman"/>
          <w:b/>
          <w:bCs/>
          <w:color w:val="000000"/>
          <w:sz w:val="24"/>
          <w:szCs w:val="24"/>
        </w:rPr>
        <w:t xml:space="preserve">Scope and Objectives</w:t>
      </w:r>
    </w:p>
    <w:p>
      <w:pPr>
        <w:pStyle w:val="Heading2"/>
        <w:spacing w:after="0" w:before="0" w:line="480"/>
        <w:jc w:val="left"/>
      </w:pPr>
      <w:r>
        <w:rPr>
          <w:rFonts w:ascii="Times New Roman" w:cs="Times New Roman" w:eastAsia="Times New Roman" w:hAnsi="Times New Roman"/>
          <w:b/>
          <w:bCs/>
          <w:color w:val="000000"/>
          <w:sz w:val="24"/>
          <w:szCs w:val="24"/>
        </w:rPr>
        <w:t xml:space="preserve">Research Questions</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1 (RQ1): Predictive Performance</w:t>
      </w:r>
    </w:p>
    <w:p>
      <w:pPr>
        <w:spacing w:after="0" w:before="0" w:line="480"/>
        <w:ind w:left="720"/>
      </w:pPr>
      <w:r>
        <w:rPr>
          <w:rFonts w:ascii="Times New Roman" w:cs="Times New Roman" w:eastAsia="Times New Roman" w:hAnsi="Times New Roman"/>
          <w:sz w:val="24"/>
          <w:szCs w:val="24"/>
        </w:rPr>
        <w:t xml:space="preserve">How do logistic regression, random forest (Breiman, 2001), and gradient boosting (Chen &amp; Guestrin, 2016) compare in predicting next-month default, measured by AUC with a 95% confidence interval (CI), and is the AUC improvement of the pre-specified gradient boosting model over the logistic baseline statistically significant under the DeLong et al. (1988) test?</w:t>
      </w:r>
    </w:p>
    <w:p>
      <w:pPr>
        <w:spacing w:after="0" w:before="0" w:line="480"/>
        <w:ind w:firstLine="720"/>
      </w:pPr>
      <w:r>
        <w:rPr>
          <w:rFonts w:ascii="Times New Roman" w:cs="Times New Roman" w:eastAsia="Times New Roman" w:hAnsi="Times New Roman"/>
          <w:sz w:val="24"/>
          <w:szCs w:val="24"/>
        </w:rPr>
        <w:t xml:space="preserve">H1</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GB</w:t>
      </w:r>
      <w:r>
        <w:rPr>
          <w:rFonts w:ascii="Times New Roman" w:cs="Times New Roman" w:eastAsia="Times New Roman" w:hAnsi="Times New Roman"/>
          <w:sz w:val="24"/>
          <w:szCs w:val="24"/>
        </w:rPr>
        <w:t xml:space="preserve"> = AUC</w:t>
      </w:r>
      <w:r>
        <w:rPr>
          <w:rFonts w:ascii="Times New Roman" w:cs="Times New Roman" w:eastAsia="Times New Roman" w:hAnsi="Times New Roman"/>
          <w:sz w:val="24"/>
          <w:szCs w:val="24"/>
          <w:vertAlign w:val="subscript"/>
        </w:rPr>
        <w:t xml:space="preserve">LR</w:t>
      </w:r>
      <w:r>
        <w:rPr>
          <w:rFonts w:ascii="Times New Roman" w:cs="Times New Roman" w:eastAsia="Times New Roman" w:hAnsi="Times New Roman"/>
          <w:sz w:val="24"/>
          <w:szCs w:val="24"/>
        </w:rPr>
        <w:t xml:space="preserve">. H1</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GB</w:t>
      </w:r>
      <w:r>
        <w:rPr>
          <w:rFonts w:ascii="Times New Roman" w:cs="Times New Roman" w:eastAsia="Times New Roman" w:hAnsi="Times New Roman"/>
          <w:sz w:val="24"/>
          <w:szCs w:val="24"/>
        </w:rPr>
        <w:t xml:space="preserve"> &gt; AUC</w:t>
      </w:r>
      <w:r>
        <w:rPr>
          <w:rFonts w:ascii="Times New Roman" w:cs="Times New Roman" w:eastAsia="Times New Roman" w:hAnsi="Times New Roman"/>
          <w:sz w:val="24"/>
          <w:szCs w:val="24"/>
          <w:vertAlign w:val="subscript"/>
        </w:rPr>
        <w:t xml:space="preserve">LR</w:t>
      </w:r>
      <w:r>
        <w:rPr>
          <w:rFonts w:ascii="Times New Roman" w:cs="Times New Roman" w:eastAsia="Times New Roman" w:hAnsi="Times New Roman"/>
          <w:sz w:val="24"/>
          <w:szCs w:val="24"/>
        </w:rPr>
        <w:t xml:space="preserve">. Gradient boosting against logistic regression is the single pre-specified contrast. Random forest is a secondary benchmark and is not tested for significance. The dependent variable is DEFAULT and the independent variables are the 23 attributes in Table 2.</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2 (RQ2): Outcome Disparity</w:t>
      </w:r>
    </w:p>
    <w:p>
      <w:pPr>
        <w:spacing w:after="0" w:before="0" w:line="480"/>
        <w:ind w:left="720"/>
      </w:pPr>
      <w:r>
        <w:rPr>
          <w:rFonts w:ascii="Times New Roman" w:cs="Times New Roman" w:eastAsia="Times New Roman" w:hAnsi="Times New Roman"/>
          <w:sz w:val="24"/>
          <w:szCs w:val="24"/>
        </w:rPr>
        <w:t xml:space="preserve">Do observed default rates differ by sex and by age band, and how large are the differences before and after adjustment for credit limit and age?</w:t>
      </w:r>
    </w:p>
    <w:p>
      <w:pPr>
        <w:spacing w:after="0" w:before="0" w:line="480"/>
        <w:ind w:firstLine="720"/>
      </w:pPr>
      <w:r>
        <w:rPr>
          <w:rFonts w:ascii="Times New Roman" w:cs="Times New Roman" w:eastAsia="Times New Roman" w:hAnsi="Times New Roman"/>
          <w:sz w:val="24"/>
          <w:szCs w:val="24"/>
        </w:rPr>
        <w:t xml:space="preserve">H2</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H2</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For age bands, H2b</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independence of default and age band. A difference of 0.03 is the planned minimum meaningful difference used for power, not part of the hypothesis. The dependent variable is DEFAULT and the independent variables are SEX and the derived AGE_BAND. Observed differences are not attributed causally to sex or age.</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3 (RQ3): Fairness at a Simulated Cut-off</w:t>
      </w:r>
    </w:p>
    <w:p>
      <w:pPr>
        <w:spacing w:after="0" w:before="0" w:line="480"/>
        <w:ind w:left="720"/>
      </w:pPr>
      <w:r>
        <w:rPr>
          <w:rFonts w:ascii="Times New Roman" w:cs="Times New Roman" w:eastAsia="Times New Roman" w:hAnsi="Times New Roman"/>
          <w:sz w:val="24"/>
          <w:szCs w:val="24"/>
        </w:rPr>
        <w:t xml:space="preserve">At a simulated cut-off that retains 75% of existing cardholders, how do favourable-selection rates and false-decline rates differ by sex, and how do those differences compare with two predefined research benchmarks, a disparate impact ratio of at least 0.80 and a false-decline rate gap within ±0.05?</w:t>
      </w:r>
    </w:p>
    <w:p>
      <w:pPr>
        <w:spacing w:after="0" w:before="0" w:line="480"/>
        <w:ind w:firstLine="720"/>
      </w:pPr>
      <w:r>
        <w:rPr>
          <w:rFonts w:ascii="Times New Roman" w:cs="Times New Roman" w:eastAsia="Times New Roman" w:hAnsi="Times New Roman"/>
          <w:sz w:val="24"/>
          <w:szCs w:val="24"/>
        </w:rPr>
        <w:t xml:space="preserve">H3</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where FDR is the false-decline rate, the share of non-defaulters flagged. H3</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The benchmark comparison is descriptive: the study reports whether the 95% CI for the gap lies within ±0.05 and whether the disparate impact (DI) ratio on RETAIN rates reaches 0.80. The true-positive rate gap among defaulters is a secondary, lender-risk measure. The dependent variables are the RETAIN rate and the false-decline rate per group and the independent variable is SEX.</w:t>
      </w:r>
    </w:p>
    <w:p>
      <w:pPr>
        <w:pStyle w:val="Heading3"/>
        <w:spacing w:after="0" w:before="0" w:line="480"/>
        <w:jc w:val="left"/>
      </w:pPr>
      <w:r>
        <w:rPr>
          <w:rFonts w:ascii="Times New Roman" w:cs="Times New Roman" w:eastAsia="Times New Roman" w:hAnsi="Times New Roman"/>
          <w:b/>
          <w:bCs/>
          <w:i/>
          <w:iCs/>
          <w:color w:val="000000"/>
          <w:sz w:val="24"/>
          <w:szCs w:val="24"/>
        </w:rPr>
        <w:t xml:space="preserve">Research Question 4 (RQ4): Mitigation Trade-offs</w:t>
      </w:r>
    </w:p>
    <w:p>
      <w:pPr>
        <w:spacing w:after="0" w:before="0" w:line="480"/>
        <w:ind w:left="720"/>
      </w:pPr>
      <w:r>
        <w:rPr>
          <w:rFonts w:ascii="Times New Roman" w:cs="Times New Roman" w:eastAsia="Times New Roman" w:hAnsi="Times New Roman"/>
          <w:sz w:val="24"/>
          <w:szCs w:val="24"/>
        </w:rPr>
        <w:t xml:space="preserve">How do training-data reweighing (Kamiran &amp; Calders, 2012) and group-specific threshold adjustment (Hardt et al., 2016) change the false-decline rate gap and the simulated portfolio outcomes, and what predictive-performance or decision-quality cost arises under each?</w:t>
      </w:r>
    </w:p>
    <w:p>
      <w:pPr>
        <w:spacing w:after="0" w:before="0" w:line="480"/>
        <w:ind w:firstLine="720"/>
      </w:pPr>
      <w:r>
        <w:rPr>
          <w:rFonts w:ascii="Times New Roman" w:cs="Times New Roman" w:eastAsia="Times New Roman" w:hAnsi="Times New Roman"/>
          <w:sz w:val="24"/>
          <w:szCs w:val="24"/>
        </w:rPr>
        <w:t xml:space="preserve">The two methods are judged on different measures because they act at different points. Reweighing retrains the model and can change the ranking, so H4</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RW</w:t>
      </w:r>
      <w:r>
        <w:rPr>
          <w:rFonts w:ascii="Times New Roman" w:cs="Times New Roman" w:eastAsia="Times New Roman" w:hAnsi="Times New Roman"/>
          <w:sz w:val="24"/>
          <w:szCs w:val="24"/>
        </w:rPr>
        <w:t xml:space="preserve"> ≤ AUC</w:t>
      </w:r>
      <w:r>
        <w:rPr>
          <w:rFonts w:ascii="Times New Roman" w:cs="Times New Roman" w:eastAsia="Times New Roman" w:hAnsi="Times New Roman"/>
          <w:sz w:val="24"/>
          <w:szCs w:val="24"/>
          <w:vertAlign w:val="subscript"/>
        </w:rPr>
        <w:t xml:space="preserve">base</w:t>
      </w:r>
      <w:r>
        <w:rPr>
          <w:rFonts w:ascii="Times New Roman" w:cs="Times New Roman" w:eastAsia="Times New Roman" w:hAnsi="Times New Roman"/>
          <w:sz w:val="24"/>
          <w:szCs w:val="24"/>
        </w:rPr>
        <w:t xml:space="preserve"> − 0.01 and H4</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AUC</w:t>
      </w:r>
      <w:r>
        <w:rPr>
          <w:rFonts w:ascii="Times New Roman" w:cs="Times New Roman" w:eastAsia="Times New Roman" w:hAnsi="Times New Roman"/>
          <w:sz w:val="24"/>
          <w:szCs w:val="24"/>
          <w:vertAlign w:val="subscript"/>
        </w:rPr>
        <w:t xml:space="preserve">RW</w:t>
      </w:r>
      <w:r>
        <w:rPr>
          <w:rFonts w:ascii="Times New Roman" w:cs="Times New Roman" w:eastAsia="Times New Roman" w:hAnsi="Times New Roman"/>
          <w:sz w:val="24"/>
          <w:szCs w:val="24"/>
        </w:rPr>
        <w:t xml:space="preserve"> &gt; AUC</w:t>
      </w:r>
      <w:r>
        <w:rPr>
          <w:rFonts w:ascii="Times New Roman" w:cs="Times New Roman" w:eastAsia="Times New Roman" w:hAnsi="Times New Roman"/>
          <w:sz w:val="24"/>
          <w:szCs w:val="24"/>
          <w:vertAlign w:val="subscript"/>
        </w:rPr>
        <w:t xml:space="preserve">base</w:t>
      </w:r>
      <w:r>
        <w:rPr>
          <w:rFonts w:ascii="Times New Roman" w:cs="Times New Roman" w:eastAsia="Times New Roman" w:hAnsi="Times New Roman"/>
          <w:sz w:val="24"/>
          <w:szCs w:val="24"/>
        </w:rPr>
        <w:t xml:space="preserve"> − 0.01, a one-sided non-inferiority test on paired AUCs. Threshold adjustment leaves the scores untouched, so its AUC is unchanged by construction and its cost is the default rate among retained cardholders at the common 75% retention rate, with a bootstrap CI, against the unmitigated cut-off.</w:t>
      </w:r>
    </w:p>
    <w:p>
      <w:pPr>
        <w:pStyle w:val="Heading2"/>
        <w:spacing w:after="0" w:before="0" w:line="480"/>
        <w:jc w:val="left"/>
      </w:pPr>
      <w:r>
        <w:rPr>
          <w:rFonts w:ascii="Times New Roman" w:cs="Times New Roman" w:eastAsia="Times New Roman" w:hAnsi="Times New Roman"/>
          <w:b/>
          <w:bCs/>
          <w:color w:val="000000"/>
          <w:sz w:val="24"/>
          <w:szCs w:val="24"/>
        </w:rPr>
        <w:t xml:space="preserve">Scope Boundaries</w:t>
      </w:r>
    </w:p>
    <w:p>
      <w:pPr>
        <w:spacing w:after="0" w:before="0" w:line="480"/>
        <w:ind w:firstLine="720"/>
      </w:pPr>
      <w:r>
        <w:rPr>
          <w:rFonts w:ascii="Times New Roman" w:cs="Times New Roman" w:eastAsia="Times New Roman" w:hAnsi="Times New Roman"/>
          <w:sz w:val="24"/>
          <w:szCs w:val="24"/>
        </w:rPr>
        <w:t xml:space="preserve">In scope are one public dataset of 30,000 cardholders, three model families, one primary protected attribute (sex) and one secondary attribute (age band), two fairness measures used as tests (the DI ratio on RETAIN and the false-decline rate gap) with the true-positive rate gap and equalized odds reported alongside, two mitigation methods, and a trade-off table across simulated retention rates. Shapley additive explanations (SHAP) (Lundberg &amp; Lee, 2017) to identify candidate proxy features are optional and will be dropped first if the schedule tightens. Out of scope are neural network classifiers, whose interpretability cost on tabular high-stakes decisions is not repaid by their accuracy gain (Rudin, 2019), synthetic data, in-processing mitigation, calibration-based criteria, causal inference, profit optimisation, reject inference, and deployment.</w:t>
      </w:r>
    </w:p>
    <w:p>
      <w:pPr>
        <w:pStyle w:val="Heading2"/>
        <w:spacing w:after="0" w:before="0" w:line="480"/>
        <w:jc w:val="left"/>
      </w:pPr>
      <w:r>
        <w:rPr>
          <w:rFonts w:ascii="Times New Roman" w:cs="Times New Roman" w:eastAsia="Times New Roman" w:hAnsi="Times New Roman"/>
          <w:b/>
          <w:bCs/>
          <w:color w:val="000000"/>
          <w:sz w:val="24"/>
          <w:szCs w:val="24"/>
        </w:rPr>
        <w:t xml:space="preserve">Feasibility and Measurability</w:t>
      </w:r>
    </w:p>
    <w:p>
      <w:pPr>
        <w:spacing w:after="0" w:before="0" w:line="480"/>
        <w:ind w:firstLine="720"/>
      </w:pPr>
      <w:r>
        <w:rPr>
          <w:rFonts w:ascii="Times New Roman" w:cs="Times New Roman" w:eastAsia="Times New Roman" w:hAnsi="Times New Roman"/>
          <w:sz w:val="24"/>
          <w:szCs w:val="24"/>
        </w:rPr>
        <w:t xml:space="preserve">The dataset downloads from the UCI Machine Learning Repository without registration under a Creative Commons Attribution 4.0 licence (Yeh, 2009). Every variable is numeric or integer-coded, and every outcome in RQ1 to RQ4 is a proportion, an AUC, or a difference between two of them, so all variables are measurable without transformation. A 30,000-row file with 23 features is small enough that nested tuning and bootstrapping take minutes to an hour on a laptop, and the exact runtime is an estimate until benchmarked in week 2. The tools are Python 3.11 with pandas, scikit-learn, XGBoost, Fairlearn (Bird et al., 2020), SHAP, and statsmodels. Table 4 sets out the phased plan.</w:t>
      </w:r>
    </w:p>
    <w:p>
      <w:pPr>
        <w:pStyle w:val="Heading1"/>
        <w:spacing w:after="0" w:before="0" w:line="480"/>
        <w:jc w:val="center"/>
      </w:pPr>
      <w:r>
        <w:rPr>
          <w:rFonts w:ascii="Times New Roman" w:cs="Times New Roman" w:eastAsia="Times New Roman" w:hAnsi="Times New Roman"/>
          <w:b/>
          <w:bCs/>
          <w:color w:val="000000"/>
          <w:sz w:val="24"/>
          <w:szCs w:val="24"/>
        </w:rPr>
        <w:t xml:space="preserve">Sample Size Calculation</w:t>
      </w:r>
    </w:p>
    <w:p>
      <w:pPr>
        <w:spacing w:after="0" w:before="0" w:line="480"/>
        <w:ind w:firstLine="720"/>
      </w:pPr>
      <w:r>
        <w:rPr>
          <w:rFonts w:ascii="Times New Roman" w:cs="Times New Roman" w:eastAsia="Times New Roman" w:hAnsi="Times New Roman"/>
          <w:sz w:val="24"/>
          <w:szCs w:val="24"/>
        </w:rPr>
        <w:t xml:space="preserve">All four research questions are evaluated on pooled out-of-fold predictions and decisions from stratified five-fold cross-validation (CV). Each outer training set is split into a fit partition (80%), on which models are trained and tuned by inner CV, and a calibration partition (20%), on which the retention cut-off, the group thresholds, and the reweighing weights are set. The held-out outer fold is scored once with the fitted model and the calibrated policy and never used to choose anything, so each cardholder receives one prediction and one decision from a configuration that did not see that cardholder, and the evaluation pool equals the full 30,000. The calculations use α = 0.05, power 1 − β = 0.80,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0.975</w:t>
      </w:r>
      <w:r>
        <w:rPr>
          <w:rFonts w:ascii="Times New Roman" w:cs="Times New Roman" w:eastAsia="Times New Roman" w:hAnsi="Times New Roman"/>
          <w:sz w:val="24"/>
          <w:szCs w:val="24"/>
        </w:rPr>
        <w:t xml:space="preserve"> = 1.960,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0.95</w:t>
      </w:r>
      <w:r>
        <w:rPr>
          <w:rFonts w:ascii="Times New Roman" w:cs="Times New Roman" w:eastAsia="Times New Roman" w:hAnsi="Times New Roman"/>
          <w:sz w:val="24"/>
          <w:szCs w:val="24"/>
        </w:rPr>
        <w:t xml:space="preserve"> = 1.645, and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0.80</w:t>
      </w:r>
      <w:r>
        <w:rPr>
          <w:rFonts w:ascii="Times New Roman" w:cs="Times New Roman" w:eastAsia="Times New Roman" w:hAnsi="Times New Roman"/>
          <w:sz w:val="24"/>
          <w:szCs w:val="24"/>
        </w:rPr>
        <w:t xml:space="preserve"> = 0.842 throughout. The overall default prevalence is 22.12% (6,636 of 30,000). From my initial tabulation of the file, 39.63% of cardholders are male (11,888) and 60.37% female (18,112), with 2,873 and 3,763 defaulters respectively. These counts enter RQ2 to RQ4 as allocation ratios.</w:t>
      </w:r>
    </w:p>
    <w:p>
      <w:pPr>
        <w:pStyle w:val="Heading2"/>
        <w:spacing w:after="0" w:before="0" w:line="480"/>
        <w:jc w:val="left"/>
      </w:pPr>
      <w:r>
        <w:rPr>
          <w:rFonts w:ascii="Times New Roman" w:cs="Times New Roman" w:eastAsia="Times New Roman" w:hAnsi="Times New Roman"/>
          <w:b/>
          <w:bCs/>
          <w:color w:val="000000"/>
          <w:sz w:val="24"/>
          <w:szCs w:val="24"/>
        </w:rPr>
        <w:t xml:space="preserve">RQ1: Confidence Interval for the AUC and Power for the Paired Contrast</w:t>
      </w:r>
    </w:p>
    <w:p>
      <w:pPr>
        <w:spacing w:after="0" w:before="0" w:line="480"/>
        <w:ind w:firstLine="720"/>
      </w:pPr>
      <w:r>
        <w:rPr>
          <w:rFonts w:ascii="Times New Roman" w:cs="Times New Roman" w:eastAsia="Times New Roman" w:hAnsi="Times New Roman"/>
          <w:sz w:val="24"/>
          <w:szCs w:val="24"/>
        </w:rPr>
        <w:t xml:space="preserve">RQ1 commits to two things: reporting each model's AUC to a stated precision, and testing one pre-specified paired contrast. The first uses the confidence interval approach of Hanley and McNeil (1982), which gives the standard error of an AUC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from the numbers of defaulters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and non-defaulters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/(2 −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2</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²/(1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SE</m:t>
        </m:r>
        <m:d>
          <m:dPr/>
          <m:e>
            <m:r>
              <m:t>A</m:t>
            </m:r>
          </m:e>
        </m:d>
        <m:r>
          <m:t> = </m:t>
        </m:r>
        <m:rad>
          <m:radPr>
            <m:degHide m:val="1"/>
          </m:radPr>
          <m:deg/>
          <m:e>
            <m:f>
              <m:num>
                <m:r>
                  <m:t>A</m:t>
                </m:r>
                <m:d>
                  <m:dPr/>
                  <m:e>
                    <m:r>
                      <m:t>1 − A</m:t>
                    </m:r>
                  </m:e>
                </m:d>
                <m:r>
                  <m:t> + </m:t>
                </m:r>
                <m:d>
                  <m:dPr/>
                  <m:e>
                    <m:sSub>
                      <m:sSubPr/>
                      <m:e>
                        <m:r>
                          <m:t>n</m:t>
                        </m:r>
                      </m:e>
                      <m:sub>
                        <m:r>
                          <m:t>D</m:t>
                        </m:r>
                      </m:sub>
                    </m:sSub>
                    <m:r>
                      <m:t> − 1</m:t>
                    </m:r>
                  </m:e>
                </m:d>
                <m:d>
                  <m:dPr/>
                  <m:e>
                    <m:sSub>
                      <m:sSubPr/>
                      <m:e>
                        <m:r>
                          <m:t>Q</m:t>
                        </m:r>
                      </m:e>
                      <m:sub>
                        <m:r>
                          <m:t>1</m:t>
                        </m:r>
                      </m:sub>
                    </m:sSub>
                    <m:r>
                      <m:t> − </m:t>
                    </m:r>
                    <m:sSup>
                      <m:sSupPr/>
                      <m:e>
                        <m:r>
                          <m:t>A</m:t>
                        </m:r>
                      </m:e>
                      <m:sup>
                        <m:r>
                          <m:t>2</m:t>
                        </m:r>
                      </m:sup>
                    </m:sSup>
                  </m:e>
                </m:d>
                <m:r>
                  <m:t> + </m:t>
                </m:r>
                <m:d>
                  <m:dPr/>
                  <m:e>
                    <m:sSub>
                      <m:sSubPr/>
                      <m:e>
                        <m:r>
                          <m:t>n</m:t>
                        </m:r>
                      </m:e>
                      <m:sub>
                        <m:r>
                          <m:t>N</m:t>
                        </m:r>
                      </m:sub>
                    </m:sSub>
                    <m:r>
                      <m:t> − 1</m:t>
                    </m:r>
                  </m:e>
                </m:d>
                <m:d>
                  <m:dPr/>
                  <m:e>
                    <m:sSub>
                      <m:sSubPr/>
                      <m:e>
                        <m:r>
                          <m:t>Q</m:t>
                        </m:r>
                      </m:e>
                      <m:sub>
                        <m:r>
                          <m:t>2</m:t>
                        </m:r>
                      </m:sub>
                    </m:sSub>
                    <m:r>
                      <m:t> − </m:t>
                    </m:r>
                    <m:sSup>
                      <m:sSupPr/>
                      <m:e>
                        <m:r>
                          <m:t>A</m:t>
                        </m:r>
                      </m:e>
                      <m:sup>
                        <m:r>
                          <m:t>2</m:t>
                        </m:r>
                      </m:sup>
                    </m:sSup>
                  </m:e>
                </m:d>
              </m:num>
              <m:den>
                <m:sSub>
                  <m:sSubPr/>
                  <m:e>
                    <m:r>
                      <m:t>n</m:t>
                    </m:r>
                  </m:e>
                  <m:sub>
                    <m:r>
                      <m:t>D</m:t>
                    </m:r>
                  </m:sub>
                </m:sSub>
                <m:r>
                  <m:t> </m:t>
                </m:r>
                <m:sSub>
                  <m:sSubPr/>
                  <m:e>
                    <m:r>
                      <m:t>n</m:t>
                    </m:r>
                  </m:e>
                  <m:sub>
                    <m:r>
                      <m:t>N</m:t>
                    </m:r>
                  </m:sub>
                </m:sSub>
              </m:den>
            </m:f>
          </m:e>
        </m:rad>
      </m:oMath>
      <w:r>
        <w:rPr>
          <w:rFonts w:ascii="Times New Roman" w:cs="Times New Roman" w:eastAsia="Times New Roman" w:hAnsi="Times New Roman"/>
          <w:sz w:val="24"/>
          <w:szCs w:val="24"/>
        </w:rPr>
        <w:t xml:space="preserve">	(1)</w:t>
      </w:r>
    </w:p>
    <w:p>
      <w:pPr>
        <w:spacing w:after="0" w:before="0" w:line="480"/>
        <w:ind w:firstLine="720"/>
      </w:pPr>
      <w:r>
        <w:rPr>
          <w:rFonts w:ascii="Times New Roman" w:cs="Times New Roman" w:eastAsia="Times New Roman" w:hAnsi="Times New Roman"/>
          <w:sz w:val="24"/>
          <w:szCs w:val="24"/>
        </w:rPr>
        <w:t xml:space="preserve">Step 1 sets the planning AUC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0.78, the value I expect for tuned gradient boosting from prior work with similar card portfolios. Step 2 computes the constants: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0.78/1.22 = 0.6393,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1.2168/1.78 = 0.6836,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² = 0.6084, so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² = 0.0309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² = 0.0752. Step 3 substitutes the prevalence.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 0.2212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0.7788</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large enough that the minus-one terms are immaterial, Equation 1 reduces to SE² = [0.2212(0.0309) + 0.7788(0.0752)] / (0.2212 × 0.7788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0.0654/(0.1723</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0.3797/</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Step 4 sets the precision target: a 95% CI half-width of 0.01 requires SE ≤ 0.01/1.960 = 0.005102, so SE² ≤ 2.603 × 10⁻⁵. Step 5 solves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0.3797/(2.603 × 10⁻⁵) = 14,587, and the exact solution of Equation 1 gives the same figure. At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0.75 the constant rises to 0.4114 and the requirement to 15,805.</w:t>
      </w:r>
    </w:p>
    <w:p>
      <w:pPr>
        <w:spacing w:after="0" w:before="0" w:line="480"/>
        <w:ind w:firstLine="720"/>
      </w:pPr>
      <w:r>
        <w:rPr>
          <w:rFonts w:ascii="Times New Roman" w:cs="Times New Roman" w:eastAsia="Times New Roman" w:hAnsi="Times New Roman"/>
          <w:sz w:val="24"/>
          <w:szCs w:val="24"/>
        </w:rPr>
        <w:t xml:space="preserve">The second calculation powers the DeLong test of H1. Two AUCs estimated on the same cardholders are correlated, and with equal standard errors Var(</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GB</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vertAlign w:val="subscript"/>
        </w:rPr>
        <w:t xml:space="preserve">LR</w:t>
      </w:r>
      <w:r>
        <w:rPr>
          <w:rFonts w:ascii="Times New Roman" w:cs="Times New Roman" w:eastAsia="Times New Roman" w:hAnsi="Times New Roman"/>
          <w:sz w:val="24"/>
          <w:szCs w:val="24"/>
        </w:rPr>
        <w:t xml:space="preserve">) = 2(1 −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)SE², where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is the correlation between the two estimates. Step 6 sets the minimum detectable improvement at Δ = 0.02, below the four to six points I expect, with two-sided α = 0.05 and power 0.80. Step 7 sets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0.70, the assumption discussed under RQ4. Step 8 solves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0.3797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0.975</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0.80</w:t>
      </w:r>
      <w:r>
        <w:rPr>
          <w:rFonts w:ascii="Times New Roman" w:cs="Times New Roman" w:eastAsia="Times New Roman" w:hAnsi="Times New Roman"/>
          <w:sz w:val="24"/>
          <w:szCs w:val="24"/>
        </w:rPr>
        <w:t xml:space="preserve">)²/Δ² = 0.6 × 0.3797 × 7.849/0.0004 = 4,470, or 7,450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The paired test is powered at any sample that meets the precision target, so RQ1 takes 14,587 as its minimum.</w:t>
      </w:r>
    </w:p>
    <w:p>
      <w:pPr>
        <w:pStyle w:val="Heading2"/>
        <w:spacing w:after="0" w:before="0" w:line="480"/>
        <w:jc w:val="left"/>
      </w:pPr>
      <w:r>
        <w:rPr>
          <w:rFonts w:ascii="Times New Roman" w:cs="Times New Roman" w:eastAsia="Times New Roman" w:hAnsi="Times New Roman"/>
          <w:b/>
          <w:bCs/>
          <w:color w:val="000000"/>
          <w:sz w:val="24"/>
          <w:szCs w:val="24"/>
        </w:rPr>
        <w:t xml:space="preserve">RQ2: Power Analysis for Two Proportions</w:t>
      </w:r>
    </w:p>
    <w:p>
      <w:pPr>
        <w:spacing w:after="0" w:before="0" w:line="480"/>
        <w:ind w:firstLine="720"/>
      </w:pPr>
      <w:r>
        <w:rPr>
          <w:rFonts w:ascii="Times New Roman" w:cs="Times New Roman" w:eastAsia="Times New Roman" w:hAnsi="Times New Roman"/>
          <w:sz w:val="24"/>
          <w:szCs w:val="24"/>
        </w:rPr>
        <w:t xml:space="preserve">RQ2 compares two independent proportions with unequal group sizes, so I use the power formula for a two-sided two-proportion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test with allocation ratio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(Fleiss et al., 2003),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is the smaller group (male),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is the larger (female),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kp</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)/(1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and Δ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sSub>
          <m:sSubPr/>
          <m:e>
            <m:r>
              <m:t>n</m:t>
            </m:r>
          </m:e>
          <m:sub>
            <m:r>
              <m:t>1</m:t>
            </m:r>
          </m:sub>
        </m:sSub>
        <m:r>
          <m:t> = </m:t>
        </m:r>
        <m:f>
          <m:num>
            <m:sSup>
              <m:sSupPr/>
              <m:e>
                <m:d>
                  <m:dPr>
                    <m:begChr m:val="["/>
                    <m:endChr m:val="]"/>
                  </m:dPr>
                  <m:e>
                    <m:sSub>
                      <m:sSubPr/>
                      <m:e>
                        <m:r>
                          <m:t>z</m:t>
                        </m:r>
                      </m:e>
                      <m:sub>
                        <m:r>
                          <m:t>1−α/2</m:t>
                        </m:r>
                      </m:sub>
                    </m:sSub>
                    <m:rad>
                      <m:radPr>
                        <m:degHide m:val="1"/>
                      </m:radPr>
                      <m:deg/>
                      <m:e>
                        <m:d>
                          <m:dPr/>
                          <m:e>
                            <m:r>
                              <m:t>1 + 1/k</m:t>
                            </m:r>
                          </m:e>
                        </m:d>
                        <m:r>
                          <m:t> </m:t>
                        </m:r>
                        <m:r>
                          <m:t>p̄</m:t>
                        </m:r>
                        <m:d>
                          <m:dPr/>
                          <m:e>
                            <m:r>
                              <m:t>1 − p̄</m:t>
                            </m:r>
                          </m:e>
                        </m:d>
                      </m:e>
                    </m:rad>
                    <m:r>
                      <m:t> + </m:t>
                    </m:r>
                    <m:sSub>
                      <m:sSubPr/>
                      <m:e>
                        <m:r>
                          <m:t>z</m:t>
                        </m:r>
                      </m:e>
                      <m:sub>
                        <m:r>
                          <m:t>1−β</m:t>
                        </m:r>
                      </m:sub>
                    </m:sSub>
                    <m:rad>
                      <m:radPr>
                        <m:degHide m:val="1"/>
                      </m:radPr>
                      <m:deg/>
                      <m:e>
                        <m:sSub>
                          <m:sSubPr/>
                          <m:e>
                            <m:r>
                              <m:t>p</m:t>
                            </m:r>
                          </m:e>
                          <m:sub>
                            <m:r>
                              <m:t>1</m:t>
                            </m:r>
                          </m:sub>
                        </m:sSub>
                        <m:d>
                          <m:dPr/>
                          <m:e>
                            <m:r>
                              <m:t>1 − </m:t>
                            </m:r>
                            <m:sSub>
                              <m:sSubPr/>
                              <m:e>
                                <m:r>
                                  <m:t>p</m:t>
                                </m:r>
                              </m:e>
                              <m:sub>
                                <m:r>
                                  <m:t>1</m:t>
                                </m:r>
                              </m:sub>
                            </m:sSub>
                          </m:e>
                        </m:d>
                        <m:r>
                          <m:t> + </m:t>
                        </m:r>
                        <m:sSub>
                          <m:sSubPr/>
                          <m:e>
                            <m:r>
                              <m:t>p</m:t>
                            </m:r>
                          </m:e>
                          <m:sub>
                            <m:r>
                              <m:t>2</m:t>
                            </m:r>
                          </m:sub>
                        </m:sSub>
                        <m:d>
                          <m:dPr/>
                          <m:e>
                            <m:r>
                              <m:t>1 − </m:t>
                            </m:r>
                            <m:sSub>
                              <m:sSubPr/>
                              <m:e>
                                <m:r>
                                  <m:t>p</m:t>
                                </m:r>
                              </m:e>
                              <m:sub>
                                <m:r>
                                  <m:t>2</m:t>
                                </m:r>
                              </m:sub>
                            </m:sSub>
                          </m:e>
                        </m:d>
                        <m:r>
                          <m:t>/k</m:t>
                        </m:r>
                      </m:e>
                    </m:rad>
                  </m:e>
                </m:d>
              </m:e>
              <m:sup>
                <m:r>
                  <m:t>2</m:t>
                </m:r>
              </m:sup>
            </m:sSup>
          </m:num>
          <m:den>
            <m:sSup>
              <m:sSupPr/>
              <m:e>
                <m:r>
                  <m:t>Δ</m:t>
                </m:r>
              </m:e>
              <m:sup>
                <m:r>
                  <m:t>2</m:t>
                </m:r>
              </m:sup>
            </m:sSup>
          </m:den>
        </m:f>
      </m:oMath>
      <w:r>
        <w:rPr>
          <w:rFonts w:ascii="Times New Roman" w:cs="Times New Roman" w:eastAsia="Times New Roman" w:hAnsi="Times New Roman"/>
          <w:sz w:val="24"/>
          <w:szCs w:val="24"/>
        </w:rPr>
        <w:t xml:space="preserve">	(2)</w:t>
      </w:r>
    </w:p>
    <w:p>
      <w:pPr>
        <w:spacing w:after="0" w:before="0" w:line="480"/>
        <w:ind w:firstLine="720"/>
      </w:pPr>
      <w:r>
        <w:rPr>
          <w:rFonts w:ascii="Times New Roman" w:cs="Times New Roman" w:eastAsia="Times New Roman" w:hAnsi="Times New Roman"/>
          <w:sz w:val="24"/>
          <w:szCs w:val="24"/>
        </w:rPr>
        <w:t xml:space="preserve">Step 1 sets the planned minimum meaningful difference at Δ = 0.03, with planning values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0.24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0.21. A three-point gap is the smallest I treat as material because it moves a segment across the pricing bands most card issuers use. Step 2 sets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18,112/11,888 = 1.524. Step 3 computes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(0.24 + 1.524 × 0.21)/2.524 = 0.2219 and 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0.7781. Step 4 evaluates the two terms in the bracket. The first is 1.960 × √[(1 + 1/1.524) × 0.2219 × 0.7781] = 1.960 × √(1.656 × 0.1727) = 1.960 × √0.2860 = 1.960 × 0.5348 = 1.048. The second is 0.842 × √[0.24 × 0.76 + 0.21 × 0.79/1.524] = 0.842 × √(0.1824 + 0.1089) = 0.842 × √0.2913 = 0.842 × 0.5397 = 0.454. Step 5 squares and divides: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(1.048 + 0.454)²/0.03² = 2.257/0.0009 = 2,508 male cardholders,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1.524 × 2,508 = 3,821 female cardholders, 6,329 in total. Step 6 converts to a dataset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2,508/0.3963 = 6,329, since the sexes are drawn in the file's own proportions. Cohen's (1988)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for this difference is 2 arcsin√0.24 − 2 arcsin√0.21 = 0.072, a small effect. The age-band test is a secondary 2 × 4 chi-square with three degrees of freedom. For a small effect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0.10 at α = 0.05 and power 0.80 the non-centrality parameter is 10.91 (Cohen, 1988), so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10.91/0.10² = 1,091, which the sex comparison dominates.</w:t>
      </w:r>
    </w:p>
    <w:p>
      <w:pPr>
        <w:pStyle w:val="Heading2"/>
        <w:spacing w:after="0" w:before="0" w:line="480"/>
        <w:jc w:val="left"/>
      </w:pPr>
      <w:r>
        <w:rPr>
          <w:rFonts w:ascii="Times New Roman" w:cs="Times New Roman" w:eastAsia="Times New Roman" w:hAnsi="Times New Roman"/>
          <w:b/>
          <w:bCs/>
          <w:color w:val="000000"/>
          <w:sz w:val="24"/>
          <w:szCs w:val="24"/>
        </w:rPr>
        <w:t xml:space="preserve">RQ3: Power Analysis for the False-Decline Rate Gap</w:t>
      </w:r>
    </w:p>
    <w:p>
      <w:pPr>
        <w:spacing w:after="0" w:before="0" w:line="480"/>
        <w:ind w:firstLine="720"/>
      </w:pPr>
      <w:r>
        <w:rPr>
          <w:rFonts w:ascii="Times New Roman" w:cs="Times New Roman" w:eastAsia="Times New Roman" w:hAnsi="Times New Roman"/>
          <w:sz w:val="24"/>
          <w:szCs w:val="24"/>
        </w:rPr>
        <w:t xml:space="preserve">RQ3 tests a difference in false-decline rates, which only non-defaulters enter, so the comparison groups are the 9,015 male and 14,349 female non-defaulters, and Equation 2 applies with the counts restricted to non-defaulters and then inflated to the full population. Step 1 sets the minimum detectable gap at Δ = 0.05, the benchmark in RQ3, with planning values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0.19 and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 0.14, bracketing the overall rate of about 0.165 implied by a 25% flag rate at an AUC near 0.78. Step 2 sets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14,349/9,015 = 1.592. Step 3 computes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(0.19 + 1.592 × 0.14)/2.592 = 0.1593 and 1 −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0.8407. Step 4 evaluates the bracket. The first term is 1.960 × √[(1 + 1/1.592) × 0.1593 × 0.8407] = 1.960 × √(1.628 × 0.1339) = 1.960 × √0.2181 = 1.960 × 0.4670 = 0.915. The second is 0.842 × √[0.19 × 0.81 + 0.14 × 0.86/1.592] = 0.842 × √(0.1539 + 0.0756) = 0.842 × √0.2295 = 0.842 × 0.4791 = 0.403. Step 5 squares and divides: (0.915 + 0.403)²/0.05² = 1.738/0.0025 = 695 male non-defaulters, and 1.592 × 695 = 1,107 female non-defaulters, 1,802 in total. Step 6 inflates to the full population. Male non-defaulters are 0.3963 × 0.7583 = 0.3005 of all cardholders, so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695/0.3005 = 2,314. At the full 30,000 the 95% CI for the gap has a half-width of about 1.960 × √[0.165 × 0.835 × (1/9,015 + 1/14,349)] = 0.010, so a point estimate within ±0.04 places the whole interval inside the ±0.05 band.</w:t>
      </w:r>
    </w:p>
    <w:p>
      <w:pPr>
        <w:pStyle w:val="Heading2"/>
        <w:spacing w:after="0" w:before="0" w:line="480"/>
        <w:jc w:val="left"/>
      </w:pPr>
      <w:r>
        <w:rPr>
          <w:rFonts w:ascii="Times New Roman" w:cs="Times New Roman" w:eastAsia="Times New Roman" w:hAnsi="Times New Roman"/>
          <w:b/>
          <w:bCs/>
          <w:color w:val="000000"/>
          <w:sz w:val="24"/>
          <w:szCs w:val="24"/>
        </w:rPr>
        <w:t xml:space="preserve">RQ4: Non-Inferiority Test for Paired AUCs After Reweighing</w:t>
      </w:r>
    </w:p>
    <w:p>
      <w:pPr>
        <w:spacing w:after="0" w:before="0" w:line="480"/>
        <w:ind w:firstLine="720"/>
      </w:pPr>
      <w:r>
        <w:rPr>
          <w:rFonts w:ascii="Times New Roman" w:cs="Times New Roman" w:eastAsia="Times New Roman" w:hAnsi="Times New Roman"/>
          <w:sz w:val="24"/>
          <w:szCs w:val="24"/>
        </w:rPr>
        <w:t xml:space="preserve">RQ4's inferential test applies to reweighing only, because threshold adjustment does not change the scores. The baseline and reweighed models score the same cardholders, so their AUCs are correlated, and the appropriate comparison is the correlated-AUC test of DeLong et al. (1988) framed as a one-sided non-inferiority test. Step 1 sets the margin at δ = 0.01, the largest AUC loss the lender accepts in exchange for closing the fairness gap, with one-sided α = 0.05, power 0.80, and a true difference of zero. Step 2 sets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0.70. I have not found a published estimate of the AUC correlation between a model and its reweighed retraining, so 0.70 is a planning assumption, chosen below the correlation two models fitted to the same features on the same rows would usually show, and checked in Step 6. Step 3 sets the requirement δ/SE</w:t>
      </w:r>
      <w:r>
        <w:rPr>
          <w:rFonts w:ascii="Times New Roman" w:cs="Times New Roman" w:eastAsia="Times New Roman" w:hAnsi="Times New Roman"/>
          <w:sz w:val="24"/>
          <w:szCs w:val="24"/>
          <w:vertAlign w:val="subscript"/>
        </w:rPr>
        <w:t xml:space="preserve">diff</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0.95</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vertAlign w:val="subscript"/>
        </w:rPr>
        <w:t xml:space="preserve">0.80</w:t>
      </w:r>
      <w:r>
        <w:rPr>
          <w:rFonts w:ascii="Times New Roman" w:cs="Times New Roman" w:eastAsia="Times New Roman" w:hAnsi="Times New Roman"/>
          <w:sz w:val="24"/>
          <w:szCs w:val="24"/>
        </w:rPr>
        <w:t xml:space="preserve"> = 1.645 + 0.842 = 2.487, so SE</w:t>
      </w:r>
      <w:r>
        <w:rPr>
          <w:rFonts w:ascii="Times New Roman" w:cs="Times New Roman" w:eastAsia="Times New Roman" w:hAnsi="Times New Roman"/>
          <w:sz w:val="24"/>
          <w:szCs w:val="24"/>
          <w:vertAlign w:val="subscript"/>
        </w:rPr>
        <w:t xml:space="preserve">diff</w:t>
      </w:r>
      <w:r>
        <w:rPr>
          <w:rFonts w:ascii="Times New Roman" w:cs="Times New Roman" w:eastAsia="Times New Roman" w:hAnsi="Times New Roman"/>
          <w:sz w:val="24"/>
          <w:szCs w:val="24"/>
        </w:rPr>
        <w:t xml:space="preserve"> ≤ 0.01/2.487 = 0.00402. Step 4 converts to the single-AUC standard error: SE</w:t>
      </w:r>
      <w:r>
        <w:rPr>
          <w:rFonts w:ascii="Times New Roman" w:cs="Times New Roman" w:eastAsia="Times New Roman" w:hAnsi="Times New Roman"/>
          <w:sz w:val="24"/>
          <w:szCs w:val="24"/>
          <w:vertAlign w:val="subscript"/>
        </w:rPr>
        <w:t xml:space="preserve">diff</w:t>
      </w:r>
      <w:r>
        <w:rPr>
          <w:rFonts w:ascii="Times New Roman" w:cs="Times New Roman" w:eastAsia="Times New Roman" w:hAnsi="Times New Roman"/>
          <w:sz w:val="24"/>
          <w:szCs w:val="24"/>
        </w:rPr>
        <w:t xml:space="preserve"> = √(2 × 0.30) × SE = 0.7746 × SE, so SE ≤ 0.00402/0.7746 = 0.00519. Step 5 applies the RQ1 variance constant: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0.3797/0.00519² = 0.3797/(2.694 × 10⁻⁵) = 14,094, and the exact solution of Equation 1 gives 14,086. Step 6 checks sensitivity: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0.85 the requirement falls to 7,042, and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it rises to 23,474, still inside the available 30,000. The decision-level measures for threshold adjustment carry 1,000-sample stratified bootstrap intervals rather than a power calculation.</w:t>
      </w:r>
    </w:p>
    <w:p>
      <w:pPr>
        <w:keepNext/>
        <w:spacing w:after="0" w:before="240" w:line="276"/>
      </w:pPr>
      <w:r>
        <w:rPr>
          <w:rFonts w:ascii="Times New Roman" w:cs="Times New Roman" w:eastAsia="Times New Roman" w:hAnsi="Times New Roman"/>
          <w:b/>
          <w:bCs/>
          <w:sz w:val="24"/>
          <w:szCs w:val="24"/>
        </w:rPr>
        <w:t xml:space="preserve">Table 1</w:t>
      </w:r>
    </w:p>
    <w:p>
      <w:pPr>
        <w:keepNext/>
        <w:spacing w:after="120" w:before="0" w:line="276"/>
      </w:pPr>
      <w:r>
        <w:rPr>
          <w:rFonts w:ascii="Times New Roman" w:cs="Times New Roman" w:eastAsia="Times New Roman" w:hAnsi="Times New Roman"/>
          <w:i/>
          <w:iCs/>
          <w:sz w:val="24"/>
          <w:szCs w:val="24"/>
        </w:rPr>
        <w:t xml:space="preserve">Sample Size Requirement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260"/>
        <w:gridCol w:w="1800"/>
      </w:tblGrid>
      <w:tr>
        <w:trPr>
          <w:cantSplit/>
          <w:tblHeader/>
        </w:trPr>
        <w:tc>
          <w:tcPr>
            <w:tcW w:type="dxa" w:w="1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Research question</w:t>
            </w:r>
          </w:p>
        </w:tc>
        <w:tc>
          <w:tcPr>
            <w:tcW w:type="dxa" w:w="2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Method used</w:t>
            </w:r>
          </w:p>
        </w:tc>
        <w:tc>
          <w:tcPr>
            <w:tcW w:type="dxa" w:w="32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Key parameters</w:t>
            </w:r>
          </w:p>
        </w:tc>
        <w:tc>
          <w:tcPr>
            <w:tcW w:type="dxa" w:w="18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Minimum sample size (N)</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 model performance</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Confidence interval for AUC (Hanley &amp; McNeil, 1982), plus power for the paired DeLong contrast</w:t>
            </w: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 = 0.78, prevalence = 0.2212, 95% CI half-width e = 0.01, z = 1.960; paired: Δ = 0.02, r = 0.70, α = 0.05 (two-sided), power = 0.80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14,587 (precision); 4,470 (paired test)</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 outcome disparity</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Power analysis, two-proportion z test, unequal allocation (Fleiss et al., 2003)</w:t>
            </w: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0.05 (two-sided), power = 0.80, p1 = 0.24, p2 = 0.21, Δ = 0.03, k = 1.524, Cohen's h = 0.072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6,329 (2,508 male, 3,821 female)</w:t>
            </w:r>
          </w:p>
        </w:tc>
      </w:tr>
      <w:tr>
        <w:trPr>
          <w:cantSplit/>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 fairness at cut-off</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Power analysis, two-proportion z test on false-decline rate within non-defaulters, inflated by non-default share</w:t>
            </w:r>
          </w:p>
        </w:tc>
        <w:tc>
          <w:tcPr>
            <w:tcW w:type="dxa" w:w="3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0.05, power = 0.80, FDR = 0.19 vs 0.14, Δ = 0.05, k = 1.592, male non-defaulter share = 0.3005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2,314 (1,802 non-defaulters)</w:t>
            </w:r>
          </w:p>
        </w:tc>
      </w:tr>
      <w:tr>
        <w:trPr>
          <w:cantSplit/>
        </w:trPr>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 mitigation trade-offs</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Power analysis, one-sided non-inferiority of correlated AUCs (DeLong et al., 1988), reweighing only</w:t>
            </w:r>
          </w:p>
        </w:tc>
        <w:tc>
          <w:tcPr>
            <w:tcW w:type="dxa" w:w="32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α = 0.05 (one-sided), power = 0.80, margin δ = 0.01, r = 0.70 (sensitivity 0.50 to 0.85), A = 0.78</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14,086 (23,474 at r = 0.50)</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All calculations use the dataset's observed prevalence (22.12%) and sex split (39.63% male). AUC = area under the receiver operating characteristic curve. FDR = false-decline rate. Threshold adjustment in RQ4 is evaluated with bootstrap intervals on decision-level measures and is not sized by power.</w:t>
      </w:r>
    </w:p>
    <w:p>
      <w:pPr>
        <w:pStyle w:val="Heading2"/>
        <w:spacing w:after="0" w:before="0" w:line="480"/>
        <w:jc w:val="left"/>
      </w:pPr>
      <w:r>
        <w:rPr>
          <w:rFonts w:ascii="Times New Roman" w:cs="Times New Roman" w:eastAsia="Times New Roman" w:hAnsi="Times New Roman"/>
          <w:b/>
          <w:bCs/>
          <w:color w:val="000000"/>
          <w:sz w:val="24"/>
          <w:szCs w:val="24"/>
        </w:rPr>
        <w:t xml:space="preserve">Final Sample Size Decision</w:t>
      </w:r>
    </w:p>
    <w:p>
      <w:pPr>
        <w:spacing w:after="0" w:before="0" w:line="480"/>
        <w:ind w:firstLine="720"/>
      </w:pPr>
      <w:r>
        <w:rPr>
          <w:rFonts w:ascii="Times New Roman" w:cs="Times New Roman" w:eastAsia="Times New Roman" w:hAnsi="Times New Roman"/>
          <w:sz w:val="24"/>
          <w:szCs w:val="24"/>
        </w:rPr>
        <w:t xml:space="preserve">The final minimum sample size is the maximum across the four research questions under the primary assumptions: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 max(14,587, 6,329, 2,314, 14,086) = 14,587, set by the AUC precision target in RQ1. The dataset holds 30,000 cardholders, 2.06 times the minimum, and I will use the full file for every research question rather than subsample. The most conservative sensitivity case, RQ4 at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0.50, requires 23,474, which the full file also covers. If a compute constraint ever forced a reduction, 14,587 is the floor, drawn by stratified sampling on sex and default status with seed 640 so that the Table 1 allocation ratios hold.</w:t>
      </w:r>
    </w:p>
    <w:p>
      <w:pPr>
        <w:pStyle w:val="Heading1"/>
        <w:spacing w:after="0" w:before="0" w:line="480"/>
        <w:jc w:val="center"/>
      </w:pPr>
      <w:r>
        <w:rPr>
          <w:rFonts w:ascii="Times New Roman" w:cs="Times New Roman" w:eastAsia="Times New Roman" w:hAnsi="Times New Roman"/>
          <w:b/>
          <w:bCs/>
          <w:color w:val="000000"/>
          <w:sz w:val="24"/>
          <w:szCs w:val="24"/>
        </w:rPr>
        <w:t xml:space="preserve">Data Description</w:t>
      </w:r>
    </w:p>
    <w:p>
      <w:pPr>
        <w:pStyle w:val="Heading2"/>
        <w:spacing w:after="0" w:before="0" w:line="480"/>
        <w:jc w:val="left"/>
      </w:pPr>
      <w:r>
        <w:rPr>
          <w:rFonts w:ascii="Times New Roman" w:cs="Times New Roman" w:eastAsia="Times New Roman" w:hAnsi="Times New Roman"/>
          <w:b/>
          <w:bCs/>
          <w:color w:val="000000"/>
          <w:sz w:val="24"/>
          <w:szCs w:val="24"/>
        </w:rPr>
        <w:t xml:space="preserve">Data Source</w:t>
      </w:r>
    </w:p>
    <w:p>
      <w:pPr>
        <w:spacing w:after="0" w:before="0" w:line="480"/>
        <w:ind w:firstLine="720"/>
      </w:pPr>
      <w:r>
        <w:rPr>
          <w:rFonts w:ascii="Times New Roman" w:cs="Times New Roman" w:eastAsia="Times New Roman" w:hAnsi="Times New Roman"/>
          <w:sz w:val="24"/>
          <w:szCs w:val="24"/>
        </w:rPr>
        <w:t xml:space="preserve">The study uses dataset 350, Default of Credit Card Clients, from the UCI Machine Learning Repository, derived from the study by Yeh and Lien (2009) and donated to the repository on 25 January 2016. The file describes 30,000 cardholders of a Taiwanese card issuer observed from April to September 2005, with the target recording whether each cardholder missed the October 2005 payment. It is available at https://archive.ics.uci.edu/dataset/350/default+of+credit+card+clients under the persistent identifier https://doi.org/10.24432/C55S3H, and the repository's recommended citation is Yeh (2009). The repository distributes one Excel file of 5.3 MB with 30,000 rows and 25 columns: a row identifier, 23 predictors, and the binary target, which equals 1 for 6,636 cardholders (22.12%), under a Creative Commons Attribution 4.0 licence with no missing values reported.</w:t>
      </w:r>
    </w:p>
    <w:p>
      <w:pPr>
        <w:pStyle w:val="Heading2"/>
        <w:spacing w:after="0" w:before="0" w:line="480"/>
        <w:jc w:val="left"/>
      </w:pPr>
      <w:r>
        <w:rPr>
          <w:rFonts w:ascii="Times New Roman" w:cs="Times New Roman" w:eastAsia="Times New Roman" w:hAnsi="Times New Roman"/>
          <w:b/>
          <w:bCs/>
          <w:color w:val="000000"/>
          <w:sz w:val="24"/>
          <w:szCs w:val="24"/>
        </w:rPr>
        <w:t xml:space="preserve">Data Dictionary</w:t>
      </w:r>
    </w:p>
    <w:p>
      <w:pPr>
        <w:spacing w:after="0" w:before="0" w:line="480"/>
        <w:ind w:firstLine="720"/>
      </w:pPr>
      <w:r>
        <w:rPr>
          <w:rFonts w:ascii="Times New Roman" w:cs="Times New Roman" w:eastAsia="Times New Roman" w:hAnsi="Times New Roman"/>
          <w:sz w:val="24"/>
          <w:szCs w:val="24"/>
        </w:rPr>
        <w:t xml:space="preserve">Table 2 defines every variable in the file, the four engineered features, and the two simulated decision variables. Where the repository documentation is silent, the table records my interpretation as an assumption.</w:t>
      </w:r>
    </w:p>
    <w:p>
      <w:pPr>
        <w:keepNext/>
        <w:spacing w:after="0" w:before="240" w:line="276"/>
      </w:pPr>
      <w:r>
        <w:rPr>
          <w:rFonts w:ascii="Times New Roman" w:cs="Times New Roman" w:eastAsia="Times New Roman" w:hAnsi="Times New Roman"/>
          <w:b/>
          <w:bCs/>
          <w:sz w:val="24"/>
          <w:szCs w:val="24"/>
        </w:rPr>
        <w:t xml:space="preserve">Table 2</w:t>
      </w:r>
    </w:p>
    <w:p>
      <w:pPr>
        <w:keepNext/>
        <w:spacing w:after="120" w:before="0" w:line="276"/>
      </w:pPr>
      <w:r>
        <w:rPr>
          <w:rFonts w:ascii="Times New Roman" w:cs="Times New Roman" w:eastAsia="Times New Roman" w:hAnsi="Times New Roman"/>
          <w:i/>
          <w:iCs/>
          <w:sz w:val="24"/>
          <w:szCs w:val="24"/>
        </w:rPr>
        <w:t xml:space="preserve">Data Dictionary for the Default of Credit Card Clients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2250"/>
        <w:gridCol w:w="2360"/>
        <w:gridCol w:w="1600"/>
      </w:tblGrid>
      <w:tr>
        <w:trPr>
          <w:cantSplit/>
          <w:tblHeader/>
        </w:trPr>
        <w:tc>
          <w:tcPr>
            <w:tcW w:type="dxa" w:w="1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Variable</w:t>
            </w:r>
          </w:p>
        </w:tc>
        <w:tc>
          <w:tcPr>
            <w:tcW w:type="dxa" w:w="14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Type</w:t>
            </w:r>
          </w:p>
        </w:tc>
        <w:tc>
          <w:tcPr>
            <w:tcW w:type="dxa" w:w="22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Meaning</w:t>
            </w:r>
          </w:p>
        </w:tc>
        <w:tc>
          <w:tcPr>
            <w:tcW w:type="dxa" w:w="23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Units or coding</w:t>
            </w:r>
          </w:p>
        </w:tc>
        <w:tc>
          <w:tcPr>
            <w:tcW w:type="dxa" w:w="16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Role in study</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Integer</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Row identifier assigned by the data owner</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to 30,000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Excluded from modelling; keys the out-of-fold predictions</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LIMIT_BAL</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Credit limit granted, including supplementary cards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10,000 to 1,000,000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candidate proxy for sex</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nominal</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Sex as recorded by the issuer in 2005; two administrative categories only</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male, 2 = female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Primary protected attribute (RQ2 to RQ4); excluded from the unaware model</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EDUCATION</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Highest education attained</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graduate school, 2 = university, 3 = high school, 4 = other; values 0, 5, 6 are undocumented and kept as one distinct level (assumption)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excluded from the unaware model</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MARRIAGE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nominal</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Marital status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married, 2 = single, 3 = other; value 0 is undocumented and kept as a distinct level (assumption)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excluded from the unaware model</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discrete</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at observation</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Years, 21 to 79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source of AGE_BAND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PAY_0, PAY_2 to PAY_6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 (6 fields)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Repayment status in September, August, July, June, May, and April 2005</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to 9 = months of payment delay (documented); −2 and 0 are undocumented, interpreted as no consumption and revolving use (assumption, tested by sensitivity)</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behavioural signal, strongest expected predictors</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BILL_AMT1 to BILL_AMT6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 (6 fields)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Statement balance, September through April 2005</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negative values are credit balances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PAY_AMT1 to PAY_AMT6</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 (6 fields)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Amount paid, September through April 2005</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NT$, non-negative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DEFAULT (default payment next month)</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Observed missed payment in October 2005</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default, 0 = no default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Dependent variable for RQ1 to RQ4</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AGE_BAND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Categorical, ordinal</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Age grouped into four bands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&lt; 30, 30 to 39, 40 to 49, ≥ 50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Secondary protected attribute (RQ2)</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UTILISATION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Latest statement balance divided by credit limit</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Ratio, BILL_AMT1 / LIMIT_BAL; negative where the balance is a credit, above 1 where over limit; both retained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PAY_RATIO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continuous</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Latest payment divided by prior statement balance</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Ratio, PAY_AMT1 / BILL_AMT2, capped at 1; set to 1 where BILL_AMT2 ≤ 0 (nothing owed)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MAX_DELAY (derived)</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Numeric, discrete</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Worst repayment-status code over six months</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Code, −2 to 9, max of PAY_0 to PAY_6; not a duration</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engineered</w:t>
            </w:r>
          </w:p>
        </w:tc>
      </w:tr>
      <w:tr>
        <w:trPr>
          <w:cantSplit/>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FLAG (derived decision)</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2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Simulated referral or decline: score above the cut-off</w:t>
            </w:r>
          </w:p>
        </w:tc>
        <w:tc>
          <w:tcPr>
            <w:tcW w:type="dxa" w:w="23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flagged, 0 = not flagged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Numerator of the false-decline rate within non-defaulters (RQ3, RQ4)</w:t>
            </w:r>
          </w:p>
        </w:tc>
      </w:tr>
      <w:tr>
        <w:trPr>
          <w:cantSplit/>
        </w:trPr>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RETAIN (derived decision)</w:t>
            </w:r>
          </w:p>
        </w:tc>
        <w:tc>
          <w:tcPr>
            <w:tcW w:type="dxa" w:w="14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Binary</w:t>
            </w:r>
          </w:p>
        </w:tc>
        <w:tc>
          <w:tcPr>
            <w:tcW w:type="dxa" w:w="22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Simulated favourable decision: 1 − FLAG</w:t>
            </w:r>
          </w:p>
        </w:tc>
        <w:tc>
          <w:tcPr>
            <w:tcW w:type="dxa" w:w="23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 = retained, 0 = flagged</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Favourable-selection rate by group; numerator and denominator of the DI ratio (RQ3, RQ4)</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NT$ = New Taiwan dollars. DI = disparate impact. The unaware model is the configuration audited in RQ3, trained with SEX, EDUCATION, and MARRIAGE removed. An aware model including them is trained for comparison. Variable names follow the column headers in the source file.</w:t>
      </w:r>
    </w:p>
    <w:p>
      <w:pPr>
        <w:pStyle w:val="Heading2"/>
        <w:spacing w:after="0" w:before="0" w:line="480"/>
        <w:jc w:val="left"/>
      </w:pPr>
      <w:r>
        <w:rPr>
          <w:rFonts w:ascii="Times New Roman" w:cs="Times New Roman" w:eastAsia="Times New Roman" w:hAnsi="Times New Roman"/>
          <w:b/>
          <w:bCs/>
          <w:color w:val="000000"/>
          <w:sz w:val="24"/>
          <w:szCs w:val="24"/>
        </w:rPr>
        <w:t xml:space="preserve">Known Quality Issues and Cleaning Plan</w:t>
      </w:r>
    </w:p>
    <w:p>
      <w:pPr>
        <w:spacing w:after="0" w:before="0" w:line="480"/>
        <w:ind w:firstLine="720"/>
      </w:pPr>
      <w:r>
        <w:rPr>
          <w:rFonts w:ascii="Times New Roman" w:cs="Times New Roman" w:eastAsia="Times New Roman" w:hAnsi="Times New Roman"/>
          <w:sz w:val="24"/>
          <w:szCs w:val="24"/>
        </w:rPr>
        <w:t xml:space="preserve">Three coding problems are visible in the raw file. EDUCATION contains values 0, 5, and 6 that the documentation does not define, in roughly 345 rows, and MARRIAGE contains an undocumented 0 in 54 rows. Both are kept as a distinct undocumented level rather than merged into the documented other category, so that the assumption stays visible, and a sensitivity run merges them to confirm the choice does not move the results. The repayment-status fields contain −2 and 0, which the repository does not define. I interpret them as no consumption and revolving use, as published analyses commonly do, and a sensitivity run collapses both into one non-delinquent code. The identifier is unique, so no de-duplication is required. Monetary variables are right-skewed and are log-transformed for the logistic model only, with the transform fitted inside each training fold. No row is dropped at any step, so the evaluation pool stays at 30,000.</w:t>
      </w:r>
    </w:p>
    <w:p>
      <w:pPr>
        <w:pStyle w:val="Heading2"/>
        <w:spacing w:after="0" w:before="0" w:line="480"/>
        <w:jc w:val="left"/>
      </w:pPr>
      <w:r>
        <w:rPr>
          <w:rFonts w:ascii="Times New Roman" w:cs="Times New Roman" w:eastAsia="Times New Roman" w:hAnsi="Times New Roman"/>
          <w:b/>
          <w:bCs/>
          <w:color w:val="000000"/>
          <w:sz w:val="24"/>
          <w:szCs w:val="24"/>
        </w:rPr>
        <w:t xml:space="preserve">Data Access and Repository</w:t>
      </w:r>
    </w:p>
    <w:p>
      <w:pPr>
        <w:spacing w:after="0" w:before="0" w:line="480"/>
        <w:ind w:firstLine="720"/>
      </w:pPr>
      <w:r>
        <w:rPr>
          <w:rFonts w:ascii="Times New Roman" w:cs="Times New Roman" w:eastAsia="Times New Roman" w:hAnsi="Times New Roman"/>
          <w:sz w:val="24"/>
          <w:szCs w:val="24"/>
        </w:rPr>
        <w:t xml:space="preserve">All code, the data dictionary, and every result table and figure will be held in a public GitHub repository at https://github.com/mriyer-walsh/qm640-credit-fairness, whose planned layout and run instructions appear in Appendix A. At the time of this synopsis the repository holds the README with the dataset citation and licence, the data dictionary as a CSV, the download script that fetches the file and verifies its SHA-256 checksum, and the sample-size script that reproduces Table 1. The notebooks and results folders fill as each week in Table 4 completes, and Appendix A marks which items exist and which are planned. Every random process uses the seed 640.</w:t>
      </w:r>
    </w:p>
    <w:p>
      <w:pPr>
        <w:pStyle w:val="Heading2"/>
        <w:spacing w:after="0" w:before="0" w:line="480"/>
        <w:jc w:val="left"/>
      </w:pPr>
      <w:r>
        <w:rPr>
          <w:rFonts w:ascii="Times New Roman" w:cs="Times New Roman" w:eastAsia="Times New Roman" w:hAnsi="Times New Roman"/>
          <w:b/>
          <w:bCs/>
          <w:color w:val="000000"/>
          <w:sz w:val="24"/>
          <w:szCs w:val="24"/>
        </w:rPr>
        <w:t xml:space="preserve">Ethical Considerations and Limitations</w:t>
      </w:r>
    </w:p>
    <w:p>
      <w:pPr>
        <w:spacing w:after="0" w:before="0" w:line="480"/>
        <w:ind w:firstLine="720"/>
      </w:pPr>
      <w:r>
        <w:rPr>
          <w:rFonts w:ascii="Times New Roman" w:cs="Times New Roman" w:eastAsia="Times New Roman" w:hAnsi="Times New Roman"/>
          <w:sz w:val="24"/>
          <w:szCs w:val="24"/>
        </w:rPr>
        <w:t xml:space="preserve">The file contains no names, account numbers, addresses, or dates of birth, and the identifier is a sequential index with no link to the issuer's systems. The data were released for secondary analysis under an open licence, and I will make no attempt at re-identification or linkage with any other source. Sex and marital status are present because the issuer collected them in 2005, and SEX holds two administrative categories that do not describe the range of gender identities. I use these fields only to measure disparity, never as inputs to the audited model, and the final report will say so. A measured disparity is evidence of a group-level difference in simulated decisions, not a finding of unlawful discrimination, which depends on law, intent, and business justification that this study does not examine. Passing the two benchmarks does not establish regulatory compliance anywhere: the four-fifths heuristic comes from United States employment-selection guidelines, not Indian credit regulation, and the ±0.05 tolerance is a research choice.</w:t>
      </w:r>
    </w:p>
    <w:p>
      <w:pPr>
        <w:spacing w:after="0" w:before="0" w:line="480"/>
        <w:ind w:firstLine="720"/>
      </w:pPr>
      <w:r>
        <w:rPr>
          <w:rFonts w:ascii="Times New Roman" w:cs="Times New Roman" w:eastAsia="Times New Roman" w:hAnsi="Times New Roman"/>
          <w:sz w:val="24"/>
          <w:szCs w:val="24"/>
        </w:rPr>
        <w:t xml:space="preserve">Bias in the data has three sources the final report will carry as limitations. The sample over-represents women (60%) and university-educated cardholders (47%), so group-level findings describe this issuer's 2005 customer base. The default label is one issuer's collection outcome in one month, so a model that learns it inherits any unevenness in how the issuer pursued late payers. The file holds no income, bureau score, or regional field, and the attributes an Indian lender would audit first, such as religion, caste, or state, are absent. The study transfers to Indian retail lending as an audit method and a decision table, not as a finding about Indian borrowers.</w:t>
      </w:r>
    </w:p>
    <w:p>
      <w:pPr>
        <w:pStyle w:val="Heading1"/>
        <w:spacing w:after="0" w:before="0" w:line="480"/>
        <w:jc w:val="center"/>
      </w:pPr>
      <w:r>
        <w:rPr>
          <w:rFonts w:ascii="Times New Roman" w:cs="Times New Roman" w:eastAsia="Times New Roman" w:hAnsi="Times New Roman"/>
          <w:b/>
          <w:bCs/>
          <w:color w:val="000000"/>
          <w:sz w:val="24"/>
          <w:szCs w:val="24"/>
        </w:rPr>
        <w:t xml:space="preserve">Analytic Approach</w:t>
      </w:r>
    </w:p>
    <w:p>
      <w:pPr>
        <w:spacing w:after="0" w:before="0" w:line="480"/>
        <w:ind w:firstLine="720"/>
      </w:pPr>
      <w:r>
        <w:rPr>
          <w:rFonts w:ascii="Times New Roman" w:cs="Times New Roman" w:eastAsia="Times New Roman" w:hAnsi="Times New Roman"/>
          <w:sz w:val="24"/>
          <w:szCs w:val="24"/>
        </w:rPr>
        <w:t xml:space="preserve">Table 3 maps each research question to its hypothesis, method, assumptions, and outputs. The subsections that follow justify each method and give the evaluation metrics, the pipeline (Figure 1), and the ten-week plan (Table 4).</w:t>
      </w:r>
    </w:p>
    <w:p>
      <w:pPr>
        <w:keepNext/>
        <w:spacing w:after="0" w:before="240" w:line="276"/>
      </w:pPr>
      <w:r>
        <w:rPr>
          <w:rFonts w:ascii="Times New Roman" w:cs="Times New Roman" w:eastAsia="Times New Roman" w:hAnsi="Times New Roman"/>
          <w:b/>
          <w:bCs/>
          <w:sz w:val="24"/>
          <w:szCs w:val="24"/>
        </w:rPr>
        <w:t xml:space="preserve">Table 3</w:t>
      </w:r>
    </w:p>
    <w:p>
      <w:pPr>
        <w:keepNext/>
        <w:spacing w:after="120" w:before="0" w:line="276"/>
      </w:pPr>
      <w:r>
        <w:rPr>
          <w:rFonts w:ascii="Times New Roman" w:cs="Times New Roman" w:eastAsia="Times New Roman" w:hAnsi="Times New Roman"/>
          <w:i/>
          <w:iCs/>
          <w:sz w:val="24"/>
          <w:szCs w:val="24"/>
        </w:rPr>
        <w:t xml:space="preserve">Mapping of Research Questions to Hypotheses, Methods, Assumptions,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50"/>
        <w:gridCol w:w="2550"/>
        <w:gridCol w:w="2160"/>
        <w:gridCol w:w="2100"/>
      </w:tblGrid>
      <w:tr>
        <w:trPr>
          <w:cantSplit/>
          <w:tblHeader/>
        </w:trPr>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RQ</w:t>
            </w:r>
          </w:p>
        </w:tc>
        <w:tc>
          <w:tcPr>
            <w:tcW w:type="dxa" w:w="18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Hypothesis tested</w:t>
            </w:r>
          </w:p>
        </w:tc>
        <w:tc>
          <w:tcPr>
            <w:tcW w:type="dxa" w:w="255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Analysis method</w:t>
            </w:r>
          </w:p>
        </w:tc>
        <w:tc>
          <w:tcPr>
            <w:tcW w:type="dxa" w:w="21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Key assumptions</w:t>
            </w:r>
          </w:p>
        </w:tc>
        <w:tc>
          <w:tcPr>
            <w:tcW w:type="dxa" w:w="21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Outputs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H1: AUC of gradient boosting exceeds AUC of logistic regression (pre-specified)</w:t>
            </w:r>
          </w:p>
        </w:tc>
        <w:tc>
          <w:tcPr>
            <w:tcW w:type="dxa" w:w="2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Logistic regression, random forest, XGBoost tuned by inner CV on the fit partition; DeLong test on held-out folds; calibration check</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Rows independent and identically distributed; logistic assumes linearity in the logit; trees need adequate leaf counts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AUC with 95% CI per model, DeLong p value, KS, Brier, reliability curve, ROC plot</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H2: default rate differs by sex; H2b: default and age band are not independent</w:t>
            </w:r>
          </w:p>
        </w:tc>
        <w:tc>
          <w:tcPr>
            <w:tcW w:type="dxa" w:w="2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z test with 95% CI; chi-square test with Cramér's V; logistic regression of DEFAULT on SEX adjusting for AGE and LIMIT_BAL as a descriptive sensitivity check</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Independent observations; expected cell counts ≥ 5; normal approximation valid (np ≥ 10)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Group rates, difference with CI and p value, Cramér's V, adjusted odds ratio with CI</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H3: false-decline rate differs by sex at 75% simulated retention</w:t>
            </w:r>
          </w:p>
        </w:tc>
        <w:tc>
          <w:tcPr>
            <w:tcW w:type="dxa" w:w="255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Cut-off set on calibration partition; per-sex confusion matrices on held-out folds; RETAIN rate, DI ratio, FDR gap, TPR gap, equalized odds; 1,000-sample stratified bootstrap CIs; aware vs unaware comparison</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75% retention is a stated scenario, not an observed lender policy; held-out decisions exchangeable across folds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Fairness table by group with CIs; descriptive comparison with the 0.80 and ±0.05 benchmarks; candidate proxy features (optional SHAP)</w:t>
            </w:r>
          </w:p>
        </w:tc>
      </w:tr>
      <w:tr>
        <w:trPr>
          <w:cantSplit/>
        </w:trPr>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w:t>
            </w:r>
          </w:p>
        </w:tc>
        <w:tc>
          <w:tcPr>
            <w:tcW w:type="dxa" w:w="18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H4: reweighed AUC non-inferior within 0.01; threshold adjustment judged on decision-level measures</w:t>
            </w:r>
          </w:p>
        </w:tc>
        <w:tc>
          <w:tcPr>
            <w:tcW w:type="dxa" w:w="255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Reweighing (pre-processing) with DeLong non-inferiority test; group thresholds found by direct search on the calibration partition at common 75% retention; bootstrap CIs; trade-off table across retention rates 65% to 85%</w:t>
            </w:r>
          </w:p>
        </w:tc>
        <w:tc>
          <w:tcPr>
            <w:tcW w:type="dxa" w:w="21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Correlation between paired AUCs ≥ 0.70 (sensitivity 0.50 to 0.85); weights and thresholds set on calibration data only</w:t>
            </w:r>
          </w:p>
        </w:tc>
        <w:tc>
          <w:tcPr>
            <w:tcW w:type="dxa" w:w="21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FDR gap and DI before and after each method; AUC loss with CI (reweighing); default rate among retained at 75% with CI (both); decision table</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CV = cross-validation. DI = disparate impact ratio. FDR = false-decline rate. KS = Kolmogorov–Smirnov statistic. SHAP = Shapley additive explanations. TPR = true-positive rate.</w:t>
      </w:r>
    </w:p>
    <w:p>
      <w:pPr>
        <w:pStyle w:val="Heading2"/>
        <w:spacing w:after="0" w:before="0" w:line="480"/>
        <w:jc w:val="left"/>
      </w:pPr>
      <w:r>
        <w:rPr>
          <w:rFonts w:ascii="Times New Roman" w:cs="Times New Roman" w:eastAsia="Times New Roman" w:hAnsi="Times New Roman"/>
          <w:b/>
          <w:bCs/>
          <w:color w:val="000000"/>
          <w:sz w:val="24"/>
          <w:szCs w:val="24"/>
        </w:rPr>
        <w:t xml:space="preserve">Solution to RQ1</w:t>
      </w:r>
    </w:p>
    <w:p>
      <w:pPr>
        <w:spacing w:after="0" w:before="0" w:line="480"/>
        <w:ind w:firstLine="720"/>
      </w:pPr>
      <w:r>
        <w:rPr>
          <w:rFonts w:ascii="Times New Roman" w:cs="Times New Roman" w:eastAsia="Times New Roman" w:hAnsi="Times New Roman"/>
          <w:sz w:val="24"/>
          <w:szCs w:val="24"/>
        </w:rPr>
        <w:t xml:space="preserve">RQ1 is answered with three supervised classifiers trained on identical fit partitions and scored on identical held-out folds. Logistic regression with L2 regularisation, standardised numeric inputs, and one-hot encoded categories is the baseline, because it is the model most Indian lenders still hold in production and the one a validation unit can read line by line. Random forest (Breiman, 2001) with 500 trees is a secondary benchmark. XGBoost (Chen &amp; Guestrin, 2016) is the challenger, with learning rate, depth, subsampling, and minimum child weight tuned by randomised search inside the fit partition so that no held-out data influences a tuning choice. The contrast is fixed in advance as XGBoost against logistic regression, so the DeLong test is not applied to whichever model happens to score highest. Class imbalance is handled by class weighting. Because weighting can distort calibration, the Brier score is paired with a reliability curve and, if needed, isotonic recalibration on the calibration partition before the probabilities set any cut-off. Lessmann et al. (2015) showed that these three families bracket the achievable range on credit data, which is why I add no further algorithms, although their benchmark predates XGBoost itself. The outputs are the AUC with a 95% CI for each model, the DeLong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 for the pre-specified contrast, the KS statistic, the Brier score, a reliability curve, and a ROC plot.</w:t>
      </w:r>
    </w:p>
    <w:p>
      <w:pPr>
        <w:pStyle w:val="Heading2"/>
        <w:spacing w:after="0" w:before="0" w:line="480"/>
        <w:jc w:val="left"/>
      </w:pPr>
      <w:r>
        <w:rPr>
          <w:rFonts w:ascii="Times New Roman" w:cs="Times New Roman" w:eastAsia="Times New Roman" w:hAnsi="Times New Roman"/>
          <w:b/>
          <w:bCs/>
          <w:color w:val="000000"/>
          <w:sz w:val="24"/>
          <w:szCs w:val="24"/>
        </w:rPr>
        <w:t xml:space="preserve">Solution to RQ2</w:t>
      </w:r>
    </w:p>
    <w:p>
      <w:pPr>
        <w:spacing w:after="0" w:before="0" w:line="480"/>
        <w:ind w:firstLine="720"/>
      </w:pPr>
      <w:r>
        <w:rPr>
          <w:rFonts w:ascii="Times New Roman" w:cs="Times New Roman" w:eastAsia="Times New Roman" w:hAnsi="Times New Roman"/>
          <w:sz w:val="24"/>
          <w:szCs w:val="24"/>
        </w:rPr>
        <w:t xml:space="preserve">RQ2 is a statistical question. The sex comparison uses a two-sided two-proportion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test with a pooled standard error and a 95% CI for the difference, the test the RQ2 power calculation was built for. The age-band comparison uses a chi-square test of independence on the 2 × 4 table with Cramér's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as the effect size, so that a significant result on 30,000 rows is not mistaken for a material one. A logistic regression of DEFAULT on SEX with AGE and LIMIT_BAL as covariates then shows how much of the raw difference survives adjustment, reported as an adjusted odds ratio with a CI and read as a descriptive check rather than a causal estimate. The assumptions, independent observations, expected cell counts of at least five, and samples large enough for the normal approximation, hold at this scale. If base rates differ by sex, equal error rates rather than demographic parity lead in RQ3 and RQ4 (Kleinberg et al., 2017).</w:t>
      </w:r>
    </w:p>
    <w:p>
      <w:pPr>
        <w:pStyle w:val="Heading2"/>
        <w:spacing w:after="0" w:before="0" w:line="480"/>
        <w:jc w:val="left"/>
      </w:pPr>
      <w:r>
        <w:rPr>
          <w:rFonts w:ascii="Times New Roman" w:cs="Times New Roman" w:eastAsia="Times New Roman" w:hAnsi="Times New Roman"/>
          <w:b/>
          <w:bCs/>
          <w:color w:val="000000"/>
          <w:sz w:val="24"/>
          <w:szCs w:val="24"/>
        </w:rPr>
        <w:t xml:space="preserve">Solution to RQ3</w:t>
      </w:r>
    </w:p>
    <w:p>
      <w:pPr>
        <w:spacing w:after="0" w:before="0" w:line="480"/>
        <w:ind w:firstLine="720"/>
      </w:pPr>
      <w:r>
        <w:rPr>
          <w:rFonts w:ascii="Times New Roman" w:cs="Times New Roman" w:eastAsia="Times New Roman" w:hAnsi="Times New Roman"/>
          <w:sz w:val="24"/>
          <w:szCs w:val="24"/>
        </w:rPr>
        <w:t xml:space="preserve">RQ3 audits the simulated decisions of the XGBoost model trained without SEX, EDUCATION, and MARRIAGE. On the calibration partition of each outer fold, the score quantile that retains 75% of cardholders is found, and that cut-off is applied to the held-out fold, giving FLAG and RETAIN for every cardholder from a cut-off they did not influence. The 75% retention rate is a stated scenario, not an observed policy, and the RQ4 trade-off table varies it. A confusion matrix is computed for each sex on the pooled held-out decisions, from which the RETAIN rate, the false-decline rate among non-defaulters, and the true-positive rate among defaulters are read. The DI ratio is computed on RETAIN rates, the favourable outcome. The false-decline gap is the primary fairness measure because it is the borrower-facing error, a creditworthy cardholder wrongly flagged, and the true-positive gap is the secondary, lender-risk measure. Confidence intervals come from 1,000 bootstrap resamples stratified by sex and outcome, and the false-decline gap is tested by the two-proportion test the RQ3 power calculation was sized for. The same audit is repeated for the aware model that includes the three demographic fields, so the final report can state how much unawareness changes the result. If time allows, a SHAP decomposition by sex lists the features whose attributions differ most between groups, with LIMIT_BAL the leading candidate, as candidates for investigation rather than proof of a proxy.</w:t>
      </w:r>
    </w:p>
    <w:p>
      <w:pPr>
        <w:pStyle w:val="Heading2"/>
        <w:spacing w:after="0" w:before="0" w:line="480"/>
        <w:jc w:val="left"/>
      </w:pPr>
      <w:r>
        <w:rPr>
          <w:rFonts w:ascii="Times New Roman" w:cs="Times New Roman" w:eastAsia="Times New Roman" w:hAnsi="Times New Roman"/>
          <w:b/>
          <w:bCs/>
          <w:color w:val="000000"/>
          <w:sz w:val="24"/>
          <w:szCs w:val="24"/>
        </w:rPr>
        <w:t xml:space="preserve">Solution to RQ4</w:t>
      </w:r>
    </w:p>
    <w:p>
      <w:pPr>
        <w:spacing w:after="0" w:before="0" w:line="480"/>
        <w:ind w:firstLine="720"/>
      </w:pPr>
      <w:r>
        <w:rPr>
          <w:rFonts w:ascii="Times New Roman" w:cs="Times New Roman" w:eastAsia="Times New Roman" w:hAnsi="Times New Roman"/>
          <w:sz w:val="24"/>
          <w:szCs w:val="24"/>
        </w:rPr>
        <w:t xml:space="preserve">RQ4 applies two mitigation methods separately to the audited model and records what each costs on the measure appropriate to it. Reweighing (Kamiran &amp; Calders, 2012) assigns each row of the fit partition a weight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is sex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is the outcome, so that sex and default are independent in the weighted training set. The model is retrained with those weights, the 75% cut-off is recalibrated, and the held-out fold is scored. Because the scores change, the DeLong non-inferiority test with a 0.01 margin applies, alongside the decision-level measures. Threshold adjustment (Hardt et al., 2016) leaves the scores untouched and sets a separate cut-off per sex. On the calibration partition I search for the pair of group thresholds that equalises the false-decline rates while holding overall retention at 75%, which keeps the two configurations comparable. Fairlearn's ThresholdOptimizer (Bird et al., 2020) is run as a cross-check, with the caveat that some of its constraints yield randomised decisions. For threshold adjustment the AUC is unchanged by construction, so its cost is the change in the default rate among retained cardholders at 75% retention, with a bootstrap CI. A trade-off table then repeats the audit at retention rates from 65% to 85% in five-point steps for the unmitigated and both mitigated configurations, giving retention rate, default rate among retained, AUC, DI ratio, and false-decline gap for each row. Group-specific thresholds require the protected attribute at decision time and constitute disparate treatment in some jurisdictions, so the table presents reweighing as the single-threshold option, quantifies the extra cost of that constraint, and leaves the choice to the lender's legal review rather than recommending either method.</w:t>
      </w:r>
    </w:p>
    <w:p>
      <w:pPr>
        <w:pStyle w:val="Heading2"/>
        <w:spacing w:after="0" w:before="0" w:line="480"/>
        <w:jc w:val="left"/>
      </w:pPr>
      <w:r>
        <w:rPr>
          <w:rFonts w:ascii="Times New Roman" w:cs="Times New Roman" w:eastAsia="Times New Roman" w:hAnsi="Times New Roman"/>
          <w:b/>
          <w:bCs/>
          <w:color w:val="000000"/>
          <w:sz w:val="24"/>
          <w:szCs w:val="24"/>
        </w:rPr>
        <w:t xml:space="preserve">Evaluation Metrics</w:t>
      </w:r>
    </w:p>
    <w:p>
      <w:pPr>
        <w:spacing w:after="0" w:before="0" w:line="480"/>
        <w:ind w:firstLine="720"/>
      </w:pPr>
      <w:r>
        <w:rPr>
          <w:rFonts w:ascii="Times New Roman" w:cs="Times New Roman" w:eastAsia="Times New Roman" w:hAnsi="Times New Roman"/>
          <w:sz w:val="24"/>
          <w:szCs w:val="24"/>
        </w:rPr>
        <w:t xml:space="preserve">The classification metrics are defined from the confusion matrix of true positives (TP), false positives (FP), true negatives (TN), and false negatives (FN), where a positive is a predicted default, so FLAG = 1 is the positive prediction and RETAIN = 1 − FLAG.</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Precision = </m:t>
        </m:r>
        <m:f>
          <m:num>
            <m:r>
              <m:t>TP</m:t>
            </m:r>
          </m:num>
          <m:den>
            <m:r>
              <m:t>TP + FP</m:t>
            </m:r>
          </m:den>
        </m:f>
        <m:r>
          <m:t>,   TPR = </m:t>
        </m:r>
        <m:f>
          <m:num>
            <m:r>
              <m:t>TP</m:t>
            </m:r>
          </m:num>
          <m:den>
            <m:r>
              <m:t>TP + FN</m:t>
            </m:r>
          </m:den>
        </m:f>
        <m:r>
          <m:t>,   FDR = FPR = </m:t>
        </m:r>
        <m:f>
          <m:num>
            <m:r>
              <m:t>FP</m:t>
            </m:r>
          </m:num>
          <m:den>
            <m:r>
              <m:t>FP + TN</m:t>
            </m:r>
          </m:den>
        </m:f>
      </m:oMath>
      <w:r>
        <w:rPr>
          <w:rFonts w:ascii="Times New Roman" w:cs="Times New Roman" w:eastAsia="Times New Roman" w:hAnsi="Times New Roman"/>
          <w:sz w:val="24"/>
          <w:szCs w:val="24"/>
        </w:rPr>
        <w:t xml:space="preserve">	(3)</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sSub>
          <m:sSubPr/>
          <m:e>
            <m:r>
              <m:t>F</m:t>
            </m:r>
          </m:e>
          <m:sub>
            <m:r>
              <m:t>1</m:t>
            </m:r>
          </m:sub>
        </m:sSub>
        <m:r>
          <m:t> = </m:t>
        </m:r>
        <m:f>
          <m:num>
            <m:r>
              <m:t>2 × Precision × TPR</m:t>
            </m:r>
          </m:num>
          <m:den>
            <m:r>
              <m:t>Precision + TPR</m:t>
            </m:r>
          </m:den>
        </m:f>
      </m:oMath>
      <w:r>
        <w:rPr>
          <w:rFonts w:ascii="Times New Roman" w:cs="Times New Roman" w:eastAsia="Times New Roman" w:hAnsi="Times New Roman"/>
          <w:sz w:val="24"/>
          <w:szCs w:val="24"/>
        </w:rPr>
        <w:t xml:space="preserve">	(4)</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AUC = </m:t>
        </m:r>
        <m:f>
          <m:num>
            <m:r>
              <m:t>1</m:t>
            </m:r>
          </m:num>
          <m:den>
            <m:sSub>
              <m:sSubPr/>
              <m:e>
                <m:r>
                  <m:t>n</m:t>
                </m:r>
              </m:e>
              <m:sub>
                <m:r>
                  <m:t>D</m:t>
                </m:r>
              </m:sub>
            </m:sSub>
            <m:r>
              <m:t> </m:t>
            </m:r>
            <m:sSub>
              <m:sSubPr/>
              <m:e>
                <m:r>
                  <m:t>n</m:t>
                </m:r>
              </m:e>
              <m:sub>
                <m:r>
                  <m:t>N</m:t>
                </m:r>
              </m:sub>
            </m:sSub>
          </m:den>
        </m:f>
        <m:r>
          <m:t> </m:t>
        </m:r>
        <m:sSub>
          <m:sSubPr/>
          <m:e>
            <m:r>
              <m:t>Σ</m:t>
            </m:r>
          </m:e>
          <m:sub>
            <m:r>
              <m:t>i, j</m:t>
            </m:r>
          </m:sub>
        </m:sSub>
        <m:r>
          <m:t> </m:t>
        </m:r>
        <m:sSub>
          <m:sSubPr/>
          <m:e>
            <m:r>
              <m:t>I</m:t>
            </m:r>
          </m:e>
          <m:sub>
            <m:r>
              <m:t>ij</m:t>
            </m:r>
          </m:sub>
        </m:sSub>
      </m:oMath>
      <w:r>
        <w:rPr>
          <w:rFonts w:ascii="Times New Roman" w:cs="Times New Roman" w:eastAsia="Times New Roman" w:hAnsi="Times New Roman"/>
          <w:sz w:val="24"/>
          <w:szCs w:val="24"/>
        </w:rPr>
        <w:t xml:space="preserve">	(5)</w:t>
      </w:r>
    </w:p>
    <w:p>
      <w:pPr>
        <w:tabs>
          <w:tab w:val="center" w:pos="4680"/>
          <w:tab w:val="right" w:pos="9360"/>
        </w:tabs>
        <w:spacing w:after="200" w:before="200"/>
        <w:jc w:val="left"/>
      </w:pPr>
      <w:r>
        <w:rPr>
          <w:rFonts w:ascii="Times New Roman" w:cs="Times New Roman" w:eastAsia="Times New Roman" w:hAnsi="Times New Roman"/>
          <w:sz w:val="24"/>
          <w:szCs w:val="24"/>
        </w:rPr>
        <w:t xml:space="preserve">	</w:t>
      </w:r>
      <m:oMath>
        <m:r>
          <m:t>Brier = </m:t>
        </m:r>
        <m:f>
          <m:num>
            <m:r>
              <m:t>1</m:t>
            </m:r>
          </m:num>
          <m:den>
            <m:r>
              <m:t>N</m:t>
            </m:r>
          </m:den>
        </m:f>
        <m:nary>
          <m:naryPr>
            <m:chr m:val="∑"/>
            <m:limLoc m:val="undOvr"/>
          </m:naryPr>
          <m:sub>
            <m:r>
              <m:t>i = 1</m:t>
            </m:r>
          </m:sub>
          <m:sup>
            <m:r>
              <m:t>N</m:t>
            </m:r>
          </m:sup>
          <m:e>
            <m:sSup>
              <m:sSupPr/>
              <m:e>
                <m:d>
                  <m:dPr/>
                  <m:e>
                    <m:sSub>
                      <m:sSubPr/>
                      <m:e>
                        <m:r>
                          <m:t>p̂</m:t>
                        </m:r>
                      </m:e>
                      <m:sub>
                        <m:r>
                          <m:t>i</m:t>
                        </m:r>
                      </m:sub>
                    </m:sSub>
                    <m:r>
                      <m:t> − </m:t>
                    </m:r>
                    <m:sSub>
                      <m:sSubPr/>
                      <m:e>
                        <m:r>
                          <m:t>y</m:t>
                        </m:r>
                      </m:e>
                      <m:sub>
                        <m:r>
                          <m:t>i</m:t>
                        </m:r>
                      </m:sub>
                    </m:sSub>
                  </m:e>
                </m:d>
              </m:e>
              <m:sup>
                <m:r>
                  <m:t>2</m:t>
                </m:r>
              </m:sup>
            </m:sSup>
          </m:e>
        </m:nary>
      </m:oMath>
      <w:r>
        <w:rPr>
          <w:rFonts w:ascii="Times New Roman" w:cs="Times New Roman" w:eastAsia="Times New Roman" w:hAnsi="Times New Roman"/>
          <w:sz w:val="24"/>
          <w:szCs w:val="24"/>
        </w:rPr>
        <w:t xml:space="preserve">	(6)</w:t>
      </w:r>
    </w:p>
    <w:p>
      <w:pPr>
        <w:spacing w:after="0" w:before="0" w:line="480"/>
        <w:ind w:firstLine="720"/>
      </w:pPr>
      <w:r>
        <w:rPr>
          <w:rFonts w:ascii="Times New Roman" w:cs="Times New Roman" w:eastAsia="Times New Roman" w:hAnsi="Times New Roman"/>
          <w:sz w:val="24"/>
          <w:szCs w:val="24"/>
        </w:rPr>
        <w:t xml:space="preserve">In Equation 3 the false-decline rate (FDR) is the false-positive rate read from the borrower's side: the share of non-defaulters who are flagged. In Equation 5,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vertAlign w:val="subscript"/>
        </w:rPr>
        <w:t xml:space="preserve">ij</w:t>
      </w:r>
      <w:r>
        <w:rPr>
          <w:rFonts w:ascii="Times New Roman" w:cs="Times New Roman" w:eastAsia="Times New Roman" w:hAnsi="Times New Roman"/>
          <w:sz w:val="24"/>
          <w:szCs w:val="24"/>
        </w:rPr>
        <w:t xml:space="preserve"> equals 1 when defaulter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scores above non-defaulter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and 0 otherwise, so the AUC is the probability that a random defaulter outranks a random non-defaulter. It does not depend on the cut-off. The KS statistic is KS = max |TPR(</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FPR(</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over thresholds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Brier score in Equation 6 measures calibration as the mean squared gap between predicted probability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outcome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The fairness measures compare the two sex groups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The favourable-selection rate is 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 (TN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 FN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The disparate impact ratio is DI = min(RETAIN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)/max(RETAIN</w:t>
      </w:r>
      <w:r>
        <w:rPr>
          <w:rFonts w:ascii="Times New Roman" w:cs="Times New Roman" w:eastAsia="Times New Roman" w:hAnsi="Times New Roman"/>
          <w:i/>
          <w:iCs/>
          <w:sz w:val="24"/>
          <w:szCs w:val="24"/>
          <w:vertAlign w:val="subscript"/>
        </w:rPr>
        <w:t xml:space="preserve">g</w:t>
      </w:r>
      <w:r>
        <w:rPr>
          <w:rFonts w:ascii="Times New Roman" w:cs="Times New Roman" w:eastAsia="Times New Roman" w:hAnsi="Times New Roman"/>
          <w:sz w:val="24"/>
          <w:szCs w:val="24"/>
        </w:rPr>
        <w:t xml:space="preserve">), and the four-fifths benchmark is met when DI ≥ 0.80 (Feldman et al., 2015). The false-decline gap is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which is the equal opportunity difference of Hardt et al. (2016) once the favourable outcome is taken as non-default. The true-positive gap TPR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TPR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is the lender-risk counterpart, and the equalized odds difference is the larger of the two absolute gaps. The default rate among retained cardholders, total FN divided by total RETAIN, is the simulated portfolio outcome at each cut-off.</w:t>
      </w:r>
    </w:p>
    <w:p>
      <w:pPr>
        <w:spacing w:after="0" w:before="0" w:line="480"/>
        <w:ind w:firstLine="720"/>
      </w:pPr>
      <w:r>
        <w:rPr>
          <w:rFonts w:ascii="Times New Roman" w:cs="Times New Roman" w:eastAsia="Times New Roman" w:hAnsi="Times New Roman"/>
          <w:sz w:val="24"/>
          <w:szCs w:val="24"/>
        </w:rPr>
        <w:t xml:space="preserve">A worked calculation shows how the audit reads. Suppose the male group holds 1,000 cardholders of whom 240 default, the cut-off flags 280, and 132 of the flagged are true defaulters. Then RETAIN</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720/1,000 = 0.720, FDR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148/760 = 0.195, TPR</w:t>
      </w:r>
      <w:r>
        <w:rPr>
          <w:rFonts w:ascii="Times New Roman" w:cs="Times New Roman" w:eastAsia="Times New Roman" w:hAnsi="Times New Roman"/>
          <w:sz w:val="24"/>
          <w:szCs w:val="24"/>
          <w:vertAlign w:val="subscript"/>
        </w:rPr>
        <w:t xml:space="preserve">male</w:t>
      </w:r>
      <w:r>
        <w:rPr>
          <w:rFonts w:ascii="Times New Roman" w:cs="Times New Roman" w:eastAsia="Times New Roman" w:hAnsi="Times New Roman"/>
          <w:sz w:val="24"/>
          <w:szCs w:val="24"/>
        </w:rPr>
        <w:t xml:space="preserve"> = 132/240 = 0.550, and the default rate among retained men is 108/720 = 0.150. Suppose the female group holds 1,500 cardholders of whom 312 default, 330 are flagged, and 156 of those are true defaulters. Then RETAIN</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 1,170/1,500 = 0.780, FDR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 174/1,188 = 0.146, TPR</w:t>
      </w:r>
      <w:r>
        <w:rPr>
          <w:rFonts w:ascii="Times New Roman" w:cs="Times New Roman" w:eastAsia="Times New Roman" w:hAnsi="Times New Roman"/>
          <w:sz w:val="24"/>
          <w:szCs w:val="24"/>
          <w:vertAlign w:val="subscript"/>
        </w:rPr>
        <w:t xml:space="preserve">female</w:t>
      </w:r>
      <w:r>
        <w:rPr>
          <w:rFonts w:ascii="Times New Roman" w:cs="Times New Roman" w:eastAsia="Times New Roman" w:hAnsi="Times New Roman"/>
          <w:sz w:val="24"/>
          <w:szCs w:val="24"/>
        </w:rPr>
        <w:t xml:space="preserve"> = 156/312 = 0.500, and the default rate among retained women is 156/1,170 = 0.133. The audit gives DI = 0.720/0.780 = 0.923, which meets the 0.80 benchmark, a false-decline gap of 0.195 − 0.146 = 0.049, inside the ±0.05 band but at its edge, a true-positive gap of 0.050, and an equalized odds difference of 0.050. Had flag rates been used in place of RETAIN rates, the ratio would have read 0.220/0.280 = 0.786 and the benchmark would appear failed, which is why the favourable outcome is fixed before any metric is computed. A lender reading this table learns that creditworthy men are wrongly flagged about five points more often than creditworthy women at this cut-off, which is where the RQ4 trade-off table becomes the decision document.</w:t>
      </w:r>
    </w:p>
    <w:p>
      <w:pPr>
        <w:pStyle w:val="Heading2"/>
        <w:spacing w:after="0" w:before="0" w:line="480"/>
        <w:jc w:val="left"/>
      </w:pPr>
      <w:r>
        <w:rPr>
          <w:rFonts w:ascii="Times New Roman" w:cs="Times New Roman" w:eastAsia="Times New Roman" w:hAnsi="Times New Roman"/>
          <w:b/>
          <w:bCs/>
          <w:color w:val="000000"/>
          <w:sz w:val="24"/>
          <w:szCs w:val="24"/>
        </w:rPr>
        <w:t xml:space="preserve">Solution Pipeline</w:t>
      </w:r>
    </w:p>
    <w:p>
      <w:pPr>
        <w:spacing w:after="0" w:before="0" w:line="480"/>
        <w:ind w:firstLine="720"/>
      </w:pPr>
      <w:r>
        <w:rPr>
          <w:rFonts w:ascii="Times New Roman" w:cs="Times New Roman" w:eastAsia="Times New Roman" w:hAnsi="Times New Roman"/>
          <w:sz w:val="24"/>
          <w:szCs w:val="24"/>
        </w:rPr>
        <w:t xml:space="preserve">Figure 1 shows the six-stage pipeline from data acquisition to the decision table. Every stage is a script or notebook in the repository, and the pipeline keeps model fitting, policy calibration, and evaluation on disjoint data within each outer fold.</w:t>
      </w:r>
    </w:p>
    <w:p>
      <w:pPr>
        <w:keepNext/>
        <w:spacing w:after="0" w:before="240" w:line="276"/>
      </w:pPr>
      <w:r>
        <w:rPr>
          <w:rFonts w:ascii="Times New Roman" w:cs="Times New Roman" w:eastAsia="Times New Roman" w:hAnsi="Times New Roman"/>
          <w:b/>
          <w:bCs/>
          <w:sz w:val="24"/>
          <w:szCs w:val="24"/>
        </w:rPr>
        <w:t xml:space="preserve">Figure 1</w:t>
      </w:r>
    </w:p>
    <w:p>
      <w:pPr>
        <w:keepNext/>
        <w:spacing w:after="120" w:before="0" w:line="276"/>
      </w:pPr>
      <w:r>
        <w:rPr>
          <w:rFonts w:ascii="Times New Roman" w:cs="Times New Roman" w:eastAsia="Times New Roman" w:hAnsi="Times New Roman"/>
          <w:i/>
          <w:iCs/>
          <w:sz w:val="24"/>
          <w:szCs w:val="24"/>
        </w:rPr>
        <w:t xml:space="preserve">Solution Pipeline From Data Acquisition to Decision Table</w:t>
      </w:r>
    </w:p>
    <w:p>
      <w:pPr>
        <w:spacing w:after="0" w:before="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57400"/>
                    </a:xfrm>
                    <a:prstGeom prst="rect">
                      <a:avLst/>
                    </a:prstGeom>
                  </pic:spPr>
                </pic:pic>
              </a:graphicData>
            </a:graphic>
          </wp:inline>
        </w:drawing>
      </w:r>
    </w:p>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Stages 1 and 2 run once and feed all four research questions. Stage 3 answers RQ1, stage 4 sets the cut-offs and weights for RQ3 and RQ4, stage 5 produces every reported estimate, and stage 6 assembles the RQ4 trade-off table. All code is in the repository described in Appendix A.</w:t>
      </w:r>
    </w:p>
    <w:p>
      <w:pPr>
        <w:spacing w:after="0" w:before="0" w:line="480"/>
        <w:ind w:firstLine="720"/>
      </w:pPr>
      <w:r>
        <w:rPr>
          <w:rFonts w:ascii="Times New Roman" w:cs="Times New Roman" w:eastAsia="Times New Roman" w:hAnsi="Times New Roman"/>
          <w:sz w:val="24"/>
          <w:szCs w:val="24"/>
        </w:rPr>
        <w:t xml:space="preserve">Stages 1 and 2 prepare the data and fix the fold and partition assignment, keyed on ID and stratified by sex and outcome. Stages 3 and 4 fit the models on the fit partition and set every cut-off and weight on the calibration partition. Stage 5 scores each held-out fold once and computes every reported estimate with its interval, and stage 6 assembles the trade-off table and the decision record into one results workbook committed to the repository.</w:t>
      </w:r>
    </w:p>
    <w:p>
      <w:pPr>
        <w:pStyle w:val="Heading2"/>
        <w:spacing w:after="0" w:before="0" w:line="480"/>
        <w:jc w:val="left"/>
      </w:pPr>
      <w:r>
        <w:rPr>
          <w:rFonts w:ascii="Times New Roman" w:cs="Times New Roman" w:eastAsia="Times New Roman" w:hAnsi="Times New Roman"/>
          <w:b/>
          <w:bCs/>
          <w:color w:val="000000"/>
          <w:sz w:val="24"/>
          <w:szCs w:val="24"/>
        </w:rPr>
        <w:t xml:space="preserve">Project Plan</w:t>
      </w:r>
    </w:p>
    <w:p>
      <w:pPr>
        <w:spacing w:after="0" w:before="0" w:line="480"/>
        <w:ind w:firstLine="720"/>
      </w:pPr>
      <w:r>
        <w:rPr>
          <w:rFonts w:ascii="Times New Roman" w:cs="Times New Roman" w:eastAsia="Times New Roman" w:hAnsi="Times New Roman"/>
          <w:sz w:val="24"/>
          <w:szCs w:val="24"/>
        </w:rPr>
        <w:t xml:space="preserve">Table 4 sets out the ten-week plan. The first two weeks are front-loaded with data work because every later week depends on a clean, fold-assigned file. RQ2 precedes RQ1 because its result decides which fairness criterion leads in RQ3 and RQ4. The interim report falls at the end of week 6, after RQ1 to RQ3 are complete.</w:t>
      </w:r>
    </w:p>
    <w:p>
      <w:pPr>
        <w:keepNext/>
        <w:spacing w:after="0" w:before="240" w:line="276"/>
      </w:pPr>
      <w:r>
        <w:rPr>
          <w:rFonts w:ascii="Times New Roman" w:cs="Times New Roman" w:eastAsia="Times New Roman" w:hAnsi="Times New Roman"/>
          <w:b/>
          <w:bCs/>
          <w:sz w:val="24"/>
          <w:szCs w:val="24"/>
        </w:rPr>
        <w:t xml:space="preserve">Table 4</w:t>
      </w:r>
    </w:p>
    <w:p>
      <w:pPr>
        <w:keepNext/>
        <w:spacing w:after="120" w:before="0" w:line="276"/>
      </w:pPr>
      <w:r>
        <w:rPr>
          <w:rFonts w:ascii="Times New Roman" w:cs="Times New Roman" w:eastAsia="Times New Roman" w:hAnsi="Times New Roman"/>
          <w:i/>
          <w:iCs/>
          <w:sz w:val="24"/>
          <w:szCs w:val="24"/>
        </w:rPr>
        <w:t xml:space="preserve">Ten-Week Project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260"/>
        <w:gridCol w:w="2500"/>
      </w:tblGrid>
      <w:tr>
        <w:trPr>
          <w:cantSplit/>
          <w:tblHeader/>
        </w:trPr>
        <w:tc>
          <w:tcPr>
            <w:tcW w:type="dxa" w:w="7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Week</w:t>
            </w:r>
          </w:p>
        </w:tc>
        <w:tc>
          <w:tcPr>
            <w:tcW w:type="dxa" w:w="19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Phase</w:t>
            </w:r>
          </w:p>
        </w:tc>
        <w:tc>
          <w:tcPr>
            <w:tcW w:type="dxa" w:w="426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Activities</w:t>
            </w:r>
          </w:p>
        </w:tc>
        <w:tc>
          <w:tcPr>
            <w:tcW w:type="dxa" w:w="2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bCs/>
                <w:sz w:val="22"/>
                <w:szCs w:val="22"/>
              </w:rPr>
              <w:t xml:space="preserve">Deliverable</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Set-up and acquisition</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Create repository and environment; download and checksum the file; verify data dictionary against the source; agree scope and benchmarks with mentor</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Repository with README, dictionary, download and sample-size scripts; verified raw file</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EDA and splitting</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Univariate, bivariate, and multivariate EDA; recoding; derived variables; group tabulations by sex and age band; outer folds and fit/calibration partitions; runtime benchmark</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EDA notebook, cleaned Parquet file, fold file</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 statistical tests</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Two-proportion test, chi-square with Cramér's V, adjusted logistic regression</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RQ2 results table with CIs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Baseline modelling</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Logistic regression pipeline; nested CV framework; calibration check; KS, Brier; held-out scoring</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Baseline AUC and CI</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Challenger modelling</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Random forest and XGBoost with randomised search; DeLong test on the pre-specified contrast; aware and unaware runs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RQ1 results, ROC and reliability figures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Fairness audit</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Cut-off on calibration partitions; per-sex confusion matrices on held-out folds; DI, FDR gap, TPR gap, equalized odds; bootstrap CIs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RQ3 fairness table; interim report submitted</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Mitigation, reweighing</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Compute weights on calibration partitions; retrain on fit partitions; non-inferiority test; fairness re-audit</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RQ4a results</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Mitigation, threshold adjustment</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Group thresholds by direct search at common retention; ThresholdOptimizer cross-check; trade-off table across retention rates; optional SHAP</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RQ4b results, trade-off table</w:t>
            </w:r>
          </w:p>
        </w:tc>
      </w:tr>
      <w:tr>
        <w:trPr>
          <w:cantSplit/>
        </w:trP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Synthesis</w:t>
            </w:r>
          </w:p>
        </w:tc>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Decision record, recommendations, limitations, next steps; code freeze; README and run instructions finalised</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Draft final report, frozen repository</w:t>
            </w:r>
          </w:p>
        </w:tc>
      </w:tr>
      <w:tr>
        <w:trPr>
          <w:cantSplit/>
        </w:trPr>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Final report</w:t>
            </w:r>
          </w:p>
        </w:tc>
        <w:tc>
          <w:tcPr>
            <w:tcW w:type="dxa" w:w="426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Mentor review, revisions, presentation, submission</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vAlign w:val="top"/>
          </w:tcPr>
          <w:p>
            <w:pPr>
              <w:spacing w:after="0" w:before="0" w:line="276"/>
              <w:jc w:val="left"/>
            </w:pPr>
            <w:r>
              <w:rPr>
                <w:rFonts w:ascii="Times New Roman" w:cs="Times New Roman" w:eastAsia="Times New Roman" w:hAnsi="Times New Roman"/>
                <w:b w:val="false"/>
                <w:bCs w:val="false"/>
                <w:sz w:val="22"/>
                <w:szCs w:val="22"/>
              </w:rPr>
              <w:t xml:space="preserve">Final report and presentation</w:t>
            </w:r>
          </w:p>
        </w:tc>
      </w:tr>
    </w:tbl>
    <w:p>
      <w:pPr>
        <w:spacing w:after="240" w:before="80" w:line="276"/>
      </w:pPr>
      <w:r>
        <w:rPr>
          <w:rFonts w:ascii="Times New Roman" w:cs="Times New Roman" w:eastAsia="Times New Roman" w:hAnsi="Times New Roman"/>
          <w:i/>
          <w:iCs/>
          <w:sz w:val="22"/>
          <w:szCs w:val="22"/>
        </w:rPr>
        <w:t xml:space="preserve">Note. </w:t>
      </w:r>
      <w:r>
        <w:rPr>
          <w:rFonts w:ascii="Times New Roman" w:cs="Times New Roman" w:eastAsia="Times New Roman" w:hAnsi="Times New Roman"/>
          <w:sz w:val="22"/>
          <w:szCs w:val="22"/>
        </w:rPr>
        <w:t xml:space="preserve">EDA = exploratory data analysis. Each week assumes roughly twelve hours of effort alongside full-time employment.</w:t>
      </w:r>
    </w:p>
    <w:p>
      <w:pPr>
        <w:pStyle w:val="Heading1"/>
        <w:spacing w:after="0" w:before="0" w:line="480"/>
        <w:jc w:val="center"/>
      </w:pPr>
      <w:r>
        <w:rPr>
          <w:rFonts w:ascii="Times New Roman" w:cs="Times New Roman" w:eastAsia="Times New Roman" w:hAnsi="Times New Roman"/>
          <w:b/>
          <w:bCs/>
          <w:color w:val="000000"/>
          <w:sz w:val="24"/>
          <w:szCs w:val="24"/>
        </w:rPr>
        <w:t xml:space="preserve">Recommendation and Application</w:t>
      </w:r>
    </w:p>
    <w:p>
      <w:pPr>
        <w:spacing w:after="0" w:before="0" w:line="480"/>
        <w:ind w:firstLine="720"/>
      </w:pPr>
      <w:r>
        <w:rPr>
          <w:rFonts w:ascii="Times New Roman" w:cs="Times New Roman" w:eastAsia="Times New Roman" w:hAnsi="Times New Roman"/>
          <w:sz w:val="24"/>
          <w:szCs w:val="24"/>
        </w:rPr>
        <w:t xml:space="preserve">The primary users are the model validation unit and the chief risk officer of a retail lender, because they sign the model into production and answer for it to the supervisor. The secondary users are the head of retail credit, who owns the cut-off, and the compliance function that prepares the AI disclosures the FREE-AI report recommends (Reserve Bank of India, 2025). A third audience is the mid-sized NBFC that buys scores from a vendor and cannot demand the model's internals. The audit needs only scores, outcomes, and the protected attribute joined at evaluation time, so it works as an independent check on a vendor model, the position most of my NBFC clients are in. In every case the output is a decision-support table, and a lender would still need its own labels, costs, risk appetite, and legal review before acting on it.</w:t>
      </w:r>
    </w:p>
    <w:p>
      <w:pPr>
        <w:spacing w:after="0" w:before="0" w:line="480"/>
        <w:ind w:firstLine="720"/>
      </w:pPr>
      <w:r>
        <w:rPr>
          <w:rFonts w:ascii="Times New Roman" w:cs="Times New Roman" w:eastAsia="Times New Roman" w:hAnsi="Times New Roman"/>
          <w:sz w:val="24"/>
          <w:szCs w:val="24"/>
        </w:rPr>
        <w:t xml:space="preserve">The first recommendation the study will support is to replace the single-threshold sign-off in model validation with the RQ4 trade-off table. For each candidate cut-off the table shows the simulated retention rate, the default rate among retained customers, the AUC, the DI ratio, and the false-decline gap, and the credit policy committee chooses a row and signs that row. This turns a fairness policy into a configuration with a named owner and a dated approval, which a supervisor can audit. The second is to set a fairness tolerance, for instance DI of at least 0.80 and an absolute false-decline gap of at most 0.05, as a hard gate that cannot be traded against bad rate once set, and to record the cost of meeting it in the model inventory. The two values used here are research benchmarks, and a lender would set its own. The third is to audit the production feature set rather than the policy: the RQ3 result will show how much excluding sex changes the simulated decisions, and I expect the answer to be little, because credit limit and repayment history carry most of the same information. The fourth concerns method choice: where the law treats group-specific cut-offs as disparate treatment, reweighing with a single threshold is the usable option, and RQ4 will state what that constraint costs. The fifth is operational: a validation analyst at an Indian issuer can clone the repository, point it at the issuer's own extract with the same column names, and run the audit on a retrospective portfolio, with the understanding that the method transfers and the Taiwan results do not. The final report will deliver the fitted results for RQ1 to RQ4, the trade-off table, the decision record, a limitations section, and the repository.</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References</w:t>
      </w:r>
    </w:p>
    <w:p>
      <w:pPr>
        <w:spacing w:after="0" w:before="0" w:line="480"/>
        <w:ind w:left="720" w:hanging="720"/>
      </w:pPr>
      <w:r>
        <w:rPr>
          <w:rFonts w:ascii="Times New Roman" w:cs="Times New Roman" w:eastAsia="Times New Roman" w:hAnsi="Times New Roman"/>
          <w:i w:val="false"/>
          <w:iCs w:val="false"/>
          <w:sz w:val="24"/>
          <w:szCs w:val="24"/>
        </w:rPr>
        <w:t xml:space="preserve">Bartlett, R., Morse, A., Stanton, R., &amp; Wallace, N. (2022). Consumer-lending discrimination in the FinTech era. </w:t>
      </w:r>
      <w:r>
        <w:rPr>
          <w:rFonts w:ascii="Times New Roman" w:cs="Times New Roman" w:eastAsia="Times New Roman" w:hAnsi="Times New Roman"/>
          <w:i/>
          <w:iCs/>
          <w:sz w:val="24"/>
          <w:szCs w:val="24"/>
        </w:rPr>
        <w:t xml:space="preserve">Journal of Financial Economics, 143</w:t>
      </w:r>
      <w:r>
        <w:rPr>
          <w:rFonts w:ascii="Times New Roman" w:cs="Times New Roman" w:eastAsia="Times New Roman" w:hAnsi="Times New Roman"/>
          <w:i w:val="false"/>
          <w:iCs w:val="false"/>
          <w:sz w:val="24"/>
          <w:szCs w:val="24"/>
        </w:rPr>
        <w:t xml:space="preserve">(1), 30–56. https://doi.org/10.1016/j.jfineco.2021.05.047</w:t>
      </w:r>
    </w:p>
    <w:p>
      <w:pPr>
        <w:spacing w:after="0" w:before="0" w:line="480"/>
        <w:ind w:left="720" w:hanging="720"/>
      </w:pPr>
      <w:r>
        <w:rPr>
          <w:rFonts w:ascii="Times New Roman" w:cs="Times New Roman" w:eastAsia="Times New Roman" w:hAnsi="Times New Roman"/>
          <w:i w:val="false"/>
          <w:iCs w:val="false"/>
          <w:sz w:val="24"/>
          <w:szCs w:val="24"/>
        </w:rPr>
        <w:t xml:space="preserve">Bird, S., Dudík, M., Edgar, R., Horn, B., Lutz, R., Milan, V., Sameki, M., Wallach, H., &amp; Walker, K. (2020). </w:t>
      </w:r>
      <w:r>
        <w:rPr>
          <w:rFonts w:ascii="Times New Roman" w:cs="Times New Roman" w:eastAsia="Times New Roman" w:hAnsi="Times New Roman"/>
          <w:i/>
          <w:iCs/>
          <w:sz w:val="24"/>
          <w:szCs w:val="24"/>
        </w:rPr>
        <w:t xml:space="preserve">Fairlearn: A toolkit for assessing and improving fairness in AI</w:t>
      </w:r>
      <w:r>
        <w:rPr>
          <w:rFonts w:ascii="Times New Roman" w:cs="Times New Roman" w:eastAsia="Times New Roman" w:hAnsi="Times New Roman"/>
          <w:i w:val="false"/>
          <w:iCs w:val="false"/>
          <w:sz w:val="24"/>
          <w:szCs w:val="24"/>
        </w:rPr>
        <w:t xml:space="preserve"> (Technical Report MSR-TR-2020-32). Microsoft. https://www.microsoft.com/en-us/research/publication/fairlearn-a-toolkit-for-assessing-and-improving-fairness-in-ai/</w:t>
      </w:r>
    </w:p>
    <w:p>
      <w:pPr>
        <w:spacing w:after="0" w:before="0" w:line="480"/>
        <w:ind w:left="720" w:hanging="720"/>
      </w:pPr>
      <w:r>
        <w:rPr>
          <w:rFonts w:ascii="Times New Roman" w:cs="Times New Roman" w:eastAsia="Times New Roman" w:hAnsi="Times New Roman"/>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i w:val="false"/>
          <w:iCs w:val="false"/>
          <w:sz w:val="24"/>
          <w:szCs w:val="24"/>
        </w:rPr>
        <w:t xml:space="preserve">(1), 5–32. https://doi.org/10.1023/A:1010933404324</w:t>
      </w:r>
    </w:p>
    <w:p>
      <w:pPr>
        <w:spacing w:after="0" w:before="0" w:line="480"/>
        <w:ind w:left="720" w:hanging="720"/>
      </w:pPr>
      <w:r>
        <w:rPr>
          <w:rFonts w:ascii="Times New Roman" w:cs="Times New Roman" w:eastAsia="Times New Roman" w:hAnsi="Times New Roman"/>
          <w:i w:val="false"/>
          <w:iCs w:val="false"/>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i w:val="false"/>
          <w:iCs w:val="false"/>
          <w:sz w:val="24"/>
          <w:szCs w:val="24"/>
        </w:rPr>
        <w:t xml:space="preserve"> (pp. 785–794). ACM. https://doi.org/10.1145/2939672.2939785</w:t>
      </w:r>
    </w:p>
    <w:p>
      <w:pPr>
        <w:spacing w:after="0" w:before="0" w:line="480"/>
        <w:ind w:left="720" w:hanging="720"/>
      </w:pPr>
      <w:r>
        <w:rPr>
          <w:rFonts w:ascii="Times New Roman" w:cs="Times New Roman" w:eastAsia="Times New Roman" w:hAnsi="Times New Roman"/>
          <w:i w:val="false"/>
          <w:iCs w:val="false"/>
          <w:sz w:val="24"/>
          <w:szCs w:val="24"/>
        </w:rPr>
        <w:t xml:space="preserve">Cohen, J. (1988). </w:t>
      </w:r>
      <w:r>
        <w:rPr>
          <w:rFonts w:ascii="Times New Roman" w:cs="Times New Roman" w:eastAsia="Times New Roman" w:hAnsi="Times New Roman"/>
          <w:i/>
          <w:iCs/>
          <w:sz w:val="24"/>
          <w:szCs w:val="24"/>
        </w:rPr>
        <w:t xml:space="preserve">Statistical power analysis for the behavioral sciences</w:t>
      </w:r>
      <w:r>
        <w:rPr>
          <w:rFonts w:ascii="Times New Roman" w:cs="Times New Roman" w:eastAsia="Times New Roman" w:hAnsi="Times New Roman"/>
          <w:i w:val="false"/>
          <w:iCs w:val="false"/>
          <w:sz w:val="24"/>
          <w:szCs w:val="24"/>
        </w:rPr>
        <w:t xml:space="preserve"> (2nd ed.). Lawrence Erlbaum Associates.</w:t>
      </w:r>
    </w:p>
    <w:p>
      <w:pPr>
        <w:spacing w:after="0" w:before="0" w:line="480"/>
        <w:ind w:left="720" w:hanging="720"/>
      </w:pPr>
      <w:r>
        <w:rPr>
          <w:rFonts w:ascii="Times New Roman" w:cs="Times New Roman" w:eastAsia="Times New Roman" w:hAnsi="Times New Roman"/>
          <w:i w:val="false"/>
          <w:iCs w:val="false"/>
          <w:sz w:val="24"/>
          <w:szCs w:val="24"/>
        </w:rPr>
        <w:t xml:space="preserve">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sz w:val="24"/>
          <w:szCs w:val="24"/>
        </w:rPr>
        <w:t xml:space="preserve">Biometrics, 44</w:t>
      </w:r>
      <w:r>
        <w:rPr>
          <w:rFonts w:ascii="Times New Roman" w:cs="Times New Roman" w:eastAsia="Times New Roman" w:hAnsi="Times New Roman"/>
          <w:i w:val="false"/>
          <w:iCs w:val="false"/>
          <w:sz w:val="24"/>
          <w:szCs w:val="24"/>
        </w:rPr>
        <w:t xml:space="preserve">(3), 837–845. https://doi.org/10.2307/2531595</w:t>
      </w:r>
    </w:p>
    <w:p>
      <w:pPr>
        <w:spacing w:after="0" w:before="0" w:line="480"/>
        <w:ind w:left="720" w:hanging="720"/>
      </w:pPr>
      <w:r>
        <w:rPr>
          <w:rFonts w:ascii="Times New Roman" w:cs="Times New Roman" w:eastAsia="Times New Roman" w:hAnsi="Times New Roman"/>
          <w:i w:val="false"/>
          <w:iCs w:val="false"/>
          <w:sz w:val="24"/>
          <w:szCs w:val="24"/>
        </w:rPr>
        <w:t xml:space="preserve">European Parliament &amp; Council of the European Union. (2024). Regulation (EU) 2024/1689 of the European Parliament and of the Council of 13 June 2024 laying down harmonised rules on artificial intelligence (Artificial Intelligence Act).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i w:val="false"/>
          <w:iCs w:val="false"/>
          <w:sz w:val="24"/>
          <w:szCs w:val="24"/>
        </w:rPr>
        <w:t xml:space="preserve">, L, 2024/1689. https://eur-lex.europa.eu/eli/reg/2024/1689/oj</w:t>
      </w:r>
    </w:p>
    <w:p>
      <w:pPr>
        <w:spacing w:after="0" w:before="0" w:line="480"/>
        <w:ind w:left="720" w:hanging="720"/>
      </w:pPr>
      <w:r>
        <w:rPr>
          <w:rFonts w:ascii="Times New Roman" w:cs="Times New Roman" w:eastAsia="Times New Roman" w:hAnsi="Times New Roman"/>
          <w:i w:val="false"/>
          <w:iCs w:val="false"/>
          <w:sz w:val="24"/>
          <w:szCs w:val="24"/>
        </w:rPr>
        <w:t xml:space="preserve">Feldman, M., Friedler, S. A., Moeller, J., Scheidegger, C., &amp; Venkatasubramanian, S. (2015). Certifying and removing disparate impact. In </w:t>
      </w:r>
      <w:r>
        <w:rPr>
          <w:rFonts w:ascii="Times New Roman" w:cs="Times New Roman" w:eastAsia="Times New Roman" w:hAnsi="Times New Roman"/>
          <w:i/>
          <w:iCs/>
          <w:sz w:val="24"/>
          <w:szCs w:val="24"/>
        </w:rPr>
        <w:t xml:space="preserve">Proceedings of the 21st ACM SIGKDD International Conference on Knowledge Discovery and Data Mining</w:t>
      </w:r>
      <w:r>
        <w:rPr>
          <w:rFonts w:ascii="Times New Roman" w:cs="Times New Roman" w:eastAsia="Times New Roman" w:hAnsi="Times New Roman"/>
          <w:i w:val="false"/>
          <w:iCs w:val="false"/>
          <w:sz w:val="24"/>
          <w:szCs w:val="24"/>
        </w:rPr>
        <w:t xml:space="preserve"> (pp. 259–268). ACM. https://doi.org/10.1145/2783258.2783311</w:t>
      </w:r>
    </w:p>
    <w:p>
      <w:pPr>
        <w:spacing w:after="0" w:before="0" w:line="480"/>
        <w:ind w:left="720" w:hanging="720"/>
      </w:pPr>
      <w:r>
        <w:rPr>
          <w:rFonts w:ascii="Times New Roman" w:cs="Times New Roman" w:eastAsia="Times New Roman" w:hAnsi="Times New Roman"/>
          <w:i w:val="false"/>
          <w:iCs w:val="false"/>
          <w:sz w:val="24"/>
          <w:szCs w:val="24"/>
        </w:rPr>
        <w:t xml:space="preserve">Fleiss, J. L., Levin, B., &amp; Paik, M. C. (2003). </w:t>
      </w:r>
      <w:r>
        <w:rPr>
          <w:rFonts w:ascii="Times New Roman" w:cs="Times New Roman" w:eastAsia="Times New Roman" w:hAnsi="Times New Roman"/>
          <w:i/>
          <w:iCs/>
          <w:sz w:val="24"/>
          <w:szCs w:val="24"/>
        </w:rPr>
        <w:t xml:space="preserve">Statistical methods for rates and proportions</w:t>
      </w:r>
      <w:r>
        <w:rPr>
          <w:rFonts w:ascii="Times New Roman" w:cs="Times New Roman" w:eastAsia="Times New Roman" w:hAnsi="Times New Roman"/>
          <w:i w:val="false"/>
          <w:iCs w:val="false"/>
          <w:sz w:val="24"/>
          <w:szCs w:val="24"/>
        </w:rPr>
        <w:t xml:space="preserve"> (3rd ed.). John Wiley &amp; Sons. https://doi.org/10.1002/0471445428</w:t>
      </w:r>
    </w:p>
    <w:p>
      <w:pPr>
        <w:spacing w:after="0" w:before="0" w:line="480"/>
        <w:ind w:left="720" w:hanging="720"/>
      </w:pPr>
      <w:r>
        <w:rPr>
          <w:rFonts w:ascii="Times New Roman" w:cs="Times New Roman" w:eastAsia="Times New Roman" w:hAnsi="Times New Roman"/>
          <w:i w:val="false"/>
          <w:iCs w:val="false"/>
          <w:sz w:val="24"/>
          <w:szCs w:val="24"/>
        </w:rPr>
        <w:t xml:space="preserve">Fuster, A., Goldsmith-Pinkham, P., Ramadorai, T., &amp; Walther, A. (2022). Predictably unequal? The effects of machine learning on credit markets. </w:t>
      </w:r>
      <w:r>
        <w:rPr>
          <w:rFonts w:ascii="Times New Roman" w:cs="Times New Roman" w:eastAsia="Times New Roman" w:hAnsi="Times New Roman"/>
          <w:i/>
          <w:iCs/>
          <w:sz w:val="24"/>
          <w:szCs w:val="24"/>
        </w:rPr>
        <w:t xml:space="preserve">The Journal of Finance, 77</w:t>
      </w:r>
      <w:r>
        <w:rPr>
          <w:rFonts w:ascii="Times New Roman" w:cs="Times New Roman" w:eastAsia="Times New Roman" w:hAnsi="Times New Roman"/>
          <w:i w:val="false"/>
          <w:iCs w:val="false"/>
          <w:sz w:val="24"/>
          <w:szCs w:val="24"/>
        </w:rPr>
        <w:t xml:space="preserve">(1), 5–47. https://doi.org/10.1111/jofi.13090</w:t>
      </w:r>
    </w:p>
    <w:p>
      <w:pPr>
        <w:spacing w:after="0" w:before="0" w:line="480"/>
        <w:ind w:left="720" w:hanging="720"/>
      </w:pPr>
      <w:r>
        <w:rPr>
          <w:rFonts w:ascii="Times New Roman" w:cs="Times New Roman" w:eastAsia="Times New Roman" w:hAnsi="Times New Roman"/>
          <w:i w:val="false"/>
          <w:iCs w:val="false"/>
          <w:sz w:val="24"/>
          <w:szCs w:val="24"/>
        </w:rPr>
        <w:t xml:space="preserve">Hanley, J. A., &amp; McNeil, B. J. (1982). The meaning and use of the area under a receiver operating characteristic (ROC) curve. </w:t>
      </w:r>
      <w:r>
        <w:rPr>
          <w:rFonts w:ascii="Times New Roman" w:cs="Times New Roman" w:eastAsia="Times New Roman" w:hAnsi="Times New Roman"/>
          <w:i/>
          <w:iCs/>
          <w:sz w:val="24"/>
          <w:szCs w:val="24"/>
        </w:rPr>
        <w:t xml:space="preserve">Radiology, 143</w:t>
      </w:r>
      <w:r>
        <w:rPr>
          <w:rFonts w:ascii="Times New Roman" w:cs="Times New Roman" w:eastAsia="Times New Roman" w:hAnsi="Times New Roman"/>
          <w:i w:val="false"/>
          <w:iCs w:val="false"/>
          <w:sz w:val="24"/>
          <w:szCs w:val="24"/>
        </w:rPr>
        <w:t xml:space="preserve">(1), 29–36. https://doi.org/10.1148/radiology.143.1.7063747</w:t>
      </w:r>
    </w:p>
    <w:p>
      <w:pPr>
        <w:spacing w:after="0" w:before="0" w:line="480"/>
        <w:ind w:left="720" w:hanging="720"/>
      </w:pPr>
      <w:r>
        <w:rPr>
          <w:rFonts w:ascii="Times New Roman" w:cs="Times New Roman" w:eastAsia="Times New Roman" w:hAnsi="Times New Roman"/>
          <w:i w:val="false"/>
          <w:iCs w:val="false"/>
          <w:sz w:val="24"/>
          <w:szCs w:val="24"/>
        </w:rPr>
        <w:t xml:space="preserve">Hardt, M., Price, E., &amp; Srebro, N. (2016). Equality of opportunity in supervised learning. In D. D. Lee, M. Sugiyama, U. V. Luxburg, I. Guyon, &amp; R. Garnett (Eds.), </w:t>
      </w:r>
      <w:r>
        <w:rPr>
          <w:rFonts w:ascii="Times New Roman" w:cs="Times New Roman" w:eastAsia="Times New Roman" w:hAnsi="Times New Roman"/>
          <w:i/>
          <w:iCs/>
          <w:sz w:val="24"/>
          <w:szCs w:val="24"/>
        </w:rPr>
        <w:t xml:space="preserve">Advances in Neural Information Processing Systems 29</w:t>
      </w:r>
      <w:r>
        <w:rPr>
          <w:rFonts w:ascii="Times New Roman" w:cs="Times New Roman" w:eastAsia="Times New Roman" w:hAnsi="Times New Roman"/>
          <w:i w:val="false"/>
          <w:iCs w:val="false"/>
          <w:sz w:val="24"/>
          <w:szCs w:val="24"/>
        </w:rPr>
        <w:t xml:space="preserve"> (pp. 3315–3323). Curran Associates.</w:t>
      </w:r>
    </w:p>
    <w:p>
      <w:pPr>
        <w:spacing w:after="0" w:before="0" w:line="480"/>
        <w:ind w:left="720" w:hanging="720"/>
      </w:pPr>
      <w:r>
        <w:rPr>
          <w:rFonts w:ascii="Times New Roman" w:cs="Times New Roman" w:eastAsia="Times New Roman" w:hAnsi="Times New Roman"/>
          <w:i w:val="false"/>
          <w:iCs w:val="false"/>
          <w:sz w:val="24"/>
          <w:szCs w:val="24"/>
        </w:rPr>
        <w:t xml:space="preserve">Kamiran, F., &amp; Calders, T. (2012). Data preprocessing techniques for classification without discrimination. </w:t>
      </w:r>
      <w:r>
        <w:rPr>
          <w:rFonts w:ascii="Times New Roman" w:cs="Times New Roman" w:eastAsia="Times New Roman" w:hAnsi="Times New Roman"/>
          <w:i/>
          <w:iCs/>
          <w:sz w:val="24"/>
          <w:szCs w:val="24"/>
        </w:rPr>
        <w:t xml:space="preserve">Knowledge and Information Systems, 33</w:t>
      </w:r>
      <w:r>
        <w:rPr>
          <w:rFonts w:ascii="Times New Roman" w:cs="Times New Roman" w:eastAsia="Times New Roman" w:hAnsi="Times New Roman"/>
          <w:i w:val="false"/>
          <w:iCs w:val="false"/>
          <w:sz w:val="24"/>
          <w:szCs w:val="24"/>
        </w:rPr>
        <w:t xml:space="preserve">(1), 1–33. https://doi.org/10.1007/s10115-011-0463-8</w:t>
      </w:r>
    </w:p>
    <w:p>
      <w:pPr>
        <w:spacing w:after="0" w:before="0" w:line="480"/>
        <w:ind w:left="720" w:hanging="720"/>
      </w:pPr>
      <w:r>
        <w:rPr>
          <w:rFonts w:ascii="Times New Roman" w:cs="Times New Roman" w:eastAsia="Times New Roman" w:hAnsi="Times New Roman"/>
          <w:i w:val="false"/>
          <w:iCs w:val="false"/>
          <w:sz w:val="24"/>
          <w:szCs w:val="24"/>
        </w:rPr>
        <w:t xml:space="preserve">Kleinberg, J., Mullainathan, S., &amp; Raghavan, M. (2017). Inherent trade-offs in the fair determination of risk scores. In C. H. Papadimitriou (Ed.), </w:t>
      </w:r>
      <w:r>
        <w:rPr>
          <w:rFonts w:ascii="Times New Roman" w:cs="Times New Roman" w:eastAsia="Times New Roman" w:hAnsi="Times New Roman"/>
          <w:i/>
          <w:iCs/>
          <w:sz w:val="24"/>
          <w:szCs w:val="24"/>
        </w:rPr>
        <w:t xml:space="preserve">8th Innovations in Theoretical Computer Science Conference (ITCS 2017)</w:t>
      </w:r>
      <w:r>
        <w:rPr>
          <w:rFonts w:ascii="Times New Roman" w:cs="Times New Roman" w:eastAsia="Times New Roman" w:hAnsi="Times New Roman"/>
          <w:i w:val="false"/>
          <w:iCs w:val="false"/>
          <w:sz w:val="24"/>
          <w:szCs w:val="24"/>
        </w:rPr>
        <w:t xml:space="preserve"> (LIPIcs Vol. 67, pp. 43:1–43:23). Schloss Dagstuhl. https://doi.org/10.4230/LIPIcs.ITCS.2017.43</w:t>
      </w:r>
    </w:p>
    <w:p>
      <w:pPr>
        <w:spacing w:after="0" w:before="0" w:line="480"/>
        <w:ind w:left="720" w:hanging="720"/>
      </w:pPr>
      <w:r>
        <w:rPr>
          <w:rFonts w:ascii="Times New Roman" w:cs="Times New Roman" w:eastAsia="Times New Roman" w:hAnsi="Times New Roman"/>
          <w:i w:val="false"/>
          <w:iCs w:val="false"/>
          <w:sz w:val="24"/>
          <w:szCs w:val="24"/>
        </w:rPr>
        <w:t xml:space="preserve">Kozodoi, N., Jacob, J., &amp; Lessmann, S. (2022). Fairness in credit scoring: Assessment, implementation and profit implications. </w:t>
      </w:r>
      <w:r>
        <w:rPr>
          <w:rFonts w:ascii="Times New Roman" w:cs="Times New Roman" w:eastAsia="Times New Roman" w:hAnsi="Times New Roman"/>
          <w:i/>
          <w:iCs/>
          <w:sz w:val="24"/>
          <w:szCs w:val="24"/>
        </w:rPr>
        <w:t xml:space="preserve">European Journal of Operational Research, 297</w:t>
      </w:r>
      <w:r>
        <w:rPr>
          <w:rFonts w:ascii="Times New Roman" w:cs="Times New Roman" w:eastAsia="Times New Roman" w:hAnsi="Times New Roman"/>
          <w:i w:val="false"/>
          <w:iCs w:val="false"/>
          <w:sz w:val="24"/>
          <w:szCs w:val="24"/>
        </w:rPr>
        <w:t xml:space="preserve">(3), 1083–1094. https://doi.org/10.1016/j.ejor.2021.06.023</w:t>
      </w:r>
    </w:p>
    <w:p>
      <w:pPr>
        <w:spacing w:after="0" w:before="0" w:line="480"/>
        <w:ind w:left="720" w:hanging="720"/>
      </w:pPr>
      <w:r>
        <w:rPr>
          <w:rFonts w:ascii="Times New Roman" w:cs="Times New Roman" w:eastAsia="Times New Roman" w:hAnsi="Times New Roman"/>
          <w:i w:val="false"/>
          <w:iCs w:val="false"/>
          <w:sz w:val="24"/>
          <w:szCs w:val="24"/>
        </w:rPr>
        <w:t xml:space="preserve">Lessmann, S., Baesens, B., Seow, H.-V., &amp; Thomas, L. C. (2015). Benchmarking state-of-the-art classification algorithms for credit scoring: An update of research. </w:t>
      </w:r>
      <w:r>
        <w:rPr>
          <w:rFonts w:ascii="Times New Roman" w:cs="Times New Roman" w:eastAsia="Times New Roman" w:hAnsi="Times New Roman"/>
          <w:i/>
          <w:iCs/>
          <w:sz w:val="24"/>
          <w:szCs w:val="24"/>
        </w:rPr>
        <w:t xml:space="preserve">European Journal of Operational Research, 247</w:t>
      </w:r>
      <w:r>
        <w:rPr>
          <w:rFonts w:ascii="Times New Roman" w:cs="Times New Roman" w:eastAsia="Times New Roman" w:hAnsi="Times New Roman"/>
          <w:i w:val="false"/>
          <w:iCs w:val="false"/>
          <w:sz w:val="24"/>
          <w:szCs w:val="24"/>
        </w:rPr>
        <w:t xml:space="preserve">(1), 124–136. https://doi.org/10.1016/j.ejor.2015.05.030</w:t>
      </w:r>
    </w:p>
    <w:p>
      <w:pPr>
        <w:spacing w:after="0" w:before="0" w:line="480"/>
        <w:ind w:left="720" w:hanging="720"/>
      </w:pPr>
      <w:r>
        <w:rPr>
          <w:rFonts w:ascii="Times New Roman" w:cs="Times New Roman" w:eastAsia="Times New Roman" w:hAnsi="Times New Roman"/>
          <w:i w:val="false"/>
          <w:iCs w:val="false"/>
          <w:sz w:val="24"/>
          <w:szCs w:val="24"/>
        </w:rPr>
        <w:t xml:space="preserve">Lundberg, S. M., &amp; Lee, S.-I. (2017). A unified approach to interpreting model predictions. In I. Guyon, U. V. Luxburg, S. Bengio, H. Wallach, R. Fergus, S. Vishwanathan, &amp; R. Garnett (Eds.),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i w:val="false"/>
          <w:iCs w:val="false"/>
          <w:sz w:val="24"/>
          <w:szCs w:val="24"/>
        </w:rPr>
        <w:t xml:space="preserve"> (pp. 4765–4774). Curran Associates.</w:t>
      </w:r>
    </w:p>
    <w:p>
      <w:pPr>
        <w:spacing w:after="0" w:before="0" w:line="480"/>
        <w:ind w:left="720" w:hanging="720"/>
      </w:pPr>
      <w:r>
        <w:rPr>
          <w:rFonts w:ascii="Times New Roman" w:cs="Times New Roman" w:eastAsia="Times New Roman" w:hAnsi="Times New Roman"/>
          <w:i w:val="false"/>
          <w:iCs w:val="false"/>
          <w:sz w:val="24"/>
          <w:szCs w:val="24"/>
        </w:rPr>
        <w:t xml:space="preserve">Mehrabi, N., Morstatter, F., Saxena, N., Lerman, K., &amp; Galstyan, A. (2021). A survey on bias and fairness in machine learning. </w:t>
      </w:r>
      <w:r>
        <w:rPr>
          <w:rFonts w:ascii="Times New Roman" w:cs="Times New Roman" w:eastAsia="Times New Roman" w:hAnsi="Times New Roman"/>
          <w:i/>
          <w:iCs/>
          <w:sz w:val="24"/>
          <w:szCs w:val="24"/>
        </w:rPr>
        <w:t xml:space="preserve">ACM Computing Surveys, 54</w:t>
      </w:r>
      <w:r>
        <w:rPr>
          <w:rFonts w:ascii="Times New Roman" w:cs="Times New Roman" w:eastAsia="Times New Roman" w:hAnsi="Times New Roman"/>
          <w:i w:val="false"/>
          <w:iCs w:val="false"/>
          <w:sz w:val="24"/>
          <w:szCs w:val="24"/>
        </w:rPr>
        <w:t xml:space="preserve">(6), Article 115. https://doi.org/10.1145/3457607</w:t>
      </w:r>
    </w:p>
    <w:p>
      <w:pPr>
        <w:spacing w:after="0" w:before="0" w:line="480"/>
        <w:ind w:left="720" w:hanging="720"/>
      </w:pPr>
      <w:r>
        <w:rPr>
          <w:rFonts w:ascii="Times New Roman" w:cs="Times New Roman" w:eastAsia="Times New Roman" w:hAnsi="Times New Roman"/>
          <w:i w:val="false"/>
          <w:iCs w:val="false"/>
          <w:sz w:val="24"/>
          <w:szCs w:val="24"/>
        </w:rPr>
        <w:t xml:space="preserve">Reserve Bank of India. (2025). </w:t>
      </w:r>
      <w:r>
        <w:rPr>
          <w:rFonts w:ascii="Times New Roman" w:cs="Times New Roman" w:eastAsia="Times New Roman" w:hAnsi="Times New Roman"/>
          <w:i/>
          <w:iCs/>
          <w:sz w:val="24"/>
          <w:szCs w:val="24"/>
        </w:rPr>
        <w:t xml:space="preserve">FREE-AI Committee report: Framework for Responsible and Ethical Enablement of Artificial Intelligence</w:t>
      </w:r>
      <w:r>
        <w:rPr>
          <w:rFonts w:ascii="Times New Roman" w:cs="Times New Roman" w:eastAsia="Times New Roman" w:hAnsi="Times New Roman"/>
          <w:i w:val="false"/>
          <w:iCs w:val="false"/>
          <w:sz w:val="24"/>
          <w:szCs w:val="24"/>
        </w:rPr>
        <w:t xml:space="preserve">. https://www.rbi.org.in/scripts/FS_Publications.aspx?id=1306</w:t>
      </w:r>
    </w:p>
    <w:p>
      <w:pPr>
        <w:spacing w:after="0" w:before="0" w:line="480"/>
        <w:ind w:left="720" w:hanging="720"/>
      </w:pPr>
      <w:r>
        <w:rPr>
          <w:rFonts w:ascii="Times New Roman" w:cs="Times New Roman" w:eastAsia="Times New Roman" w:hAnsi="Times New Roman"/>
          <w:i w:val="false"/>
          <w:iCs w:val="false"/>
          <w:sz w:val="24"/>
          <w:szCs w:val="24"/>
        </w:rPr>
        <w:t xml:space="preserve">Rudin, C. (2019). Stop explaining black box machine learning models for high stakes decisions and use interpretable models instead. </w:t>
      </w:r>
      <w:r>
        <w:rPr>
          <w:rFonts w:ascii="Times New Roman" w:cs="Times New Roman" w:eastAsia="Times New Roman" w:hAnsi="Times New Roman"/>
          <w:i/>
          <w:iCs/>
          <w:sz w:val="24"/>
          <w:szCs w:val="24"/>
        </w:rPr>
        <w:t xml:space="preserve">Nature Machine Intelligence, 1</w:t>
      </w:r>
      <w:r>
        <w:rPr>
          <w:rFonts w:ascii="Times New Roman" w:cs="Times New Roman" w:eastAsia="Times New Roman" w:hAnsi="Times New Roman"/>
          <w:i w:val="false"/>
          <w:iCs w:val="false"/>
          <w:sz w:val="24"/>
          <w:szCs w:val="24"/>
        </w:rPr>
        <w:t xml:space="preserve">(5), 206–215. https://doi.org/10.1038/s42256-019-0048-x</w:t>
      </w:r>
    </w:p>
    <w:p>
      <w:pPr>
        <w:spacing w:after="0" w:before="0" w:line="480"/>
        <w:ind w:left="720" w:hanging="720"/>
      </w:pPr>
      <w:r>
        <w:rPr>
          <w:rFonts w:ascii="Times New Roman" w:cs="Times New Roman" w:eastAsia="Times New Roman" w:hAnsi="Times New Roman"/>
          <w:i w:val="false"/>
          <w:iCs w:val="false"/>
          <w:sz w:val="24"/>
          <w:szCs w:val="24"/>
        </w:rPr>
        <w:t xml:space="preserve">Uniform Guidelines on Employee Selection Procedures, 29 C.F.R. § 1607 (1978). https://www.ecfr.gov/current/title-29/subtitle-B/chapter-XIV/part-1607</w:t>
      </w:r>
    </w:p>
    <w:p>
      <w:pPr>
        <w:spacing w:after="0" w:before="0" w:line="480"/>
        <w:ind w:left="720" w:hanging="720"/>
      </w:pPr>
      <w:r>
        <w:rPr>
          <w:rFonts w:ascii="Times New Roman" w:cs="Times New Roman" w:eastAsia="Times New Roman" w:hAnsi="Times New Roman"/>
          <w:i w:val="false"/>
          <w:iCs w:val="false"/>
          <w:sz w:val="24"/>
          <w:szCs w:val="24"/>
        </w:rPr>
        <w:t xml:space="preserve">Yeh, I.-C. (2009). </w:t>
      </w:r>
      <w:r>
        <w:rPr>
          <w:rFonts w:ascii="Times New Roman" w:cs="Times New Roman" w:eastAsia="Times New Roman" w:hAnsi="Times New Roman"/>
          <w:i/>
          <w:iCs/>
          <w:sz w:val="24"/>
          <w:szCs w:val="24"/>
        </w:rPr>
        <w:t xml:space="preserve">Default of credit card clients</w:t>
      </w:r>
      <w:r>
        <w:rPr>
          <w:rFonts w:ascii="Times New Roman" w:cs="Times New Roman" w:eastAsia="Times New Roman" w:hAnsi="Times New Roman"/>
          <w:i w:val="false"/>
          <w:iCs w:val="false"/>
          <w:sz w:val="24"/>
          <w:szCs w:val="24"/>
        </w:rPr>
        <w:t xml:space="preserve"> [Data set]. UCI Machine Learning Repository. https://doi.org/10.24432/C55S3H</w:t>
      </w:r>
    </w:p>
    <w:p>
      <w:pPr>
        <w:spacing w:after="0" w:before="0" w:line="480"/>
        <w:ind w:left="720" w:hanging="720"/>
      </w:pPr>
      <w:r>
        <w:rPr>
          <w:rFonts w:ascii="Times New Roman" w:cs="Times New Roman" w:eastAsia="Times New Roman" w:hAnsi="Times New Roman"/>
          <w:i w:val="false"/>
          <w:iCs w:val="false"/>
          <w:sz w:val="24"/>
          <w:szCs w:val="24"/>
        </w:rPr>
        <w:t xml:space="preserve">Yeh, I.-C., &amp; Lien, C.-H. (2009). The comparisons of data mining techniques for the predictive accuracy of probability of default of credit card clients. </w:t>
      </w:r>
      <w:r>
        <w:rPr>
          <w:rFonts w:ascii="Times New Roman" w:cs="Times New Roman" w:eastAsia="Times New Roman" w:hAnsi="Times New Roman"/>
          <w:i/>
          <w:iCs/>
          <w:sz w:val="24"/>
          <w:szCs w:val="24"/>
        </w:rPr>
        <w:t xml:space="preserve">Expert Systems with Applications, 36</w:t>
      </w:r>
      <w:r>
        <w:rPr>
          <w:rFonts w:ascii="Times New Roman" w:cs="Times New Roman" w:eastAsia="Times New Roman" w:hAnsi="Times New Roman"/>
          <w:i w:val="false"/>
          <w:iCs w:val="false"/>
          <w:sz w:val="24"/>
          <w:szCs w:val="24"/>
        </w:rPr>
        <w:t xml:space="preserve">(2), 2473–2480. https://doi.org/10.1016/j.eswa.2007.12.020</w:t>
      </w:r>
    </w:p>
    <w:p>
      <w:r>
        <w:br w:type="page"/>
      </w:r>
    </w:p>
    <w:p>
      <w:pPr>
        <w:pStyle w:val="Heading1"/>
        <w:spacing w:after="0" w:before="0" w:line="480"/>
        <w:jc w:val="center"/>
      </w:pPr>
      <w:r>
        <w:rPr>
          <w:rFonts w:ascii="Times New Roman" w:cs="Times New Roman" w:eastAsia="Times New Roman" w:hAnsi="Times New Roman"/>
          <w:b/>
          <w:bCs/>
          <w:color w:val="000000"/>
          <w:sz w:val="24"/>
          <w:szCs w:val="24"/>
        </w:rPr>
        <w:t xml:space="preserve">Appendix A</w:t>
      </w:r>
    </w:p>
    <w:p>
      <w:pPr>
        <w:pStyle w:val="Heading1"/>
        <w:spacing w:after="0" w:before="0" w:line="480"/>
        <w:jc w:val="center"/>
      </w:pPr>
      <w:r>
        <w:rPr>
          <w:rFonts w:ascii="Times New Roman" w:cs="Times New Roman" w:eastAsia="Times New Roman" w:hAnsi="Times New Roman"/>
          <w:b/>
          <w:bCs/>
          <w:color w:val="000000"/>
          <w:sz w:val="24"/>
          <w:szCs w:val="24"/>
        </w:rPr>
        <w:t xml:space="preserve">Repository Layout and Run Instructions</w:t>
      </w:r>
    </w:p>
    <w:p>
      <w:pPr>
        <w:spacing w:after="0" w:before="0" w:line="480"/>
        <w:ind w:firstLine="720"/>
      </w:pPr>
      <w:r>
        <w:rPr>
          <w:rFonts w:ascii="Times New Roman" w:cs="Times New Roman" w:eastAsia="Times New Roman" w:hAnsi="Times New Roman"/>
          <w:sz w:val="24"/>
          <w:szCs w:val="24"/>
        </w:rPr>
        <w:t xml:space="preserve">The public repository at https://github.com/mriyer-walsh/qm640-credit-fairness holds the code, data dictionary, and results as they are produced. The folder tree below is the planned layout from the repository README. Items marked (at synopsis) exist at submission, and the remainder are created in the week shown in Table 4.</w:t>
      </w:r>
    </w:p>
    <w:p>
      <w:pPr>
        <w:spacing w:after="0" w:before="0" w:line="240"/>
      </w:pPr>
      <w:r>
        <w:rPr>
          <w:rFonts w:ascii="Courier New" w:cs="Courier New" w:eastAsia="Courier New" w:hAnsi="Courier New"/>
          <w:sz w:val="20"/>
          <w:szCs w:val="20"/>
        </w:rPr>
        <w:t xml:space="preserve">qm640-credit-fairness/</w:t>
      </w:r>
    </w:p>
    <w:p>
      <w:pPr>
        <w:spacing w:after="0" w:before="0" w:line="240"/>
      </w:pPr>
      <w:r>
        <w:rPr>
          <w:rFonts w:ascii="Courier New" w:cs="Courier New" w:eastAsia="Courier New" w:hAnsi="Courier New"/>
          <w:sz w:val="20"/>
          <w:szCs w:val="20"/>
        </w:rPr>
        <w:t xml:space="preserve">|-- README.md                 (at synopsis) summary, licence, citation</w:t>
      </w:r>
    </w:p>
    <w:p>
      <w:pPr>
        <w:spacing w:after="0" w:before="0" w:line="240"/>
      </w:pPr>
      <w:r>
        <w:rPr>
          <w:rFonts w:ascii="Courier New" w:cs="Courier New" w:eastAsia="Courier New" w:hAnsi="Courier New"/>
          <w:sz w:val="20"/>
          <w:szCs w:val="20"/>
        </w:rPr>
        <w:t xml:space="preserve">|-- requirements.txt          (at synopsis) pinned dependencies</w:t>
      </w:r>
    </w:p>
    <w:p>
      <w:pPr>
        <w:spacing w:after="0" w:before="0" w:line="240"/>
      </w:pPr>
      <w:r>
        <w:rPr>
          <w:rFonts w:ascii="Courier New" w:cs="Courier New" w:eastAsia="Courier New" w:hAnsi="Courier New"/>
          <w:sz w:val="20"/>
          <w:szCs w:val="20"/>
        </w:rPr>
        <w:t xml:space="preserve">|-- Makefile                  make data | make all | make report</w:t>
      </w:r>
    </w:p>
    <w:p>
      <w:pPr>
        <w:spacing w:after="0" w:before="0" w:line="240"/>
      </w:pPr>
      <w:r>
        <w:rPr>
          <w:rFonts w:ascii="Courier New" w:cs="Courier New" w:eastAsia="Courier New" w:hAnsi="Courier New"/>
          <w:sz w:val="20"/>
          <w:szCs w:val="20"/>
        </w:rPr>
        <w:t xml:space="preserve">|-- data/</w:t>
      </w:r>
    </w:p>
    <w:p>
      <w:pPr>
        <w:spacing w:after="0" w:before="0" w:line="240"/>
      </w:pPr>
      <w:r>
        <w:rPr>
          <w:rFonts w:ascii="Courier New" w:cs="Courier New" w:eastAsia="Courier New" w:hAnsi="Courier New"/>
          <w:sz w:val="20"/>
          <w:szCs w:val="20"/>
        </w:rPr>
        <w:t xml:space="preserve">|   |-- raw/                  filled by download.py, not committed</w:t>
      </w:r>
    </w:p>
    <w:p>
      <w:pPr>
        <w:spacing w:after="0" w:before="0" w:line="240"/>
      </w:pPr>
      <w:r>
        <w:rPr>
          <w:rFonts w:ascii="Courier New" w:cs="Courier New" w:eastAsia="Courier New" w:hAnsi="Courier New"/>
          <w:sz w:val="20"/>
          <w:szCs w:val="20"/>
        </w:rPr>
        <w:t xml:space="preserve">|   |-- processed/</w:t>
      </w:r>
    </w:p>
    <w:p>
      <w:pPr>
        <w:spacing w:after="0" w:before="0" w:line="240"/>
      </w:pPr>
      <w:r>
        <w:rPr>
          <w:rFonts w:ascii="Courier New" w:cs="Courier New" w:eastAsia="Courier New" w:hAnsi="Courier New"/>
          <w:sz w:val="20"/>
          <w:szCs w:val="20"/>
        </w:rPr>
        <w:t xml:space="preserve">|   |   |-- clients_clean.parquet      week 2</w:t>
      </w:r>
    </w:p>
    <w:p>
      <w:pPr>
        <w:spacing w:after="0" w:before="0" w:line="240"/>
      </w:pPr>
      <w:r>
        <w:rPr>
          <w:rFonts w:ascii="Courier New" w:cs="Courier New" w:eastAsia="Courier New" w:hAnsi="Courier New"/>
          <w:sz w:val="20"/>
          <w:szCs w:val="20"/>
        </w:rPr>
        <w:t xml:space="preserve">|   |   |-- folds.csv         week 2: ID, fold, partition, seed 640</w:t>
      </w:r>
    </w:p>
    <w:p>
      <w:pPr>
        <w:spacing w:after="0" w:before="0" w:line="240"/>
      </w:pPr>
      <w:r>
        <w:rPr>
          <w:rFonts w:ascii="Courier New" w:cs="Courier New" w:eastAsia="Courier New" w:hAnsi="Courier New"/>
          <w:sz w:val="20"/>
          <w:szCs w:val="20"/>
        </w:rPr>
        <w:t xml:space="preserve">|   |-- data_dictionary.csv   (at synopsis) source of Table 2</w:t>
      </w:r>
    </w:p>
    <w:p>
      <w:pPr>
        <w:spacing w:after="0" w:before="0" w:line="240"/>
      </w:pPr>
      <w:r>
        <w:rPr>
          <w:rFonts w:ascii="Courier New" w:cs="Courier New" w:eastAsia="Courier New" w:hAnsi="Courier New"/>
          <w:sz w:val="20"/>
          <w:szCs w:val="20"/>
        </w:rPr>
        <w:t xml:space="preserve">|-- notebooks/</w:t>
      </w:r>
    </w:p>
    <w:p>
      <w:pPr>
        <w:spacing w:after="0" w:before="0" w:line="240"/>
      </w:pPr>
      <w:r>
        <w:rPr>
          <w:rFonts w:ascii="Courier New" w:cs="Courier New" w:eastAsia="Courier New" w:hAnsi="Courier New"/>
          <w:sz w:val="20"/>
          <w:szCs w:val="20"/>
        </w:rPr>
        <w:t xml:space="preserve">|   |-- 01_eda.ipynb                   week 2</w:t>
      </w:r>
    </w:p>
    <w:p>
      <w:pPr>
        <w:spacing w:after="0" w:before="0" w:line="240"/>
      </w:pPr>
      <w:r>
        <w:rPr>
          <w:rFonts w:ascii="Courier New" w:cs="Courier New" w:eastAsia="Courier New" w:hAnsi="Courier New"/>
          <w:sz w:val="20"/>
          <w:szCs w:val="20"/>
        </w:rPr>
        <w:t xml:space="preserve">|   |-- 02_rq2_outcome_disparity.ipynb week 3</w:t>
      </w:r>
    </w:p>
    <w:p>
      <w:pPr>
        <w:spacing w:after="0" w:before="0" w:line="240"/>
      </w:pPr>
      <w:r>
        <w:rPr>
          <w:rFonts w:ascii="Courier New" w:cs="Courier New" w:eastAsia="Courier New" w:hAnsi="Courier New"/>
          <w:sz w:val="20"/>
          <w:szCs w:val="20"/>
        </w:rPr>
        <w:t xml:space="preserve">|   |-- 03_rq1_models.ipynb            weeks 4 to 5</w:t>
      </w:r>
    </w:p>
    <w:p>
      <w:pPr>
        <w:spacing w:after="0" w:before="0" w:line="240"/>
      </w:pPr>
      <w:r>
        <w:rPr>
          <w:rFonts w:ascii="Courier New" w:cs="Courier New" w:eastAsia="Courier New" w:hAnsi="Courier New"/>
          <w:sz w:val="20"/>
          <w:szCs w:val="20"/>
        </w:rPr>
        <w:t xml:space="preserve">|   |-- 04_rq3_fairness_audit.ipynb    week 6</w:t>
      </w:r>
    </w:p>
    <w:p>
      <w:pPr>
        <w:spacing w:after="0" w:before="0" w:line="240"/>
      </w:pPr>
      <w:r>
        <w:rPr>
          <w:rFonts w:ascii="Courier New" w:cs="Courier New" w:eastAsia="Courier New" w:hAnsi="Courier New"/>
          <w:sz w:val="20"/>
          <w:szCs w:val="20"/>
        </w:rPr>
        <w:t xml:space="preserve">|   |-- 05_rq4_mitigation.ipynb        weeks 7 to 8</w:t>
      </w:r>
    </w:p>
    <w:p>
      <w:pPr>
        <w:spacing w:after="0" w:before="0" w:line="240"/>
      </w:pPr>
      <w:r>
        <w:rPr>
          <w:rFonts w:ascii="Courier New" w:cs="Courier New" w:eastAsia="Courier New" w:hAnsi="Courier New"/>
          <w:sz w:val="20"/>
          <w:szCs w:val="20"/>
        </w:rPr>
        <w:t xml:space="preserve">|-- src/</w:t>
      </w:r>
    </w:p>
    <w:p>
      <w:pPr>
        <w:spacing w:after="0" w:before="0" w:line="240"/>
      </w:pPr>
      <w:r>
        <w:rPr>
          <w:rFonts w:ascii="Courier New" w:cs="Courier New" w:eastAsia="Courier New" w:hAnsi="Courier New"/>
          <w:sz w:val="20"/>
          <w:szCs w:val="20"/>
        </w:rPr>
        <w:t xml:space="preserve">|   |-- download.py           (at synopsis) fetch, verify checksum</w:t>
      </w:r>
    </w:p>
    <w:p>
      <w:pPr>
        <w:spacing w:after="0" w:before="0" w:line="240"/>
      </w:pPr>
      <w:r>
        <w:rPr>
          <w:rFonts w:ascii="Courier New" w:cs="Courier New" w:eastAsia="Courier New" w:hAnsi="Courier New"/>
          <w:sz w:val="20"/>
          <w:szCs w:val="20"/>
        </w:rPr>
        <w:t xml:space="preserve">|   |-- sample_size.py        (at synopsis) reproduces Table 1</w:t>
      </w:r>
    </w:p>
    <w:p>
      <w:pPr>
        <w:spacing w:after="0" w:before="0" w:line="240"/>
      </w:pPr>
      <w:r>
        <w:rPr>
          <w:rFonts w:ascii="Courier New" w:cs="Courier New" w:eastAsia="Courier New" w:hAnsi="Courier New"/>
          <w:sz w:val="20"/>
          <w:szCs w:val="20"/>
        </w:rPr>
        <w:t xml:space="preserve">|   |-- prepare.py            week 2: recoding, features, folds</w:t>
      </w:r>
    </w:p>
    <w:p>
      <w:pPr>
        <w:spacing w:after="0" w:before="0" w:line="240"/>
      </w:pPr>
      <w:r>
        <w:rPr>
          <w:rFonts w:ascii="Courier New" w:cs="Courier New" w:eastAsia="Courier New" w:hAnsi="Courier New"/>
          <w:sz w:val="20"/>
          <w:szCs w:val="20"/>
        </w:rPr>
        <w:t xml:space="preserve">|   |-- train.py              weeks 4 to 5: models, nested CV</w:t>
      </w:r>
    </w:p>
    <w:p>
      <w:pPr>
        <w:spacing w:after="0" w:before="0" w:line="240"/>
      </w:pPr>
      <w:r>
        <w:rPr>
          <w:rFonts w:ascii="Courier New" w:cs="Courier New" w:eastAsia="Courier New" w:hAnsi="Courier New"/>
          <w:sz w:val="20"/>
          <w:szCs w:val="20"/>
        </w:rPr>
        <w:t xml:space="preserve">|   |-- policy.py             weeks 6 to 8: cut-offs, thresholds</w:t>
      </w:r>
    </w:p>
    <w:p>
      <w:pPr>
        <w:spacing w:after="0" w:before="0" w:line="240"/>
      </w:pPr>
      <w:r>
        <w:rPr>
          <w:rFonts w:ascii="Courier New" w:cs="Courier New" w:eastAsia="Courier New" w:hAnsi="Courier New"/>
          <w:sz w:val="20"/>
          <w:szCs w:val="20"/>
        </w:rPr>
        <w:t xml:space="preserve">|   |-- evaluate.py           week 6: metrics, DeLong, bootstrap</w:t>
      </w:r>
    </w:p>
    <w:p>
      <w:pPr>
        <w:spacing w:after="0" w:before="0" w:line="240"/>
      </w:pPr>
      <w:r>
        <w:rPr>
          <w:rFonts w:ascii="Courier New" w:cs="Courier New" w:eastAsia="Courier New" w:hAnsi="Courier New"/>
          <w:sz w:val="20"/>
          <w:szCs w:val="20"/>
        </w:rPr>
        <w:t xml:space="preserve">|-- results/</w:t>
      </w:r>
    </w:p>
    <w:p>
      <w:pPr>
        <w:spacing w:after="0" w:before="0" w:line="240"/>
      </w:pPr>
      <w:r>
        <w:rPr>
          <w:rFonts w:ascii="Courier New" w:cs="Courier New" w:eastAsia="Courier New" w:hAnsi="Courier New"/>
          <w:sz w:val="20"/>
          <w:szCs w:val="20"/>
        </w:rPr>
        <w:t xml:space="preserve">|   |-- tables/               one CSV per research question</w:t>
      </w:r>
    </w:p>
    <w:p>
      <w:pPr>
        <w:spacing w:after="0" w:before="0" w:line="240"/>
      </w:pPr>
      <w:r>
        <w:rPr>
          <w:rFonts w:ascii="Courier New" w:cs="Courier New" w:eastAsia="Courier New" w:hAnsi="Courier New"/>
          <w:sz w:val="20"/>
          <w:szCs w:val="20"/>
        </w:rPr>
        <w:t xml:space="preserve">|   |-- figures/              ROC, reliability, trade-off curve</w:t>
      </w:r>
    </w:p>
    <w:p>
      <w:pPr>
        <w:spacing w:after="0" w:before="0" w:line="240"/>
      </w:pPr>
      <w:r>
        <w:rPr>
          <w:rFonts w:ascii="Courier New" w:cs="Courier New" w:eastAsia="Courier New" w:hAnsi="Courier New"/>
          <w:sz w:val="20"/>
          <w:szCs w:val="20"/>
        </w:rPr>
        <w:t xml:space="preserve">|-- reports/</w:t>
      </w:r>
    </w:p>
    <w:p>
      <w:pPr>
        <w:spacing w:after="0" w:before="0" w:line="240"/>
      </w:pPr>
      <w:r>
        <w:rPr>
          <w:rFonts w:ascii="Courier New" w:cs="Courier New" w:eastAsia="Courier New" w:hAnsi="Courier New"/>
          <w:sz w:val="20"/>
          <w:szCs w:val="20"/>
        </w:rPr>
        <w:t xml:space="preserve">    |-- synopsis.pdf          (at synopsis)</w:t>
      </w:r>
    </w:p>
    <w:p>
      <w:pPr>
        <w:spacing w:after="0" w:before="0" w:line="240"/>
      </w:pPr>
      <w:r>
        <w:rPr>
          <w:rFonts w:ascii="Courier New" w:cs="Courier New" w:eastAsia="Courier New" w:hAnsi="Courier New"/>
          <w:sz w:val="20"/>
          <w:szCs w:val="20"/>
        </w:rPr>
        <w:t xml:space="preserve">    |-- interim_report.pdf    week 6</w:t>
      </w:r>
    </w:p>
    <w:p>
      <w:pPr>
        <w:spacing w:after="0" w:before="0" w:line="240"/>
      </w:pPr>
      <w:r>
        <w:rPr>
          <w:rFonts w:ascii="Courier New" w:cs="Courier New" w:eastAsia="Courier New" w:hAnsi="Courier New"/>
          <w:sz w:val="20"/>
          <w:szCs w:val="20"/>
        </w:rPr>
        <w:t xml:space="preserve">    |-- final_report.pdf      week 10</w:t>
      </w:r>
    </w:p>
    <w:p>
      <w:pPr>
        <w:spacing w:after="240" w:before="0" w:line="240"/>
      </w:pPr>
    </w:p>
    <w:p>
      <w:pPr>
        <w:spacing w:after="0" w:before="0" w:line="480"/>
        <w:ind w:firstLine="720"/>
      </w:pPr>
      <w:r>
        <w:rPr>
          <w:rFonts w:ascii="Times New Roman" w:cs="Times New Roman" w:eastAsia="Times New Roman" w:hAnsi="Times New Roman"/>
          <w:sz w:val="24"/>
          <w:szCs w:val="24"/>
        </w:rPr>
        <w:t xml:space="preserve">To reproduce the analysis once the pipeline is complete, clone the repository, create a Python 3.11 virtual environment, and install the pinned dependencies with pip install -r requirements.txt. The command make data runs download.py and prepare.py, which fetch the source file from the UCI repository, verify it against the stored checksum, apply the cleaning plan, and write the Parquet file and fold assignment. The command make all executes the five notebooks in order and writes every table and figure to the results folder. The command make report rebuilds the PDF reports from those outputs. Running sample_size.py alone prints the calculations behind Table 1 and works at submission. Runtime will be recorded in the README after the week 2 benchmark.</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a86127d20b942e88ff3ef2ed65d8499b95db3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 640 Capstone Synopsis</dc:title>
  <dc:creator>Mrityunjay Ravi Iyer</dc:creator>
  <cp:lastModifiedBy>Un-named</cp:lastModifiedBy>
  <cp:revision>1</cp:revision>
  <dcterms:created xsi:type="dcterms:W3CDTF">2026-10-09T08:41:58.832Z</dcterms:created>
  <dcterms:modified xsi:type="dcterms:W3CDTF">2026-10-09T08:41:58.832Z</dcterms:modified>
</cp:coreProperties>
</file>

<file path=docProps/custom.xml><?xml version="1.0" encoding="utf-8"?>
<Properties xmlns="http://schemas.openxmlformats.org/officeDocument/2006/custom-properties" xmlns:vt="http://schemas.openxmlformats.org/officeDocument/2006/docPropsVTypes"/>
</file>