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13,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/>
    <w:p>
      <w:r>
        <w:t xml:space="preserve">What changed from the previous day:</w:t>
      </w:r>
    </w:p>
    <w:p>
      <w:r>
        <w:t xml:space="preserve">- Trade count decreased by 262 compared with the previous day.</w:t>
      </w:r>
    </w:p>
    <w:p>
      <w:r>
        <w:t xml:space="preserve">- Buy-order change versus previous day: -256. Sell-order change versus previous day: -6.</w:t>
      </w:r>
    </w:p>
    <w:p>
      <w:r>
        <w:t xml:space="preserve">- Approximate total order value decreased by USD 13103.13 compared with the previous day.</w:t>
      </w:r>
    </w:p>
    <w:p/>
    <w:p>
      <w:r>
        <w:t xml:space="preserve">Source note:</w:t>
      </w:r>
    </w:p>
    <w:p>
      <w:r>
        <w:t xml:space="preserve">- Generated from logs/trading_journal.json on 2026-03-13 02:49:55.</w:t>
      </w:r>
    </w:p>
    <w:sectPr>
      <w:pgSz w:w="12240" w:h="15840"/>
      <w:pgMar w:top="1440" w:right="1440" w:bottom="1440" w:left="1440" w:header="720" w:footer="720" w:gutter="0"/>
    </w:sectPr>
  </w:body>
</w:document>
</file>