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11,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145</w:t>
      </w:r>
    </w:p>
    <w:p>
      <w:r>
        <w:t xml:space="preserve">- Buy orders: 97</w:t>
      </w:r>
    </w:p>
    <w:p>
      <w:r>
        <w:t xml:space="preserve">- Sell orders: 48</w:t>
      </w:r>
    </w:p>
    <w:p>
      <w:r>
        <w:t xml:space="preserve">- Open trades: 145</w:t>
      </w:r>
    </w:p>
    <w:p>
      <w:r>
        <w:t xml:space="preserve">- Closed trades: 0</w:t>
      </w:r>
    </w:p>
    <w:p>
      <w:r>
        <w:t xml:space="preserve">- Average recorded confidence: 52.5%</w:t>
      </w:r>
    </w:p>
    <w:p>
      <w:r>
        <w:t xml:space="preserve">- Approximate total notional value of orders: USD 7,251.73</w:t>
      </w:r>
    </w:p>
    <w:p>
      <w:r>
        <w:t xml:space="preserve">- Recorded time window: 2026-03-11T04:36:29.618156 to 2026-03-11T21:43:13.407573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46 trades</w:t>
      </w:r>
    </w:p>
    <w:p>
      <w:r>
        <w:t xml:space="preserve">- BTC: 51 trades</w:t>
      </w:r>
    </w:p>
    <w:p>
      <w:r>
        <w:t xml:space="preserve">- ETH: 48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145 compared with the previous day.</w:t>
      </w:r>
    </w:p>
    <w:p>
      <w:r>
        <w:t xml:space="preserve">- Buy-order change versus previous day: 97. Sell-order change versus previous day: 48.</w:t>
      </w:r>
    </w:p>
    <w:p>
      <w:r>
        <w:t xml:space="preserve">- Approximate total order value increased by USD 7251.73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2026-03-17 05:55:45.</w:t>
      </w:r>
    </w:p>
    <w:sectPr>
      <w:pgSz w:w="12240" w:h="15840"/>
      <w:pgMar w:top="1440" w:right="1440" w:bottom="1440" w:left="1440" w:header="720" w:footer="720" w:gutter="0"/>
    </w:sectPr>
  </w:body>
</w:document>
</file>