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before="2000"/>
        <w:rPr>
          <w:shd w:val="clear"/>
        </w:rPr>
      </w:pPr>
    </w:p>
    <w:p>
      <w:pPr>
        <w:jc w:val="left"/>
        <w:spacing w:lineRule="auto" w:line="275" w:before="0" w:after="120"/>
        <w:rPr>
          <w:shd w:val="clear"/>
        </w:rPr>
      </w:pPr>
      <w:r>
        <w:rPr>
          <w:i w:val="0"/>
          <w:b w:val="1"/>
          <w:color w:val="999999"/>
          <w:sz w:val="20"/>
          <w:szCs w:val="20"/>
          <w:shd w:val="clear"/>
          <w:rFonts w:ascii="Arial" w:eastAsia="Arial" w:hAnsi="Arial" w:cs="Arial"/>
        </w:rPr>
        <w:t>CHEMISTRY</w:t>
      </w:r>
    </w:p>
    <w:p>
      <w:pPr>
        <w:spacing w:before="200" w:after="80"/>
        <w:rPr>
          <w:shd w:val="clear"/>
        </w:rPr>
      </w:pPr>
      <w:r>
        <w:rPr>
          <w:b w:val="1"/>
          <w:color w:val="1B3A5C"/>
          <w:sz w:val="48"/>
          <w:szCs w:val="48"/>
          <w:shd w:val="clear"/>
          <w:rFonts w:ascii="Arial" w:eastAsia="Arial" w:hAnsi="Arial" w:cs="Arial"/>
        </w:rPr>
        <w:t xml:space="preserve">PNCAM 준거타당도 검증 설문</w:t>
      </w:r>
    </w:p>
    <w:p>
      <w:pPr>
        <w:jc w:val="left"/>
        <w:spacing w:lineRule="auto" w:line="275" w:before="0" w:after="120"/>
        <w:rPr>
          <w:shd w:val="clear"/>
        </w:rPr>
      </w:pPr>
      <w:r>
        <w:rPr>
          <w:i w:val="0"/>
          <w:b w:val="0"/>
          <w:color w:val="2E75B6"/>
          <w:sz w:val="28"/>
          <w:szCs w:val="28"/>
          <w:shd w:val="clear"/>
          <w:rFonts w:ascii="Arial" w:eastAsia="Arial" w:hAnsi="Arial" w:cs="Arial"/>
        </w:rPr>
        <w:t xml:space="preserve">v2.2 — 6문항 최소화 설계 (출산전 포함 5개 연령)</w:t>
      </w:r>
    </w:p>
    <w:p>
      <w:pPr>
        <w:spacing w:before="14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1805"/>
        <w:gridCol w:w="1805"/>
        <w:gridCol w:w="1806"/>
        <w:gridCol w:w="1805"/>
        <w:gridCol w:w="1805"/>
      </w:tblGrid>
      <w:tr>
        <w:trPr/>
        <w:tc>
          <w:tcPr>
            <w:tcW w:type="dxa" w:w="1805"/>
            <w:tcMar>
              <w:left w:w="60" w:type="dxa"/>
              <w:right w:w="60" w:type="dxa"/>
              <w:top w:w="60" w:type="dxa"/>
              <w:bottom w:w="6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8E1"/>
          </w:tcPr>
          <w:p>
            <w:pPr>
              <w:jc w:val="center"/>
              <w:spacing w:after="0"/>
              <w:rPr>
                <w:b w:val="1"/>
                <w:color w:val="E65100"/>
                <w:sz w:val="18"/>
                <w:szCs w:val="18"/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E65100"/>
                <w:sz w:val="18"/>
                <w:szCs w:val="18"/>
                <w:shd w:val="clear"/>
                <w:rFonts w:ascii="Arial" w:eastAsia="Arial" w:hAnsi="Arial" w:cs="Arial"/>
              </w:rPr>
              <w:t>출산전</w:t>
            </w:r>
          </w:p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E65100"/>
                <w:sz w:val="18"/>
                <w:szCs w:val="18"/>
                <w:shd w:val="clear"/>
                <w:rFonts w:ascii="Arial" w:eastAsia="Arial" w:hAnsi="Arial" w:cs="Arial"/>
              </w:rPr>
              <w:t>임신중</w:t>
            </w:r>
          </w:p>
        </w:tc>
        <w:tc>
          <w:tcPr>
            <w:tcW w:type="dxa" w:w="1805"/>
            <w:tcMar>
              <w:left w:w="60" w:type="dxa"/>
              <w:right w:w="60" w:type="dxa"/>
              <w:top w:w="60" w:type="dxa"/>
              <w:bottom w:w="6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CE4EC"/>
          </w:tcPr>
          <w:p>
            <w:pPr>
              <w:jc w:val="center"/>
              <w:spacing w:after="0"/>
              <w:rPr>
                <w:b w:val="1"/>
                <w:color w:val="C62828"/>
                <w:sz w:val="18"/>
                <w:szCs w:val="18"/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C62828"/>
                <w:sz w:val="18"/>
                <w:szCs w:val="18"/>
                <w:shd w:val="clear"/>
                <w:rFonts w:ascii="Arial" w:eastAsia="Arial" w:hAnsi="Arial" w:cs="Arial"/>
              </w:rPr>
              <w:t>영아기</w:t>
            </w:r>
          </w:p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C62828"/>
                <w:sz w:val="18"/>
                <w:szCs w:val="18"/>
                <w:shd w:val="clear"/>
                <w:rFonts w:ascii="Arial" w:eastAsia="Arial" w:hAnsi="Arial" w:cs="Arial"/>
              </w:rPr>
              <w:t>0~3세</w:t>
            </w:r>
          </w:p>
        </w:tc>
        <w:tc>
          <w:tcPr>
            <w:tcW w:type="dxa" w:w="1806"/>
            <w:tcMar>
              <w:left w:w="60" w:type="dxa"/>
              <w:right w:w="60" w:type="dxa"/>
              <w:top w:w="60" w:type="dxa"/>
              <w:bottom w:w="6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E8F5E9"/>
          </w:tcPr>
          <w:p>
            <w:pPr>
              <w:jc w:val="center"/>
              <w:spacing w:after="0"/>
              <w:rPr>
                <w:b w:val="1"/>
                <w:color w:val="2E7D32"/>
                <w:sz w:val="18"/>
                <w:szCs w:val="18"/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7D32"/>
                <w:sz w:val="18"/>
                <w:szCs w:val="18"/>
                <w:shd w:val="clear"/>
                <w:rFonts w:ascii="Arial" w:eastAsia="Arial" w:hAnsi="Arial" w:cs="Arial"/>
              </w:rPr>
              <w:t>유아기</w:t>
            </w:r>
          </w:p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2E7D32"/>
                <w:sz w:val="18"/>
                <w:szCs w:val="18"/>
                <w:shd w:val="clear"/>
                <w:rFonts w:ascii="Arial" w:eastAsia="Arial" w:hAnsi="Arial" w:cs="Arial"/>
              </w:rPr>
              <w:t>4~6세</w:t>
            </w:r>
          </w:p>
        </w:tc>
        <w:tc>
          <w:tcPr>
            <w:tcW w:type="dxa" w:w="1805"/>
            <w:tcMar>
              <w:left w:w="60" w:type="dxa"/>
              <w:right w:w="60" w:type="dxa"/>
              <w:top w:w="60" w:type="dxa"/>
              <w:bottom w:w="6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D5E8F0"/>
          </w:tcPr>
          <w:p>
            <w:pPr>
              <w:jc w:val="center"/>
              <w:spacing w:after="0"/>
              <w:rPr>
                <w:b w:val="1"/>
                <w:color w:val="2E75B6"/>
                <w:sz w:val="18"/>
                <w:szCs w:val="18"/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2E75B6"/>
                <w:sz w:val="18"/>
                <w:szCs w:val="18"/>
                <w:shd w:val="clear"/>
                <w:rFonts w:ascii="Arial" w:eastAsia="Arial" w:hAnsi="Arial" w:cs="Arial"/>
              </w:rPr>
              <w:t>초등부</w:t>
            </w:r>
          </w:p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2E75B6"/>
                <w:sz w:val="18"/>
                <w:szCs w:val="18"/>
                <w:shd w:val="clear"/>
                <w:rFonts w:ascii="Arial" w:eastAsia="Arial" w:hAnsi="Arial" w:cs="Arial"/>
              </w:rPr>
              <w:t>7~13세</w:t>
            </w:r>
          </w:p>
        </w:tc>
        <w:tc>
          <w:tcPr>
            <w:tcW w:type="dxa" w:w="1805"/>
            <w:tcMar>
              <w:left w:w="60" w:type="dxa"/>
              <w:right w:w="60" w:type="dxa"/>
              <w:top w:w="60" w:type="dxa"/>
              <w:bottom w:w="6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3E5F5"/>
          </w:tcPr>
          <w:p>
            <w:pPr>
              <w:jc w:val="center"/>
              <w:spacing w:after="0"/>
              <w:rPr>
                <w:b w:val="1"/>
                <w:color w:val="6A1B9A"/>
                <w:sz w:val="18"/>
                <w:szCs w:val="18"/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6A1B9A"/>
                <w:sz w:val="18"/>
                <w:szCs w:val="18"/>
                <w:shd w:val="clear"/>
                <w:rFonts w:ascii="Arial" w:eastAsia="Arial" w:hAnsi="Arial" w:cs="Arial"/>
              </w:rPr>
              <w:t>중등부</w:t>
            </w:r>
          </w:p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6A1B9A"/>
                <w:sz w:val="18"/>
                <w:szCs w:val="18"/>
                <w:shd w:val="clear"/>
                <w:rFonts w:ascii="Arial" w:eastAsia="Arial" w:hAnsi="Arial" w:cs="Arial"/>
              </w:rPr>
              <w:t>14~16세</w:t>
            </w:r>
          </w:p>
        </w:tc>
      </w:tr>
    </w:tbl>
    <w:p>
      <w:pPr>
        <w:spacing w:before="140"/>
        <w:rPr>
          <w:shd w:val="clear"/>
        </w:rPr>
      </w:pPr>
    </w:p>
    <w:p>
      <w:pPr>
        <w:jc w:val="left"/>
        <w:spacing w:lineRule="auto" w:line="275" w:before="0" w:after="120"/>
        <w:rPr>
          <w:shd w:val="clear"/>
        </w:rPr>
      </w:pPr>
      <w:r>
        <w:rPr>
          <w:i w:val="0"/>
          <w:b w:val="0"/>
          <w:color w:val="666666"/>
          <w:sz w:val="20"/>
          <w:szCs w:val="20"/>
          <w:shd w:val="clear"/>
          <w:rFonts w:ascii="Arial" w:eastAsia="Arial" w:hAnsi="Arial" w:cs="Arial"/>
        </w:rPr>
        <w:t xml:space="preserve">5연령 × 6문항 = 30문항  |  5점 리커트  |  전 문항 자기보고  |  1분 완성  |  회귀분석 최적화</w:t>
      </w:r>
    </w:p>
    <w:p>
      <w:pPr>
        <w:spacing w:before="400"/>
        <w:rPr>
          <w:shd w:val="clear"/>
        </w:rPr>
      </w:pPr>
    </w:p>
    <w:p>
      <w:pPr>
        <w:jc w:val="left"/>
        <w:spacing w:lineRule="auto" w:line="275" w:before="0" w:after="120"/>
        <w:rPr>
          <w:shd w:val="clear"/>
        </w:rPr>
      </w:pPr>
      <w:r>
        <w:rPr>
          <w:i w:val="0"/>
          <w:b w:val="1"/>
          <w:color w:val="999999"/>
          <w:sz w:val="20"/>
          <w:szCs w:val="20"/>
          <w:shd w:val="clear"/>
          <w:rFonts w:ascii="Arial" w:eastAsia="Arial" w:hAnsi="Arial" w:cs="Arial"/>
        </w:rPr>
        <w:t xml:space="preserve">2025  |  Confidential — 내부 연구용</w:t>
      </w:r>
    </w:p>
    <w:p>
      <w:pPr>
        <w:rPr>
          <w:shd w:val="clear"/>
        </w:rPr>
      </w:pPr>
      <w:r>
        <w:br w:type="page"/>
      </w:r>
    </w:p>
    <w:p>
      <w:pPr>
        <w:pStyle w:val="PO151"/>
        <w:spacing w:before="360" w:after="200"/>
        <w:rPr>
          <w:shd w:val="clear"/>
        </w:rPr>
      </w:pPr>
      <w:r>
        <w:rPr>
          <w:b w:val="1"/>
          <w:color w:val="1B3A5C"/>
          <w:sz w:val="32"/>
          <w:szCs w:val="32"/>
          <w:shd w:val="clear"/>
          <w:rFonts w:ascii="Arial" w:eastAsia="Arial" w:hAnsi="Arial" w:cs="Arial"/>
        </w:rPr>
        <w:t xml:space="preserve">1. v2.2 설계 원칙</w:t>
      </w:r>
    </w:p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1.1 v2.1 → v2.2 변경 요약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2000"/>
        <w:gridCol w:w="3513"/>
        <w:gridCol w:w="3513"/>
      </w:tblGrid>
      <w:tr>
        <w:trPr/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항목</w:t>
            </w:r>
          </w:p>
        </w:tc>
        <w:tc>
          <w:tcPr>
            <w:tcW w:type="dxa" w:w="35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v2.1 (8문항)</w:t>
            </w:r>
          </w:p>
        </w:tc>
        <w:tc>
          <w:tcPr>
            <w:tcW w:type="dxa" w:w="35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v2.2 (6문항)</w:t>
            </w:r>
          </w:p>
        </w:tc>
      </w:tr>
      <w:tr>
        <w:trPr/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문항 수</w:t>
            </w:r>
          </w:p>
        </w:tc>
        <w:tc>
          <w:tcPr>
            <w:tcW w:type="dxa" w:w="35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지표당 2문항 = 8문항</w:t>
            </w:r>
          </w:p>
        </w:tc>
        <w:tc>
          <w:tcPr>
            <w:tcW w:type="dxa" w:w="35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핵심 지표 2문항 + 나머지 1문항씩 = 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6문항</w:t>
            </w:r>
          </w:p>
        </w:tc>
      </w:tr>
      <w:tr>
        <w:trPr/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연령 그룹</w:t>
            </w:r>
          </w:p>
        </w:tc>
        <w:tc>
          <w:tcPr>
            <w:tcW w:type="dxa" w:w="35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4개 (영아~중등)</w:t>
            </w:r>
          </w:p>
        </w:tc>
        <w:tc>
          <w:tcPr>
            <w:tcW w:type="dxa" w:w="35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5개 (출산전 추가)</w:t>
            </w:r>
          </w:p>
        </w:tc>
      </w:tr>
      <w:tr>
        <w:trPr/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총 문항 수</w:t>
            </w:r>
          </w:p>
        </w:tc>
        <w:tc>
          <w:tcPr>
            <w:tcW w:type="dxa" w:w="35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32문항 (8×4)</w:t>
            </w:r>
          </w:p>
        </w:tc>
        <w:tc>
          <w:tcPr>
            <w:tcW w:type="dxa" w:w="35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30문항 (6×5)</w:t>
            </w:r>
          </w:p>
        </w:tc>
      </w:tr>
      <w:tr>
        <w:trPr/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소요 시간</w:t>
            </w:r>
          </w:p>
        </w:tc>
        <w:tc>
          <w:tcPr>
            <w:tcW w:type="dxa" w:w="35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1분 30초</w:t>
            </w:r>
          </w:p>
        </w:tc>
        <w:tc>
          <w:tcPr>
            <w:tcW w:type="dxa" w:w="35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1분</w:t>
            </w:r>
          </w:p>
        </w:tc>
      </w:tr>
      <w:tr>
        <w:trPr/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신뢰도 추정</w:t>
            </w:r>
          </w:p>
        </w:tc>
        <w:tc>
          <w:tcPr>
            <w:tcW w:type="dxa" w:w="35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전 지표 Spearman-Brown</w:t>
            </w:r>
          </w:p>
        </w:tc>
        <w:tc>
          <w:tcPr>
            <w:tcW w:type="dxa" w:w="35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핵심 지표만 Spearman-Brown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나머지: 향후 파일럿에서 확인</w:t>
            </w:r>
          </w:p>
        </w:tc>
      </w:tr>
      <w:tr>
        <w:trPr/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회귀분석</w:t>
            </w:r>
          </w:p>
        </w:tc>
        <w:tc>
          <w:tcPr>
            <w:tcW w:type="dxa" w:w="35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4지표 모두 가능</w:t>
            </w:r>
          </w:p>
        </w:tc>
        <w:tc>
          <w:tcPr>
            <w:tcW w:type="dxa" w:w="35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4지표 모두 가능 (변동 없음)</w:t>
            </w:r>
          </w:p>
        </w:tc>
      </w:tr>
      <w:tr>
        <w:trPr/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출산전 문항</w:t>
            </w:r>
          </w:p>
        </w:tc>
        <w:tc>
          <w:tcPr>
            <w:tcW w:type="dxa" w:w="35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없음 (누락)</w:t>
            </w:r>
          </w:p>
        </w:tc>
        <w:tc>
          <w:tcPr>
            <w:tcW w:type="dxa" w:w="35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포함 (태아 애착·임신 스트레스)</w:t>
            </w:r>
          </w:p>
        </w:tc>
      </w:tr>
    </w:tbl>
    <w:p>
      <w:pPr>
        <w:spacing w:after="100"/>
        <w:rPr>
          <w:shd w:val="clear"/>
        </w:rPr>
      </w:pPr>
    </w:p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1.2 6문항 구조: 핵심 지표 강화형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3E0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1B3A5C"/>
                <w:sz w:val="22"/>
                <w:szCs w:val="22"/>
                <w:shd w:val="clear"/>
                <w:rFonts w:ascii="Arial" w:eastAsia="Arial" w:hAnsi="Arial" w:cs="Arial"/>
              </w:rPr>
              <w:t xml:space="preserve">6문항 배분 원칙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A. 핵심 지표 (해당 연령 최대 가중치) → 2문항 (행동 빈도 + 상황 대처) → Spearman-Brown </w:t>
            </w: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신뢰도 추정 가능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B. 나머지 3개 지표 → 각 1문항 (행동 빈도형) → 회귀분석 종속변수 확보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C. 전체 양육 만족도 1문항 → 수렴타당도 보조 검증 + 추가 종속변수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합계: 2(핵심) + 3(나머지) + 1(만족도) = 6문항</w:t>
            </w:r>
          </w:p>
        </w:tc>
      </w:tr>
    </w:tbl>
    <w:p>
      <w:pPr>
        <w:spacing w:after="8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7900" w:type="dxa"/>
        <w:tblLook w:val="000000" w:firstRow="0" w:lastRow="0" w:firstColumn="0" w:lastColumn="0" w:noHBand="0" w:noVBand="0"/>
        <w:tblLayout w:type="fixed"/>
      </w:tblPr>
      <w:tblGrid>
        <w:gridCol w:w="1500"/>
        <w:gridCol w:w="1400"/>
        <w:gridCol w:w="1200"/>
        <w:gridCol w:w="2000"/>
        <w:gridCol w:w="1000"/>
        <w:gridCol w:w="800"/>
      </w:tblGrid>
      <w:tr>
        <w:trPr/>
        <w:tc>
          <w:tcPr>
            <w:tcW w:type="dxa" w:w="1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연령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핵심 지표</w:t>
            </w:r>
          </w:p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(2문항)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가중치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나머지 지표</w:t>
            </w:r>
          </w:p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(각 1문항)</w:t>
            </w:r>
          </w:p>
        </w:tc>
        <w:tc>
          <w:tcPr>
            <w:tcW w:type="dxa" w:w="1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만족도</w:t>
            </w:r>
          </w:p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(1문항)</w:t>
            </w:r>
          </w:p>
        </w:tc>
        <w:tc>
          <w:tcPr>
            <w:tcW w:type="dxa" w:w="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합계</w:t>
            </w:r>
          </w:p>
        </w:tc>
      </w:tr>
      <w:tr>
        <w:trPr/>
        <w:tc>
          <w:tcPr>
            <w:tcW w:type="dxa" w:w="1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출산전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ESB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태아 애착 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최우선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CSP · PCI · STB</w:t>
            </w:r>
          </w:p>
        </w:tc>
        <w:tc>
          <w:tcPr>
            <w:tcW w:type="dxa" w:w="1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✓</w:t>
            </w:r>
          </w:p>
        </w:tc>
        <w:tc>
          <w:tcPr>
            <w:tcW w:type="dxa" w:w="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6</w:t>
            </w:r>
          </w:p>
        </w:tc>
      </w:tr>
      <w:tr>
        <w:trPr/>
        <w:tc>
          <w:tcPr>
            <w:tcW w:type="dxa" w:w="1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영아기 0~3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ESB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δ=0.40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CSP · PCI · STB</w:t>
            </w:r>
          </w:p>
        </w:tc>
        <w:tc>
          <w:tcPr>
            <w:tcW w:type="dxa" w:w="1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✓</w:t>
            </w:r>
          </w:p>
        </w:tc>
        <w:tc>
          <w:tcPr>
            <w:tcW w:type="dxa" w:w="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6</w:t>
            </w:r>
          </w:p>
        </w:tc>
      </w:tr>
      <w:tr>
        <w:trPr/>
        <w:tc>
          <w:tcPr>
            <w:tcW w:type="dxa" w:w="1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유아기 4~6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ESB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δ=0.30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CSP · PCI · STB</w:t>
            </w:r>
          </w:p>
        </w:tc>
        <w:tc>
          <w:tcPr>
            <w:tcW w:type="dxa" w:w="1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✓</w:t>
            </w:r>
          </w:p>
        </w:tc>
        <w:tc>
          <w:tcPr>
            <w:tcW w:type="dxa" w:w="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6</w:t>
            </w:r>
          </w:p>
        </w:tc>
      </w:tr>
      <w:tr>
        <w:trPr/>
        <w:tc>
          <w:tcPr>
            <w:tcW w:type="dxa" w:w="1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초등부 7~13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STB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δ=0.30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ESB · CSP · PCI</w:t>
            </w:r>
          </w:p>
        </w:tc>
        <w:tc>
          <w:tcPr>
            <w:tcW w:type="dxa" w:w="1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✓</w:t>
            </w:r>
          </w:p>
        </w:tc>
        <w:tc>
          <w:tcPr>
            <w:tcW w:type="dxa" w:w="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6</w:t>
            </w:r>
          </w:p>
        </w:tc>
      </w:tr>
      <w:tr>
        <w:trPr/>
        <w:tc>
          <w:tcPr>
            <w:tcW w:type="dxa" w:w="1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중등부 14~16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STB</w:t>
            </w:r>
          </w:p>
        </w:tc>
        <w:tc>
          <w:tcPr>
            <w:tcW w:type="dxa" w:w="1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δ=0.40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ESB · CSP · PCI</w:t>
            </w:r>
          </w:p>
        </w:tc>
        <w:tc>
          <w:tcPr>
            <w:tcW w:type="dxa" w:w="1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✓</w:t>
            </w:r>
          </w:p>
        </w:tc>
        <w:tc>
          <w:tcPr>
            <w:tcW w:type="dxa" w:w="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6</w:t>
            </w:r>
          </w:p>
        </w:tc>
      </w:tr>
    </w:tbl>
    <w:p>
      <w:pPr>
        <w:spacing w:after="100"/>
        <w:rPr>
          <w:shd w:val="clear"/>
        </w:rPr>
      </w:pPr>
    </w:p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1.3 6문항으로 회귀분석이 충분한 이유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D5E8F0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1. 종속변수 확보: 4개 지표 모두 최소 1문항 → 단순회귀(모형1) 가능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2. 핵심 지표 신뢰도: 2문항 평균 → Spearman-Brown 추정 가능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3. 변별타당도(모형2): 4개 종속변수 각각에 4개 예측변수 투입 → 대응 지표 β 최대 확인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4. 양육 만족도: 전체 PNCAM 점수와의 수렴타당도 보조 지표 + 추가 종속변수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5. 한계점: 나머지 3개 지표는 단일 문항이므로 측정 오차가 큼 → 회귀계수 과소추정(attenuation) </w:t>
            </w:r>
            <w:r>
              <w:rPr>
                <w:i w:val="1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가능 → 파일럿 후 필요시 문항 추가(v2.3)</w:t>
            </w:r>
          </w:p>
        </w:tc>
      </w:tr>
    </w:tbl>
    <w:p>
      <w:pPr>
        <w:spacing w:after="6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5F5F5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1B3A5C"/>
                <w:sz w:val="22"/>
                <w:szCs w:val="22"/>
                <w:shd w:val="clear"/>
                <w:rFonts w:ascii="Arial" w:eastAsia="Arial" w:hAnsi="Arial" w:cs="Arial"/>
              </w:rPr>
              <w:t xml:space="preserve">응답 척도 (전 문항 동일)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1"/>
                <w:szCs w:val="21"/>
                <w:shd w:val="clear"/>
                <w:rFonts w:ascii="Arial" w:eastAsia="Arial" w:hAnsi="Arial" w:cs="Arial"/>
              </w:rPr>
              <w:t xml:space="preserve">1 = 전혀 그렇지 않다  |  2 = 별로 그렇지 않다  |  3 = 보통이다  |  4 = 대체로 그렇다  |  5 = </w:t>
            </w:r>
            <w:r>
              <w:rPr>
                <w:i w:val="0"/>
                <w:b w:val="0"/>
                <w:color w:val="333333"/>
                <w:sz w:val="21"/>
                <w:szCs w:val="21"/>
                <w:shd w:val="clear"/>
                <w:rFonts w:ascii="Arial" w:eastAsia="Arial" w:hAnsi="Arial" w:cs="Arial"/>
              </w:rPr>
              <w:t xml:space="preserve">매우 그렇다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수집 시점: PNCAM 설문(T₀) 후 2~4주(T₁)  |  전 문항 자기보고  |  예상 소요: 1분</w:t>
            </w:r>
          </w:p>
        </w:tc>
      </w:tr>
    </w:tbl>
    <w:p>
      <w:pPr>
        <w:rPr>
          <w:shd w:val="clear"/>
        </w:rPr>
      </w:pPr>
      <w:r>
        <w:br w:type="page"/>
      </w:r>
    </w:p>
    <w:p>
      <w:pPr>
        <w:pStyle w:val="PO151"/>
        <w:spacing w:before="360" w:after="200"/>
        <w:rPr>
          <w:shd w:val="clear"/>
        </w:rPr>
      </w:pPr>
      <w:r>
        <w:rPr>
          <w:b w:val="1"/>
          <w:color w:val="1B3A5C"/>
          <w:sz w:val="32"/>
          <w:szCs w:val="32"/>
          <w:shd w:val="clear"/>
          <w:rFonts w:ascii="Arial" w:eastAsia="Arial" w:hAnsi="Arial" w:cs="Arial"/>
        </w:rPr>
        <w:t xml:space="preserve">출산전 준거 설문 (임신중)  |  6문항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8E1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E65100"/>
                <w:sz w:val="22"/>
                <w:szCs w:val="22"/>
                <w:shd w:val="clear"/>
                <w:rFonts w:ascii="Arial" w:eastAsia="Arial" w:hAnsi="Arial" w:cs="Arial"/>
              </w:rPr>
              <w:t xml:space="preserve">출산전  |  임신중  |  핵심 지표: ESB (2문항)  |  소요: 1분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맥락: 태아 애착 형성기. 출산 준비, 부부 간 양육 철학 조율, 임신 스트레스 관리. 아이가 아직 </w:t>
            </w: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없으므로 '예비 양육 행동'과 '준비 행동'을 측정합니다.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PNCAM 적용: 출산전에도 PNCAM 기본설문(Big Five + AAS + EF)은 측정 가능. 이 역량이 임신 </w:t>
            </w: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중 부부 행동에 어떻게 발현되는지를 검증합니다.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C62828"/>
          <w:sz w:val="24"/>
          <w:szCs w:val="24"/>
          <w:shd w:val="clear"/>
          <w:rFonts w:ascii="Arial" w:eastAsia="Arial" w:hAnsi="Arial" w:cs="Arial"/>
        </w:rPr>
        <w:t xml:space="preserve">P1 </w:t>
      </w:r>
      <w:r>
        <w:rPr>
          <w:b w:val="1"/>
          <w:color w:val="C62828"/>
          <w:sz w:val="20"/>
          <w:szCs w:val="20"/>
          <w:shd w:val="clear"/>
          <w:rFonts w:ascii="Arial" w:eastAsia="Arial" w:hAnsi="Arial" w:cs="Arial"/>
        </w:rPr>
        <w:t>[ESB]</w:t>
      </w:r>
      <w:r>
        <w:rPr>
          <w:i w:val="1"/>
          <w:color w:val="999999"/>
          <w:sz w:val="18"/>
          <w:szCs w:val="18"/>
          <w:shd w:val="clear"/>
          <w:rFonts w:ascii="Arial" w:eastAsia="Arial" w:hAnsi="Arial" w:cs="Arial"/>
        </w:rPr>
        <w:t xml:space="preserve">  ● 핵심 지표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나는 뱃속 아이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  <w:lang w:eastAsia="ko-KR"/>
              </w:rPr>
              <w:t xml:space="preserve">와 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교감하는 시간을 자주 갖는 편이다.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[핵심 지표 — 행동 빈도형] Cranley(1981) 태아 애착(Maternal-Fetal Attachment) — 임신 중 태아와의 정서적 유대 </w:t>
            </w: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>행동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C62828"/>
          <w:sz w:val="24"/>
          <w:szCs w:val="24"/>
          <w:shd w:val="clear"/>
          <w:rFonts w:ascii="Arial" w:eastAsia="Arial" w:hAnsi="Arial" w:cs="Arial"/>
        </w:rPr>
        <w:t xml:space="preserve">P2 </w:t>
      </w:r>
      <w:r>
        <w:rPr>
          <w:b w:val="1"/>
          <w:color w:val="C62828"/>
          <w:sz w:val="20"/>
          <w:szCs w:val="20"/>
          <w:shd w:val="clear"/>
          <w:rFonts w:ascii="Arial" w:eastAsia="Arial" w:hAnsi="Arial" w:cs="Arial"/>
        </w:rPr>
        <w:t>[ESB]</w:t>
      </w:r>
      <w:r>
        <w:rPr>
          <w:i w:val="1"/>
          <w:color w:val="999999"/>
          <w:sz w:val="18"/>
          <w:szCs w:val="18"/>
          <w:shd w:val="clear"/>
          <w:rFonts w:ascii="Arial" w:eastAsia="Arial" w:hAnsi="Arial" w:cs="Arial"/>
        </w:rPr>
        <w:t xml:space="preserve">  ● 핵심 지표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임신 중 불안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  <w:lang w:eastAsia="ko-KR"/>
              </w:rPr>
              <w:t>,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  <w:lang w:eastAsia="ko-KR"/>
              </w:rPr>
              <w:t xml:space="preserve"> 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걱정되는 순간에도, '괜찮아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  <w:lang w:eastAsia="ko-KR"/>
              </w:rPr>
              <w:t>’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  <w:lang w:eastAsia="ko-KR"/>
              </w:rPr>
              <w:t xml:space="preserve"> 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라며 안심하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  <w:lang w:eastAsia="ko-KR"/>
              </w:rPr>
              <w:t xml:space="preserve">려고 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  <w:lang w:eastAsia="ko-KR"/>
              </w:rPr>
              <w:t>노력한다.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[핵심 지표 — 상황 대처형] Condon(1993) 태아 애착 보호 동기 — 스트레스 상황에서도 태아를 향한 정서적 보호 </w:t>
            </w: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>의지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2E7D32"/>
          <w:sz w:val="24"/>
          <w:szCs w:val="24"/>
          <w:shd w:val="clear"/>
          <w:rFonts w:ascii="Arial" w:eastAsia="Arial" w:hAnsi="Arial" w:cs="Arial"/>
        </w:rPr>
        <w:t xml:space="preserve">P3 </w:t>
      </w:r>
      <w:r>
        <w:rPr>
          <w:b w:val="1"/>
          <w:color w:val="2E7D32"/>
          <w:sz w:val="20"/>
          <w:szCs w:val="20"/>
          <w:shd w:val="clear"/>
          <w:rFonts w:ascii="Arial" w:eastAsia="Arial" w:hAnsi="Arial" w:cs="Arial"/>
        </w:rPr>
        <w:t>[CSP]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출산 후 아이에게 어떤 환경을 만들어줄지 미리 생각하거나 준비하고 있다.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[나머지 지표 — 행동 빈도형] 예비 인지 자극 준비 — 출산 전 양육 환경의 의도적 사전 설계 행동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2E75B6"/>
          <w:sz w:val="24"/>
          <w:szCs w:val="24"/>
          <w:shd w:val="clear"/>
          <w:rFonts w:ascii="Arial" w:eastAsia="Arial" w:hAnsi="Arial" w:cs="Arial"/>
        </w:rPr>
        <w:t xml:space="preserve">P4 </w:t>
      </w:r>
      <w:r>
        <w:rPr>
          <w:b w:val="1"/>
          <w:color w:val="2E75B6"/>
          <w:sz w:val="20"/>
          <w:szCs w:val="20"/>
          <w:shd w:val="clear"/>
          <w:rFonts w:ascii="Arial" w:eastAsia="Arial" w:hAnsi="Arial" w:cs="Arial"/>
        </w:rPr>
        <w:t>[PCI]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배우자와 양육 방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  <w:lang w:eastAsia="ko-KR"/>
              </w:rPr>
              <w:t>식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에 대해 미리 이야기를 나누고 있다.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[나머지 지표 — 행동 빈도형] Feinberg 산전 공동양육 합의 — 출산 전 부부 간 양육 기준 사전 조율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6A1B9A"/>
          <w:sz w:val="24"/>
          <w:szCs w:val="24"/>
          <w:shd w:val="clear"/>
          <w:rFonts w:ascii="Arial" w:eastAsia="Arial" w:hAnsi="Arial" w:cs="Arial"/>
        </w:rPr>
        <w:t xml:space="preserve">P5 </w:t>
      </w:r>
      <w:r>
        <w:rPr>
          <w:b w:val="1"/>
          <w:color w:val="6A1B9A"/>
          <w:sz w:val="20"/>
          <w:szCs w:val="20"/>
          <w:shd w:val="clear"/>
          <w:rFonts w:ascii="Arial" w:eastAsia="Arial" w:hAnsi="Arial" w:cs="Arial"/>
        </w:rPr>
        <w:t>[STB]</w:t>
      </w:r>
      <w:r>
        <w:rPr>
          <w:i w:val="1"/>
          <w:color w:val="999999"/>
          <w:sz w:val="18"/>
          <w:szCs w:val="18"/>
          <w:shd w:val="clear"/>
          <w:rFonts w:ascii="Arial" w:eastAsia="Arial" w:hAnsi="Arial" w:cs="Arial"/>
        </w:rPr>
        <w:t xml:space="preserve">  ● 핵심 지표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개인적 스트레스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  <w:lang w:eastAsia="ko-KR"/>
              </w:rPr>
              <w:t xml:space="preserve">를  태아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에게 영향을 미치지 않도록 관리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  <w:lang w:eastAsia="ko-KR"/>
              </w:rPr>
              <w:t>한다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[나머지 지표 — 행동 빈도형] DiPietro(2004) 산전 스트레스 차단 — 모체 스트레스 호르몬(cortisol)의 태아 전이 </w:t>
            </w: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최소화 의지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E65100"/>
          <w:sz w:val="24"/>
          <w:szCs w:val="24"/>
          <w:shd w:val="clear"/>
          <w:rFonts w:ascii="Arial" w:eastAsia="Arial" w:hAnsi="Arial" w:cs="Arial"/>
        </w:rPr>
        <w:t xml:space="preserve">P6 </w:t>
      </w:r>
      <w:r>
        <w:rPr>
          <w:b w:val="1"/>
          <w:color w:val="E65100"/>
          <w:sz w:val="20"/>
          <w:szCs w:val="20"/>
          <w:shd w:val="clear"/>
          <w:rFonts w:ascii="Arial" w:eastAsia="Arial" w:hAnsi="Arial" w:cs="Arial"/>
        </w:rPr>
        <w:t>[SAT]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  <w:lang w:eastAsia="ko-KR"/>
              </w:rPr>
              <w:t xml:space="preserve">전반적으로, 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우리 부부는 좋은 부모가 될 준비가 되어 있다고 느낀다.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[양육 만족도/준비도] 예비 양육 자기효능감(Parenting Self-Efficacy) — PNCAM 전체 점수의 수렴타당도 보조 지표</w:t>
            </w:r>
          </w:p>
        </w:tc>
      </w:tr>
    </w:tbl>
    <w:p>
      <w:pPr>
        <w:rPr>
          <w:shd w:val="clear"/>
        </w:rPr>
      </w:pPr>
      <w:r>
        <w:br w:type="page"/>
      </w:r>
    </w:p>
    <w:p>
      <w:pPr>
        <w:pStyle w:val="PO151"/>
        <w:spacing w:before="360" w:after="200"/>
        <w:rPr>
          <w:shd w:val="clear"/>
        </w:rPr>
      </w:pPr>
      <w:r>
        <w:rPr>
          <w:b w:val="1"/>
          <w:color w:val="1B3A5C"/>
          <w:sz w:val="32"/>
          <w:szCs w:val="32"/>
          <w:shd w:val="clear"/>
          <w:rFonts w:ascii="Arial" w:eastAsia="Arial" w:hAnsi="Arial" w:cs="Arial"/>
        </w:rPr>
        <w:t xml:space="preserve">영아기 준거 설문 (0~3세)  |  6문항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CE4EC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C62828"/>
                <w:sz w:val="22"/>
                <w:szCs w:val="22"/>
                <w:shd w:val="clear"/>
                <w:rFonts w:ascii="Arial" w:eastAsia="Arial" w:hAnsi="Arial" w:cs="Arial"/>
              </w:rPr>
              <w:t xml:space="preserve">영아기  |  0~3세  |  핵심 지표: ESB δ=0.40 (2문항)  |  소요: 1분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맥락: 애착 형성기. 수유·수면·울음 반응. 부모 소진 최고 시기.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C62828"/>
          <w:sz w:val="24"/>
          <w:szCs w:val="24"/>
          <w:shd w:val="clear"/>
          <w:rFonts w:ascii="Arial" w:eastAsia="Arial" w:hAnsi="Arial" w:cs="Arial"/>
        </w:rPr>
        <w:t xml:space="preserve">I1 </w:t>
      </w:r>
      <w:r>
        <w:rPr>
          <w:b w:val="1"/>
          <w:color w:val="C62828"/>
          <w:sz w:val="20"/>
          <w:szCs w:val="20"/>
          <w:shd w:val="clear"/>
          <w:rFonts w:ascii="Arial" w:eastAsia="Arial" w:hAnsi="Arial" w:cs="Arial"/>
        </w:rPr>
        <w:t>[ESB]</w:t>
      </w:r>
      <w:r>
        <w:rPr>
          <w:i w:val="1"/>
          <w:color w:val="999999"/>
          <w:sz w:val="18"/>
          <w:szCs w:val="18"/>
          <w:shd w:val="clear"/>
          <w:rFonts w:ascii="Arial" w:eastAsia="Arial" w:hAnsi="Arial" w:cs="Arial"/>
        </w:rPr>
        <w:t xml:space="preserve">  ● 핵심 지표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아이가 울거나 보채면, 아이의 감정을 먼저 읽고 따뜻하게 반응하는 편이다.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[핵심 지표 — 행동 빈도형] Ainsworth 민감성 반응 — 영아 울음 신호에 대한 즉각적·적절한 반응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C62828"/>
          <w:sz w:val="24"/>
          <w:szCs w:val="24"/>
          <w:shd w:val="clear"/>
          <w:rFonts w:ascii="Arial" w:eastAsia="Arial" w:hAnsi="Arial" w:cs="Arial"/>
        </w:rPr>
        <w:t xml:space="preserve">I2 </w:t>
      </w:r>
      <w:r>
        <w:rPr>
          <w:b w:val="1"/>
          <w:color w:val="C62828"/>
          <w:sz w:val="20"/>
          <w:szCs w:val="20"/>
          <w:shd w:val="clear"/>
          <w:rFonts w:ascii="Arial" w:eastAsia="Arial" w:hAnsi="Arial" w:cs="Arial"/>
        </w:rPr>
        <w:t>[ESB]</w:t>
      </w:r>
      <w:r>
        <w:rPr>
          <w:i w:val="1"/>
          <w:color w:val="999999"/>
          <w:sz w:val="18"/>
          <w:szCs w:val="18"/>
          <w:shd w:val="clear"/>
          <w:rFonts w:ascii="Arial" w:eastAsia="Arial" w:hAnsi="Arial" w:cs="Arial"/>
        </w:rPr>
        <w:t xml:space="preserve">  ● 핵심 지표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아이가 낯선 환경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  <w:lang w:eastAsia="ko-KR"/>
              </w:rPr>
              <w:t>,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 사람 앞에서 불안해할 때, 아이 곁에 머물며 안심시키려고 노력한다.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[핵심 지표 — 상황 대처형] Bowlby 안전기지 — 탐색 불안 시 가용한 안전기지 역할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2E7D32"/>
          <w:sz w:val="24"/>
          <w:szCs w:val="24"/>
          <w:shd w:val="clear"/>
          <w:rFonts w:ascii="Arial" w:eastAsia="Arial" w:hAnsi="Arial" w:cs="Arial"/>
        </w:rPr>
        <w:t xml:space="preserve">I3 </w:t>
      </w:r>
      <w:r>
        <w:rPr>
          <w:b w:val="1"/>
          <w:color w:val="2E7D32"/>
          <w:sz w:val="20"/>
          <w:szCs w:val="20"/>
          <w:shd w:val="clear"/>
          <w:rFonts w:ascii="Arial" w:eastAsia="Arial" w:hAnsi="Arial" w:cs="Arial"/>
        </w:rPr>
        <w:t>[CSP]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아이에게 옹알이에 대답하거나, 사물의 이름을 알려주는 등 자주 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  <w:lang w:eastAsia="ko-KR"/>
              </w:rPr>
              <w:t>말을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 해준다.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[나머지 지표] Dreyer StimQ 언어 자극 — 영아에 대한 의도적 언어 노출 빈도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2E75B6"/>
          <w:sz w:val="24"/>
          <w:szCs w:val="24"/>
          <w:shd w:val="clear"/>
          <w:rFonts w:ascii="Arial" w:eastAsia="Arial" w:hAnsi="Arial" w:cs="Arial"/>
        </w:rPr>
        <w:t xml:space="preserve">I4 </w:t>
      </w:r>
      <w:r>
        <w:rPr>
          <w:b w:val="1"/>
          <w:color w:val="2E75B6"/>
          <w:sz w:val="20"/>
          <w:szCs w:val="20"/>
          <w:shd w:val="clear"/>
          <w:rFonts w:ascii="Arial" w:eastAsia="Arial" w:hAnsi="Arial" w:cs="Arial"/>
        </w:rPr>
        <w:t>[PCI]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우리 부부는 아이의 돌봄 방식에 대해 대체로 같은 기준을 따르고 있다.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[나머지 지표] Feinberg 공동양육 합의 — 영아 돌봄 루틴에서 부부 기준 일치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6A1B9A"/>
          <w:sz w:val="24"/>
          <w:szCs w:val="24"/>
          <w:shd w:val="clear"/>
          <w:rFonts w:ascii="Arial" w:eastAsia="Arial" w:hAnsi="Arial" w:cs="Arial"/>
        </w:rPr>
        <w:t xml:space="preserve">I5 </w:t>
      </w:r>
      <w:r>
        <w:rPr>
          <w:b w:val="1"/>
          <w:color w:val="6A1B9A"/>
          <w:sz w:val="20"/>
          <w:szCs w:val="20"/>
          <w:shd w:val="clear"/>
          <w:rFonts w:ascii="Arial" w:eastAsia="Arial" w:hAnsi="Arial" w:cs="Arial"/>
        </w:rPr>
        <w:t>[STB]</w:t>
      </w:r>
      <w:r>
        <w:rPr>
          <w:i w:val="1"/>
          <w:color w:val="999999"/>
          <w:sz w:val="18"/>
          <w:szCs w:val="18"/>
          <w:shd w:val="clear"/>
          <w:rFonts w:ascii="Arial" w:eastAsia="Arial" w:hAnsi="Arial" w:cs="Arial"/>
        </w:rPr>
        <w:t xml:space="preserve">  ● 핵심 지표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  <w:lang w:eastAsia="ko-KR"/>
              </w:rPr>
              <w:t xml:space="preserve">여러 가지로 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지쳐 있어도, 아이를 돌볼 때 평소와 비슷한 태도를 유지하려고 한다.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[나머지 지표] McEwen 알로스타틱 부하 관리 — 만성 스트레스 하 양육 품질 유지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E65100"/>
          <w:sz w:val="24"/>
          <w:szCs w:val="24"/>
          <w:shd w:val="clear"/>
          <w:rFonts w:ascii="Arial" w:eastAsia="Arial" w:hAnsi="Arial" w:cs="Arial"/>
        </w:rPr>
        <w:t xml:space="preserve">I6 </w:t>
      </w:r>
      <w:r>
        <w:rPr>
          <w:b w:val="1"/>
          <w:color w:val="E65100"/>
          <w:sz w:val="20"/>
          <w:szCs w:val="20"/>
          <w:shd w:val="clear"/>
          <w:rFonts w:ascii="Arial" w:eastAsia="Arial" w:hAnsi="Arial" w:cs="Arial"/>
        </w:rPr>
        <w:t>[SAT]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전반적으로, 나는 우리 부부가 아이를 잘 돌보고 있다고 느낀다.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[양육 만족도] 양육 자기효능감 — PNCAM 전체 점수 수렴타당도 보조 지표</w:t>
            </w:r>
          </w:p>
        </w:tc>
      </w:tr>
    </w:tbl>
    <w:p>
      <w:pPr>
        <w:rPr>
          <w:shd w:val="clear"/>
        </w:rPr>
      </w:pPr>
      <w:r>
        <w:br w:type="page"/>
      </w:r>
    </w:p>
    <w:p>
      <w:pPr>
        <w:pStyle w:val="PO151"/>
        <w:spacing w:before="360" w:after="200"/>
        <w:rPr>
          <w:shd w:val="clear"/>
        </w:rPr>
      </w:pPr>
      <w:r>
        <w:rPr>
          <w:b w:val="1"/>
          <w:color w:val="1B3A5C"/>
          <w:sz w:val="32"/>
          <w:szCs w:val="32"/>
          <w:shd w:val="clear"/>
          <w:rFonts w:ascii="Arial" w:eastAsia="Arial" w:hAnsi="Arial" w:cs="Arial"/>
        </w:rPr>
        <w:t xml:space="preserve">유아기 준거 설문 (4~6세)  |  6문항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E8F5E9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2E7D32"/>
                <w:sz w:val="22"/>
                <w:szCs w:val="22"/>
                <w:shd w:val="clear"/>
                <w:rFonts w:ascii="Arial" w:eastAsia="Arial" w:hAnsi="Arial" w:cs="Arial"/>
              </w:rPr>
              <w:t xml:space="preserve">유아기  |  4~6세  |  핵심 지표: ESB δ=0.30 (2문항)  |  소요: 1분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맥락: 탐색·규칙 학습기. '왜?' 질문 폭발, 떼쓰기, 유치원 적응.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C62828"/>
          <w:sz w:val="24"/>
          <w:szCs w:val="24"/>
          <w:shd w:val="clear"/>
          <w:rFonts w:ascii="Arial" w:eastAsia="Arial" w:hAnsi="Arial" w:cs="Arial"/>
        </w:rPr>
        <w:t xml:space="preserve">E1 </w:t>
      </w:r>
      <w:r>
        <w:rPr>
          <w:b w:val="1"/>
          <w:color w:val="C62828"/>
          <w:sz w:val="20"/>
          <w:szCs w:val="20"/>
          <w:shd w:val="clear"/>
          <w:rFonts w:ascii="Arial" w:eastAsia="Arial" w:hAnsi="Arial" w:cs="Arial"/>
        </w:rPr>
        <w:t>[ESB]</w:t>
      </w:r>
      <w:r>
        <w:rPr>
          <w:i w:val="1"/>
          <w:color w:val="999999"/>
          <w:sz w:val="18"/>
          <w:szCs w:val="18"/>
          <w:shd w:val="clear"/>
          <w:rFonts w:ascii="Arial" w:eastAsia="Arial" w:hAnsi="Arial" w:cs="Arial"/>
        </w:rPr>
        <w:t xml:space="preserve">  ● 핵심 지표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아이가 실패하거나 속상해할 때, 결과보다 아이의 감정을 먼저 알아주는 편이다.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[핵심 지표 — 행동 빈도형] Erikson 주도성 지지 — 유아의 시도·실패에 대한 수용적 반응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C62828"/>
          <w:sz w:val="24"/>
          <w:szCs w:val="24"/>
          <w:shd w:val="clear"/>
          <w:rFonts w:ascii="Arial" w:eastAsia="Arial" w:hAnsi="Arial" w:cs="Arial"/>
        </w:rPr>
        <w:t xml:space="preserve">E2 </w:t>
      </w:r>
      <w:r>
        <w:rPr>
          <w:b w:val="1"/>
          <w:color w:val="C62828"/>
          <w:sz w:val="20"/>
          <w:szCs w:val="20"/>
          <w:shd w:val="clear"/>
          <w:rFonts w:ascii="Arial" w:eastAsia="Arial" w:hAnsi="Arial" w:cs="Arial"/>
        </w:rPr>
        <w:t>[ESB]</w:t>
      </w:r>
      <w:r>
        <w:rPr>
          <w:i w:val="1"/>
          <w:color w:val="999999"/>
          <w:sz w:val="18"/>
          <w:szCs w:val="18"/>
          <w:shd w:val="clear"/>
          <w:rFonts w:ascii="Arial" w:eastAsia="Arial" w:hAnsi="Arial" w:cs="Arial"/>
        </w:rPr>
        <w:t xml:space="preserve">  ● 핵심 지표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아이가 떼를 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  <w:lang w:eastAsia="ko-KR"/>
              </w:rPr>
              <w:t>쓸때,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 감정 자체는 받아주면서 행동 한계를 설정하려고 노력한다.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[핵심 지표 — 상황 대처형] Gottman 감정 코칭 — 감정 수용 + 행동 지도의 단계적 접근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2E7D32"/>
          <w:sz w:val="24"/>
          <w:szCs w:val="24"/>
          <w:shd w:val="clear"/>
          <w:rFonts w:ascii="Arial" w:eastAsia="Arial" w:hAnsi="Arial" w:cs="Arial"/>
        </w:rPr>
        <w:t xml:space="preserve">E3 </w:t>
      </w:r>
      <w:r>
        <w:rPr>
          <w:b w:val="1"/>
          <w:color w:val="2E7D32"/>
          <w:sz w:val="20"/>
          <w:szCs w:val="20"/>
          <w:shd w:val="clear"/>
          <w:rFonts w:ascii="Arial" w:eastAsia="Arial" w:hAnsi="Arial" w:cs="Arial"/>
        </w:rPr>
        <w:t>[CSP]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아이의 ''이건 뭐야?' 같은 질문에 귀찮아하지 않고, 아이 수준에 맞게 설명하거나 함께 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>찾아본다.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[나머지 지표] Vygotsky 비계 — 유아의 인지적 요구에 맞춘 단계적 설명 제공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2E75B6"/>
          <w:sz w:val="24"/>
          <w:szCs w:val="24"/>
          <w:shd w:val="clear"/>
          <w:rFonts w:ascii="Arial" w:eastAsia="Arial" w:hAnsi="Arial" w:cs="Arial"/>
        </w:rPr>
        <w:t xml:space="preserve">E4 </w:t>
      </w:r>
      <w:r>
        <w:rPr>
          <w:b w:val="1"/>
          <w:color w:val="2E75B6"/>
          <w:sz w:val="20"/>
          <w:szCs w:val="20"/>
          <w:shd w:val="clear"/>
          <w:rFonts w:ascii="Arial" w:eastAsia="Arial" w:hAnsi="Arial" w:cs="Arial"/>
        </w:rPr>
        <w:t>[PCI]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우리 부부는 아이의 생활 규칙에 대해 대체로 같은 기준을 갖고 있다.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[나머지 지표] Feinberg 공동양육 합의 — 유아기 생활 규칙에서 부부 기준 일치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6A1B9A"/>
          <w:sz w:val="24"/>
          <w:szCs w:val="24"/>
          <w:shd w:val="clear"/>
          <w:rFonts w:ascii="Arial" w:eastAsia="Arial" w:hAnsi="Arial" w:cs="Arial"/>
        </w:rPr>
        <w:t xml:space="preserve">E5 </w:t>
      </w:r>
      <w:r>
        <w:rPr>
          <w:b w:val="1"/>
          <w:color w:val="6A1B9A"/>
          <w:sz w:val="20"/>
          <w:szCs w:val="20"/>
          <w:shd w:val="clear"/>
          <w:rFonts w:ascii="Arial" w:eastAsia="Arial" w:hAnsi="Arial" w:cs="Arial"/>
        </w:rPr>
        <w:t>[STB]</w:t>
      </w:r>
      <w:r>
        <w:rPr>
          <w:i w:val="1"/>
          <w:color w:val="999999"/>
          <w:sz w:val="18"/>
          <w:szCs w:val="18"/>
          <w:shd w:val="clear"/>
          <w:rFonts w:ascii="Arial" w:eastAsia="Arial" w:hAnsi="Arial" w:cs="Arial"/>
        </w:rPr>
        <w:t xml:space="preserve">  ● 핵심 지표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스트레스를 받은 날에도, 집에 와서 아이에게 짜증을 내지 않으려고 노력한다.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[나머지 지표] Bolger 스트레스 전이 차단 — 직장 스트레스의 양육 장면 비전이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E65100"/>
          <w:sz w:val="24"/>
          <w:szCs w:val="24"/>
          <w:shd w:val="clear"/>
          <w:rFonts w:ascii="Arial" w:eastAsia="Arial" w:hAnsi="Arial" w:cs="Arial"/>
        </w:rPr>
        <w:t xml:space="preserve">E6 </w:t>
      </w:r>
      <w:r>
        <w:rPr>
          <w:b w:val="1"/>
          <w:color w:val="E65100"/>
          <w:sz w:val="20"/>
          <w:szCs w:val="20"/>
          <w:shd w:val="clear"/>
          <w:rFonts w:ascii="Arial" w:eastAsia="Arial" w:hAnsi="Arial" w:cs="Arial"/>
        </w:rPr>
        <w:t>[SAT]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전반적으로, 나는 우리 부부가 아이를 잘 키우고 있다고 느낀다.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[양육 만족도] 양육 자기효능감 — PNCAM 전체 점수 수렴타당도 보조 지표</w:t>
            </w:r>
          </w:p>
        </w:tc>
      </w:tr>
    </w:tbl>
    <w:p>
      <w:pPr>
        <w:rPr>
          <w:shd w:val="clear"/>
        </w:rPr>
      </w:pPr>
      <w:r>
        <w:br w:type="page"/>
      </w:r>
    </w:p>
    <w:p>
      <w:pPr>
        <w:pStyle w:val="PO151"/>
        <w:spacing w:before="360" w:after="200"/>
        <w:rPr>
          <w:shd w:val="clear"/>
        </w:rPr>
      </w:pPr>
      <w:r>
        <w:rPr>
          <w:b w:val="1"/>
          <w:color w:val="1B3A5C"/>
          <w:sz w:val="32"/>
          <w:szCs w:val="32"/>
          <w:shd w:val="clear"/>
          <w:rFonts w:ascii="Arial" w:eastAsia="Arial" w:hAnsi="Arial" w:cs="Arial"/>
        </w:rPr>
        <w:t xml:space="preserve">초등부 준거 설문 (7~13세)  |  6문항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D5E8F0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2E75B6"/>
                <w:sz w:val="22"/>
                <w:szCs w:val="22"/>
                <w:shd w:val="clear"/>
                <w:rFonts w:ascii="Arial" w:eastAsia="Arial" w:hAnsi="Arial" w:cs="Arial"/>
              </w:rPr>
              <w:t xml:space="preserve">초등부  |  7~13세  |  핵심 지표: STB δ=0.30 (2문항)  |  소요: 1분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맥락: 학교 적응·학습 습관·또래 관계. 숙제·게임·학원 규칙. STB 부상.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C62828"/>
          <w:sz w:val="24"/>
          <w:szCs w:val="24"/>
          <w:shd w:val="clear"/>
          <w:rFonts w:ascii="Arial" w:eastAsia="Arial" w:hAnsi="Arial" w:cs="Arial"/>
        </w:rPr>
        <w:t xml:space="preserve">S1 </w:t>
      </w:r>
      <w:r>
        <w:rPr>
          <w:b w:val="1"/>
          <w:color w:val="C62828"/>
          <w:sz w:val="20"/>
          <w:szCs w:val="20"/>
          <w:shd w:val="clear"/>
          <w:rFonts w:ascii="Arial" w:eastAsia="Arial" w:hAnsi="Arial" w:cs="Arial"/>
        </w:rPr>
        <w:t>[ESB]</w:t>
      </w:r>
      <w:r>
        <w:rPr>
          <w:i w:val="1"/>
          <w:color w:val="999999"/>
          <w:sz w:val="18"/>
          <w:szCs w:val="18"/>
          <w:shd w:val="clear"/>
          <w:rFonts w:ascii="Arial" w:eastAsia="Arial" w:hAnsi="Arial" w:cs="Arial"/>
        </w:rPr>
        <w:t xml:space="preserve">  ● 핵심 지표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아이가 시험 결과에 실망하거나 학교에서 속상한 일이 있을 때, 결과를 따지기보다 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감정을 먼저 알아주는 편이다.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[나머지 지표] Erikson 근면성 지지 — 학업적 좌절 시 정서적 수용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2E7D32"/>
          <w:sz w:val="24"/>
          <w:szCs w:val="24"/>
          <w:shd w:val="clear"/>
          <w:rFonts w:ascii="Arial" w:eastAsia="Arial" w:hAnsi="Arial" w:cs="Arial"/>
        </w:rPr>
        <w:t xml:space="preserve">S2 </w:t>
      </w:r>
      <w:r>
        <w:rPr>
          <w:b w:val="1"/>
          <w:color w:val="2E7D32"/>
          <w:sz w:val="20"/>
          <w:szCs w:val="20"/>
          <w:shd w:val="clear"/>
          <w:rFonts w:ascii="Arial" w:eastAsia="Arial" w:hAnsi="Arial" w:cs="Arial"/>
        </w:rPr>
        <w:t>[CSP]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아이가 공부에서 모르는 것이 있을 때, 답을 바로 알려주기보다 생각하는 방법을 함께 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고민해 준다.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[나머지 지표] Vygotsky 비계 — 답이 아닌 사고 과정 지원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2E75B6"/>
          <w:sz w:val="24"/>
          <w:szCs w:val="24"/>
          <w:shd w:val="clear"/>
          <w:rFonts w:ascii="Arial" w:eastAsia="Arial" w:hAnsi="Arial" w:cs="Arial"/>
        </w:rPr>
        <w:t xml:space="preserve">S3 </w:t>
      </w:r>
      <w:r>
        <w:rPr>
          <w:b w:val="1"/>
          <w:color w:val="2E75B6"/>
          <w:sz w:val="20"/>
          <w:szCs w:val="20"/>
          <w:shd w:val="clear"/>
          <w:rFonts w:ascii="Arial" w:eastAsia="Arial" w:hAnsi="Arial" w:cs="Arial"/>
        </w:rPr>
        <w:t>[PCI]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우리 부부는 아이의 학습 관련 규칙에 대해 같은 기준을 가지고 있다.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[나머지 지표] Feinberg 공동양육 합의 — 학령기 핵심 규칙에서 부부 기준 일치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6A1B9A"/>
          <w:sz w:val="24"/>
          <w:szCs w:val="24"/>
          <w:shd w:val="clear"/>
          <w:rFonts w:ascii="Arial" w:eastAsia="Arial" w:hAnsi="Arial" w:cs="Arial"/>
        </w:rPr>
        <w:t xml:space="preserve">S4 </w:t>
      </w:r>
      <w:r>
        <w:rPr>
          <w:b w:val="1"/>
          <w:color w:val="6A1B9A"/>
          <w:sz w:val="20"/>
          <w:szCs w:val="20"/>
          <w:shd w:val="clear"/>
          <w:rFonts w:ascii="Arial" w:eastAsia="Arial" w:hAnsi="Arial" w:cs="Arial"/>
        </w:rPr>
        <w:t>[STB]</w:t>
      </w:r>
      <w:r>
        <w:rPr>
          <w:i w:val="1"/>
          <w:color w:val="999999"/>
          <w:sz w:val="18"/>
          <w:szCs w:val="18"/>
          <w:shd w:val="clear"/>
          <w:rFonts w:ascii="Arial" w:eastAsia="Arial" w:hAnsi="Arial" w:cs="Arial"/>
        </w:rPr>
        <w:t xml:space="preserve">  ● 핵심 지표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아이 성적에 대한 걱정이 있어도, 그것을 아이에게 직접적인 압박이나 비교로 표현하지 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않으려 한다.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[핵심 지표 — 행동 빈도형] Patterson 강압 회피 — 성적 불안의 비강압적 소통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6A1B9A"/>
          <w:sz w:val="24"/>
          <w:szCs w:val="24"/>
          <w:shd w:val="clear"/>
          <w:rFonts w:ascii="Arial" w:eastAsia="Arial" w:hAnsi="Arial" w:cs="Arial"/>
        </w:rPr>
        <w:t xml:space="preserve">S5 </w:t>
      </w:r>
      <w:r>
        <w:rPr>
          <w:b w:val="1"/>
          <w:color w:val="6A1B9A"/>
          <w:sz w:val="20"/>
          <w:szCs w:val="20"/>
          <w:shd w:val="clear"/>
          <w:rFonts w:ascii="Arial" w:eastAsia="Arial" w:hAnsi="Arial" w:cs="Arial"/>
        </w:rPr>
        <w:t>[STB]</w:t>
      </w:r>
      <w:r>
        <w:rPr>
          <w:i w:val="1"/>
          <w:color w:val="999999"/>
          <w:sz w:val="18"/>
          <w:szCs w:val="18"/>
          <w:shd w:val="clear"/>
          <w:rFonts w:ascii="Arial" w:eastAsia="Arial" w:hAnsi="Arial" w:cs="Arial"/>
        </w:rPr>
        <w:t xml:space="preserve">  ● 핵심 지표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부부 사이에 갈등이 있던 날에도, 아이와의 시간에서 평소와 비슷한 모습을 유지하려 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>한다.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[핵심 지표 — 상황 대처형] Bolger 스트레스 전이 차단 — 부부 갈등의 양육 장면 비전이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E65100"/>
          <w:sz w:val="24"/>
          <w:szCs w:val="24"/>
          <w:shd w:val="clear"/>
          <w:rFonts w:ascii="Arial" w:eastAsia="Arial" w:hAnsi="Arial" w:cs="Arial"/>
        </w:rPr>
        <w:t xml:space="preserve">S6 </w:t>
      </w:r>
      <w:r>
        <w:rPr>
          <w:b w:val="1"/>
          <w:color w:val="E65100"/>
          <w:sz w:val="20"/>
          <w:szCs w:val="20"/>
          <w:shd w:val="clear"/>
          <w:rFonts w:ascii="Arial" w:eastAsia="Arial" w:hAnsi="Arial" w:cs="Arial"/>
        </w:rPr>
        <w:t>[SAT]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전반적으로, 나는 우리 부부가 아이의 학교생활과 성장을 잘 지원하고 있다고 느낀다.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[양육 만족도] 양육 자기효능감 — PNCAM 전체 점수 수렴타당도 보조 지표</w:t>
            </w:r>
          </w:p>
        </w:tc>
      </w:tr>
    </w:tbl>
    <w:p>
      <w:pPr>
        <w:rPr>
          <w:shd w:val="clear"/>
        </w:rPr>
      </w:pPr>
      <w:r>
        <w:br w:type="page"/>
      </w:r>
    </w:p>
    <w:p>
      <w:pPr>
        <w:pStyle w:val="PO151"/>
        <w:spacing w:before="360" w:after="200"/>
        <w:rPr>
          <w:shd w:val="clear"/>
        </w:rPr>
      </w:pPr>
      <w:r>
        <w:rPr>
          <w:b w:val="1"/>
          <w:color w:val="1B3A5C"/>
          <w:sz w:val="32"/>
          <w:szCs w:val="32"/>
          <w:shd w:val="clear"/>
          <w:rFonts w:ascii="Arial" w:eastAsia="Arial" w:hAnsi="Arial" w:cs="Arial"/>
        </w:rPr>
        <w:t xml:space="preserve">중등부 준거 설문 (14~16세)  |  6문항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3E5F5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6A1B9A"/>
                <w:sz w:val="22"/>
                <w:szCs w:val="22"/>
                <w:shd w:val="clear"/>
                <w:rFonts w:ascii="Arial" w:eastAsia="Arial" w:hAnsi="Arial" w:cs="Arial"/>
              </w:rPr>
              <w:t xml:space="preserve">중등부  |  14~16세  |  핵심 지표: STB δ=0.40 (2문항)  |  소요: 1분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맥락: 정체성 탐색기. 사춘기 갈등, 입시 스트레스, 자율성 요구. STB 최대.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C62828"/>
          <w:sz w:val="24"/>
          <w:szCs w:val="24"/>
          <w:shd w:val="clear"/>
          <w:rFonts w:ascii="Arial" w:eastAsia="Arial" w:hAnsi="Arial" w:cs="Arial"/>
        </w:rPr>
        <w:t xml:space="preserve">M1 </w:t>
      </w:r>
      <w:r>
        <w:rPr>
          <w:b w:val="1"/>
          <w:color w:val="C62828"/>
          <w:sz w:val="20"/>
          <w:szCs w:val="20"/>
          <w:shd w:val="clear"/>
          <w:rFonts w:ascii="Arial" w:eastAsia="Arial" w:hAnsi="Arial" w:cs="Arial"/>
        </w:rPr>
        <w:t>[ESB]</w:t>
      </w:r>
      <w:r>
        <w:rPr>
          <w:i w:val="1"/>
          <w:color w:val="999999"/>
          <w:sz w:val="18"/>
          <w:szCs w:val="18"/>
          <w:shd w:val="clear"/>
          <w:rFonts w:ascii="Arial" w:eastAsia="Arial" w:hAnsi="Arial" w:cs="Arial"/>
        </w:rPr>
        <w:t xml:space="preserve">  ● 핵심 지표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자녀가 사춘기 특유의 예민함이나 반항적 태도를 보여도, 감정적으로 맞받아치지 않고 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차분하게 대응하는 편이다.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[나머지 지표] Steinberg 자율성 지지 — 청소년 반항을 발달적 과정으로 수용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2E7D32"/>
          <w:sz w:val="24"/>
          <w:szCs w:val="24"/>
          <w:shd w:val="clear"/>
          <w:rFonts w:ascii="Arial" w:eastAsia="Arial" w:hAnsi="Arial" w:cs="Arial"/>
        </w:rPr>
        <w:t xml:space="preserve">M2 </w:t>
      </w:r>
      <w:r>
        <w:rPr>
          <w:b w:val="1"/>
          <w:color w:val="2E7D32"/>
          <w:sz w:val="20"/>
          <w:szCs w:val="20"/>
          <w:shd w:val="clear"/>
          <w:rFonts w:ascii="Arial" w:eastAsia="Arial" w:hAnsi="Arial" w:cs="Arial"/>
        </w:rPr>
        <w:t>[CSP]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자녀와 사회적 이슈나 진로에 대해, 일방적 훈계가 아닌 대등한 대화를 나누려고 한다.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[나머지 지표] Piaget 형식적 조작기 지원 — 추상적 사고를 촉진하는 대화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2E75B6"/>
          <w:sz w:val="24"/>
          <w:szCs w:val="24"/>
          <w:shd w:val="clear"/>
          <w:rFonts w:ascii="Arial" w:eastAsia="Arial" w:hAnsi="Arial" w:cs="Arial"/>
        </w:rPr>
        <w:t xml:space="preserve">M3 </w:t>
      </w:r>
      <w:r>
        <w:rPr>
          <w:b w:val="1"/>
          <w:color w:val="2E75B6"/>
          <w:sz w:val="20"/>
          <w:szCs w:val="20"/>
          <w:shd w:val="clear"/>
          <w:rFonts w:ascii="Arial" w:eastAsia="Arial" w:hAnsi="Arial" w:cs="Arial"/>
        </w:rPr>
        <w:t>[PCI]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우리 부부는 자녀의 자율성 범위에 대해 같은 기준을 가지고 있다.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[나머지 지표] Feinberg 공동양육 합의 — 청소년기 자율성 경계에서 부부 기준 일치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6A1B9A"/>
          <w:sz w:val="24"/>
          <w:szCs w:val="24"/>
          <w:shd w:val="clear"/>
          <w:rFonts w:ascii="Arial" w:eastAsia="Arial" w:hAnsi="Arial" w:cs="Arial"/>
        </w:rPr>
        <w:t xml:space="preserve">M4 </w:t>
      </w:r>
      <w:r>
        <w:rPr>
          <w:b w:val="1"/>
          <w:color w:val="6A1B9A"/>
          <w:sz w:val="20"/>
          <w:szCs w:val="20"/>
          <w:shd w:val="clear"/>
          <w:rFonts w:ascii="Arial" w:eastAsia="Arial" w:hAnsi="Arial" w:cs="Arial"/>
        </w:rPr>
        <w:t>[STB]</w:t>
      </w:r>
      <w:r>
        <w:rPr>
          <w:i w:val="1"/>
          <w:color w:val="999999"/>
          <w:sz w:val="18"/>
          <w:szCs w:val="18"/>
          <w:shd w:val="clear"/>
          <w:rFonts w:ascii="Arial" w:eastAsia="Arial" w:hAnsi="Arial" w:cs="Arial"/>
        </w:rPr>
        <w:t xml:space="preserve">  ● 핵심 지표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자녀의 성적이나 진학에 대한 불안이 있어도, 그것을 자녀에게 압박이나 비교로 표현하지 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않으려 한다.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[핵심 지표 — 행동 빈도형] Westman 스트레스 전이 차단 — 부모 입시 불안의 자녀 비전달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6A1B9A"/>
          <w:sz w:val="24"/>
          <w:szCs w:val="24"/>
          <w:shd w:val="clear"/>
          <w:rFonts w:ascii="Arial" w:eastAsia="Arial" w:hAnsi="Arial" w:cs="Arial"/>
        </w:rPr>
        <w:t xml:space="preserve">M5 </w:t>
      </w:r>
      <w:r>
        <w:rPr>
          <w:b w:val="1"/>
          <w:color w:val="6A1B9A"/>
          <w:sz w:val="20"/>
          <w:szCs w:val="20"/>
          <w:shd w:val="clear"/>
          <w:rFonts w:ascii="Arial" w:eastAsia="Arial" w:hAnsi="Arial" w:cs="Arial"/>
        </w:rPr>
        <w:t>[STB]</w:t>
      </w:r>
      <w:r>
        <w:rPr>
          <w:i w:val="1"/>
          <w:color w:val="999999"/>
          <w:sz w:val="18"/>
          <w:szCs w:val="18"/>
          <w:shd w:val="clear"/>
          <w:rFonts w:ascii="Arial" w:eastAsia="Arial" w:hAnsi="Arial" w:cs="Arial"/>
        </w:rPr>
        <w:t xml:space="preserve">  ● 핵심 지표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자녀의 학업과 관련하여 내 불안이 높아질 때, 그 불안을 자녀에게 전달하지 않도록 </w:t>
            </w: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의식적으로 관리한다.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[핵심 지표 — 상황 대처형] Salmela-Aro 학업 소진 예방 — 부모 불안의 자녀 전이 차단</w:t>
            </w:r>
          </w:p>
        </w:tc>
      </w:tr>
    </w:tbl>
    <w:p>
      <w:pPr>
        <w:spacing w:before="180" w:after="50"/>
        <w:rPr>
          <w:shd w:val="clear"/>
        </w:rPr>
      </w:pPr>
      <w:r>
        <w:rPr>
          <w:b w:val="1"/>
          <w:color w:val="E65100"/>
          <w:sz w:val="24"/>
          <w:szCs w:val="24"/>
          <w:shd w:val="clear"/>
          <w:rFonts w:ascii="Arial" w:eastAsia="Arial" w:hAnsi="Arial" w:cs="Arial"/>
        </w:rPr>
        <w:t xml:space="preserve">M6 </w:t>
      </w:r>
      <w:r>
        <w:rPr>
          <w:b w:val="1"/>
          <w:color w:val="E65100"/>
          <w:sz w:val="20"/>
          <w:szCs w:val="20"/>
          <w:shd w:val="clear"/>
          <w:rFonts w:ascii="Arial" w:eastAsia="Arial" w:hAnsi="Arial" w:cs="Arial"/>
        </w:rPr>
        <w:t>[SAT]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FFF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333333"/>
                <w:sz w:val="22"/>
                <w:szCs w:val="22"/>
                <w:shd w:val="clear"/>
                <w:rFonts w:ascii="Arial" w:eastAsia="Arial" w:hAnsi="Arial" w:cs="Arial"/>
              </w:rPr>
              <w:t xml:space="preserve">전반적으로, 나는 우리 부부가 사춘기 자녀와 좋은 관계를 유지하고 있다고 느낀다.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1"/>
                <w:b w:val="0"/>
                <w:color w:val="888888"/>
                <w:sz w:val="17"/>
                <w:szCs w:val="17"/>
                <w:shd w:val="clear"/>
                <w:rFonts w:ascii="Arial" w:eastAsia="Arial" w:hAnsi="Arial" w:cs="Arial"/>
              </w:rPr>
              <w:t xml:space="preserve">[양육 만족도] 양육 자기효능감 — PNCAM 전체 점수 수렴타당도 보조 지표</w:t>
            </w:r>
          </w:p>
        </w:tc>
      </w:tr>
    </w:tbl>
    <w:p>
      <w:pPr>
        <w:rPr>
          <w:shd w:val="clear"/>
        </w:rPr>
      </w:pPr>
      <w:r>
        <w:br w:type="page"/>
      </w:r>
    </w:p>
    <w:p>
      <w:pPr>
        <w:pStyle w:val="PO151"/>
        <w:spacing w:before="360" w:after="200"/>
        <w:rPr>
          <w:shd w:val="clear"/>
        </w:rPr>
      </w:pPr>
      <w:r>
        <w:rPr>
          <w:b w:val="1"/>
          <w:color w:val="1B3A5C"/>
          <w:sz w:val="32"/>
          <w:szCs w:val="32"/>
          <w:shd w:val="clear"/>
          <w:rFonts w:ascii="Arial" w:eastAsia="Arial" w:hAnsi="Arial" w:cs="Arial"/>
        </w:rPr>
        <w:t xml:space="preserve">변수 코딩 및 분석 사양</w:t>
      </w:r>
    </w:p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전체 매핑 테이블 (5연령 × 6문항 = 30문항)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8909" w:type="dxa"/>
        <w:tblLook w:val="000000" w:firstRow="0" w:lastRow="0" w:firstColumn="0" w:lastColumn="0" w:noHBand="0" w:noVBand="0"/>
        <w:tblLayout w:type="fixed"/>
      </w:tblPr>
      <w:tblGrid>
        <w:gridCol w:w="900"/>
        <w:gridCol w:w="1213"/>
        <w:gridCol w:w="2029"/>
        <w:gridCol w:w="1099"/>
        <w:gridCol w:w="1400"/>
        <w:gridCol w:w="2268"/>
      </w:tblGrid>
      <w:tr>
        <w:trPr/>
        <w:tc>
          <w:tcPr>
            <w:tcW w:type="dxa" w:w="9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연령</w:t>
            </w:r>
          </w:p>
        </w:tc>
        <w:tc>
          <w:tcPr>
            <w:tcW w:type="dxa" w:w="12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코드</w:t>
            </w:r>
          </w:p>
        </w:tc>
        <w:tc>
          <w:tcPr>
            <w:tcW w:type="dxa" w:w="202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변수명</w:t>
            </w:r>
          </w:p>
        </w:tc>
        <w:tc>
          <w:tcPr>
            <w:tcW w:type="dxa" w:w="109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지표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문항 유형</w:t>
            </w:r>
          </w:p>
        </w:tc>
        <w:tc>
          <w:tcPr>
            <w:tcW w:type="dxa" w:w="2268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문항 수</w:t>
            </w:r>
          </w:p>
        </w:tc>
      </w:tr>
      <w:tr>
        <w:trPr/>
        <w:tc>
          <w:tcPr>
            <w:tcW w:type="dxa" w:w="9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출산전</w:t>
            </w:r>
          </w:p>
        </w:tc>
        <w:tc>
          <w:tcPr>
            <w:tcW w:type="dxa" w:w="12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P1</w:t>
            </w:r>
          </w:p>
        </w:tc>
        <w:tc>
          <w:tcPr>
            <w:tcW w:type="dxa" w:w="202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cv_esb_1_prenatal</w:t>
            </w:r>
          </w:p>
        </w:tc>
        <w:tc>
          <w:tcPr>
            <w:tcW w:type="dxa" w:w="109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ESB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핵심-빈도</w:t>
            </w:r>
          </w:p>
        </w:tc>
        <w:tc>
          <w:tcPr>
            <w:tcW w:type="dxa" w:w="2268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2문항</w:t>
            </w:r>
          </w:p>
        </w:tc>
      </w:tr>
      <w:tr>
        <w:trPr/>
        <w:tc>
          <w:tcPr>
            <w:tcW w:type="dxa" w:w="9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</w:p>
        </w:tc>
        <w:tc>
          <w:tcPr>
            <w:tcW w:type="dxa" w:w="12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P2</w:t>
            </w:r>
          </w:p>
        </w:tc>
        <w:tc>
          <w:tcPr>
            <w:tcW w:type="dxa" w:w="202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cv_esb_2_prenatal</w:t>
            </w:r>
          </w:p>
        </w:tc>
        <w:tc>
          <w:tcPr>
            <w:tcW w:type="dxa" w:w="109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ESB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핵심-대처</w:t>
            </w:r>
          </w:p>
        </w:tc>
        <w:tc>
          <w:tcPr>
            <w:tcW w:type="dxa" w:w="2268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</w:p>
        </w:tc>
      </w:tr>
      <w:tr>
        <w:trPr/>
        <w:tc>
          <w:tcPr>
            <w:tcW w:type="dxa" w:w="9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</w:p>
        </w:tc>
        <w:tc>
          <w:tcPr>
            <w:tcW w:type="dxa" w:w="12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P3</w:t>
            </w:r>
          </w:p>
        </w:tc>
        <w:tc>
          <w:tcPr>
            <w:tcW w:type="dxa" w:w="202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cv_csp_1_prenatal</w:t>
            </w:r>
          </w:p>
        </w:tc>
        <w:tc>
          <w:tcPr>
            <w:tcW w:type="dxa" w:w="109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CSP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나머지</w:t>
            </w:r>
          </w:p>
        </w:tc>
        <w:tc>
          <w:tcPr>
            <w:tcW w:type="dxa" w:w="2268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1문항</w:t>
            </w:r>
          </w:p>
        </w:tc>
      </w:tr>
      <w:tr>
        <w:trPr>
          <w:trHeight w:hRule="atleast" w:val="746"/>
        </w:trPr>
        <w:tc>
          <w:tcPr>
            <w:tcW w:type="dxa" w:w="9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</w:p>
        </w:tc>
        <w:tc>
          <w:tcPr>
            <w:tcW w:type="dxa" w:w="12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P4</w:t>
            </w:r>
          </w:p>
        </w:tc>
        <w:tc>
          <w:tcPr>
            <w:tcW w:type="dxa" w:w="202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cv_pci_1_prenatal</w:t>
            </w:r>
          </w:p>
        </w:tc>
        <w:tc>
          <w:tcPr>
            <w:tcW w:type="dxa" w:w="109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PCI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나머지</w:t>
            </w:r>
          </w:p>
        </w:tc>
        <w:tc>
          <w:tcPr>
            <w:tcW w:type="dxa" w:w="2268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1문항</w:t>
            </w:r>
          </w:p>
        </w:tc>
      </w:tr>
      <w:tr>
        <w:trPr/>
        <w:tc>
          <w:tcPr>
            <w:tcW w:type="dxa" w:w="9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</w:p>
        </w:tc>
        <w:tc>
          <w:tcPr>
            <w:tcW w:type="dxa" w:w="12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P5</w:t>
            </w:r>
          </w:p>
        </w:tc>
        <w:tc>
          <w:tcPr>
            <w:tcW w:type="dxa" w:w="202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cv_stb_1_prenatal</w:t>
            </w:r>
          </w:p>
        </w:tc>
        <w:tc>
          <w:tcPr>
            <w:tcW w:type="dxa" w:w="109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STB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나머지</w:t>
            </w:r>
          </w:p>
        </w:tc>
        <w:tc>
          <w:tcPr>
            <w:tcW w:type="dxa" w:w="2268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1문항</w:t>
            </w:r>
          </w:p>
        </w:tc>
      </w:tr>
      <w:tr>
        <w:trPr/>
        <w:tc>
          <w:tcPr>
            <w:tcW w:type="dxa" w:w="9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</w:p>
        </w:tc>
        <w:tc>
          <w:tcPr>
            <w:tcW w:type="dxa" w:w="12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P6</w:t>
            </w:r>
          </w:p>
        </w:tc>
        <w:tc>
          <w:tcPr>
            <w:tcW w:type="dxa" w:w="202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cv_sat_prenatal</w:t>
            </w:r>
          </w:p>
        </w:tc>
        <w:tc>
          <w:tcPr>
            <w:tcW w:type="dxa" w:w="109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SAT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만족도</w:t>
            </w:r>
          </w:p>
        </w:tc>
        <w:tc>
          <w:tcPr>
            <w:tcW w:type="dxa" w:w="2268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1문항</w:t>
            </w:r>
          </w:p>
        </w:tc>
      </w:tr>
      <w:tr>
        <w:trPr/>
        <w:tc>
          <w:tcPr>
            <w:tcW w:type="dxa" w:w="9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영아기</w:t>
            </w:r>
          </w:p>
        </w:tc>
        <w:tc>
          <w:tcPr>
            <w:tcW w:type="dxa" w:w="12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I1~I6</w:t>
            </w:r>
          </w:p>
        </w:tc>
        <w:tc>
          <w:tcPr>
            <w:tcW w:type="dxa" w:w="202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cv_{ind}_{n}_infant</w:t>
            </w:r>
          </w:p>
        </w:tc>
        <w:tc>
          <w:tcPr>
            <w:tcW w:type="dxa" w:w="109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—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동일 구조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(ESB 핵심)</w:t>
            </w:r>
          </w:p>
        </w:tc>
        <w:tc>
          <w:tcPr>
            <w:tcW w:type="dxa" w:w="2268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6문항</w:t>
            </w:r>
          </w:p>
        </w:tc>
      </w:tr>
      <w:tr>
        <w:trPr/>
        <w:tc>
          <w:tcPr>
            <w:tcW w:type="dxa" w:w="9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유아기</w:t>
            </w:r>
          </w:p>
        </w:tc>
        <w:tc>
          <w:tcPr>
            <w:tcW w:type="dxa" w:w="12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E1~E6</w:t>
            </w:r>
          </w:p>
        </w:tc>
        <w:tc>
          <w:tcPr>
            <w:tcW w:type="dxa" w:w="202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cv_{ind}_{n}_early</w:t>
            </w:r>
          </w:p>
        </w:tc>
        <w:tc>
          <w:tcPr>
            <w:tcW w:type="dxa" w:w="109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—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동일 구조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(ESB 핵심)</w:t>
            </w:r>
          </w:p>
        </w:tc>
        <w:tc>
          <w:tcPr>
            <w:tcW w:type="dxa" w:w="2268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6문항</w:t>
            </w:r>
          </w:p>
        </w:tc>
      </w:tr>
      <w:tr>
        <w:trPr/>
        <w:tc>
          <w:tcPr>
            <w:tcW w:type="dxa" w:w="9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초등부</w:t>
            </w:r>
          </w:p>
        </w:tc>
        <w:tc>
          <w:tcPr>
            <w:tcW w:type="dxa" w:w="12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S1~S6</w:t>
            </w:r>
          </w:p>
        </w:tc>
        <w:tc>
          <w:tcPr>
            <w:tcW w:type="dxa" w:w="202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cv_{ind}_{n}_school</w:t>
            </w:r>
          </w:p>
        </w:tc>
        <w:tc>
          <w:tcPr>
            <w:tcW w:type="dxa" w:w="109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—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동일 구조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(STB 핵심)</w:t>
            </w:r>
          </w:p>
        </w:tc>
        <w:tc>
          <w:tcPr>
            <w:tcW w:type="dxa" w:w="2268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6문항</w:t>
            </w:r>
          </w:p>
        </w:tc>
      </w:tr>
      <w:tr>
        <w:trPr>
          <w:trHeight w:hRule="atleast" w:val="0"/>
        </w:trPr>
        <w:tc>
          <w:tcPr>
            <w:tcW w:type="dxa" w:w="9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중등부</w:t>
            </w:r>
          </w:p>
        </w:tc>
        <w:tc>
          <w:tcPr>
            <w:tcW w:type="dxa" w:w="1213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M1~M6</w:t>
            </w:r>
          </w:p>
        </w:tc>
        <w:tc>
          <w:tcPr>
            <w:tcW w:type="dxa" w:w="202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cv_{ind}_{n}_middle</w:t>
            </w:r>
          </w:p>
        </w:tc>
        <w:tc>
          <w:tcPr>
            <w:tcW w:type="dxa" w:w="1099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—</w:t>
            </w:r>
          </w:p>
        </w:tc>
        <w:tc>
          <w:tcPr>
            <w:tcW w:type="dxa" w:w="14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동일 구조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(STB 핵심)</w:t>
            </w:r>
          </w:p>
        </w:tc>
        <w:tc>
          <w:tcPr>
            <w:tcW w:type="dxa" w:w="2268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6문항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파생 변수 (회귀분석 종속변수)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00" w:type="dxa"/>
        <w:tblLook w:val="000000" w:firstRow="0" w:lastRow="0" w:firstColumn="0" w:lastColumn="0" w:noHBand="0" w:noVBand="0"/>
        <w:tblLayout w:type="fixed"/>
      </w:tblPr>
      <w:tblGrid>
        <w:gridCol w:w="2200"/>
        <w:gridCol w:w="2200"/>
        <w:gridCol w:w="2000"/>
        <w:gridCol w:w="2600"/>
      </w:tblGrid>
      <w:tr>
        <w:trPr/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파생 변수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산출식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용도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비고</w:t>
            </w:r>
          </w:p>
        </w:tc>
      </w:tr>
      <w:tr>
        <w:trPr/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cv_esb_mean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(출산전/영아/유아)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(문항1 + 문항2) / 2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ESB 준거타당도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종속변수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핵심 지표: 2문항 평균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Spearman-Brown 가능</w:t>
            </w:r>
          </w:p>
        </w:tc>
      </w:tr>
      <w:tr>
        <w:trPr/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cv_esb_single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(초등/중등)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문항1 단독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ESB 준거타당도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종속변수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나머지 지표: 단일 문항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측정 오차 감안</w:t>
            </w:r>
          </w:p>
        </w:tc>
      </w:tr>
      <w:tr>
        <w:trPr/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cv_stb_mean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(초등/중등)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(문항4 + 문항5) / 2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STB 준거타당도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종속변수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핵심 지표: 2문항 평균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Spearman-Brown 가능</w:t>
            </w:r>
          </w:p>
        </w:tc>
      </w:tr>
      <w:tr>
        <w:trPr/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cv_stb_single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(출산전/영아/유아)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문항5 단독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STB 준거타당도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종속변수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나머지 지표: 단일 문항</w:t>
            </w:r>
          </w:p>
        </w:tc>
      </w:tr>
      <w:tr>
        <w:trPr/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cv_csp_single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CSP 문항 단독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CSP 준거타당도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전 연령 단일 문항</w:t>
            </w:r>
          </w:p>
        </w:tc>
      </w:tr>
      <w:tr>
        <w:trPr/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cv_pci_single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PCI 문항 단독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PCI 준거타당도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전 연령 단일 문항</w:t>
            </w:r>
          </w:p>
        </w:tc>
      </w:tr>
      <w:tr>
        <w:trPr/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cv_sat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만족도 문항 단독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수렴타당도 보조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+ 추가 종속변수</w:t>
            </w:r>
          </w:p>
        </w:tc>
        <w:tc>
          <w:tcPr>
            <w:tcW w:type="dxa" w:w="26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PNCAM 총점 예측 검증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회귀 모형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5F5F5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1B3A5C"/>
                <w:sz w:val="20"/>
                <w:szCs w:val="20"/>
                <w:shd w:val="clear"/>
                <w:rFonts w:ascii="Arial" w:eastAsia="Arial" w:hAnsi="Arial" w:cs="Arial"/>
              </w:rPr>
              <w:t xml:space="preserve">모형 1 — 지표별 단순회귀 (5개 연령 각각)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cv_esb = β₀ + β₁·ESB_score + ε     (핵심 지표: 2문항 평균 / 나머지: 단일 문항)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cv_csp = β₀ + β₁·CSP_score + ε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cv_pci = β₀ + β₁·PCI_score + ε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cv_stb = β₀ + β₁·STB_score + ε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cv_sat = β₀ + β₁·PNCAM_total + ε   (양육 만족도 ~ PNCAM 총점: 수렴타당도)</w:t>
            </w:r>
          </w:p>
        </w:tc>
      </w:tr>
    </w:tbl>
    <w:p>
      <w:pPr>
        <w:spacing w:after="6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5F5F5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1B3A5C"/>
                <w:sz w:val="20"/>
                <w:szCs w:val="20"/>
                <w:shd w:val="clear"/>
                <w:rFonts w:ascii="Arial" w:eastAsia="Arial" w:hAnsi="Arial" w:cs="Arial"/>
              </w:rPr>
              <w:t xml:space="preserve">모형 2 — 변별타당도 (대응 지표 β &gt; 비대응 지표 β)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cv_esb = β₀ + β₁·ESB + β₂·CSP + β₃·PCI + β₄·STB + ε    →  β₁이 최대여야 함</w:t>
            </w:r>
          </w:p>
        </w:tc>
      </w:tr>
    </w:tbl>
    <w:p>
      <w:pPr>
        <w:spacing w:after="60"/>
        <w:rPr>
          <w:shd w:val="clear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9026"/>
      </w:tblGrid>
      <w:tr>
        <w:trPr/>
        <w:tc>
          <w:tcPr>
            <w:tcW w:type="dxa" w:w="9026"/>
            <w:tcMar>
              <w:left w:w="200" w:type="dxa"/>
              <w:right w:w="200" w:type="dxa"/>
              <w:top w:w="120" w:type="dxa"/>
              <w:bottom w:w="120" w:type="dxa"/>
            </w:tcMar>
            <w:vAlign w:val="top"/>
            <w:tcBorders>
              <w:bottom w:val="none" w:color="auto"/>
              <w:left w:val="none" w:color="auto"/>
              <w:right w:val="none" w:color="auto"/>
              <w:top w:val="none" w:color="auto"/>
            </w:tcBorders>
            <w:shd w:val="clear" w:fill="FFF3E0"/>
          </w:tcPr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1"/>
                <w:color w:val="1B3A5C"/>
                <w:sz w:val="22"/>
                <w:szCs w:val="22"/>
                <w:shd w:val="clear"/>
                <w:rFonts w:ascii="Arial" w:eastAsia="Arial" w:hAnsi="Arial" w:cs="Arial"/>
              </w:rPr>
              <w:t xml:space="preserve">합격 기준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준거타당도: β₁ &gt; 0, p &lt; .05, R² ≥ .08 (단일 문항 측정 오차 감안하여 .10에서 완화)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변별타당도: 대응 지표 β가 비대응 지표 β보다 유의하게 큼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수렴타당도: cv_sat ~ PNCAM_total의 r ≥ .30</w:t>
            </w:r>
          </w:p>
          <w:p>
            <w:pPr>
              <w:spacing w:lineRule="auto" w:line="275" w:after="60"/>
              <w:rPr>
                <w:shd w:val="clear"/>
              </w:rPr>
            </w:pPr>
            <w:r>
              <w:rPr>
                <w:i w:val="0"/>
                <w:b w:val="0"/>
                <w:color w:val="333333"/>
                <w:sz w:val="20"/>
                <w:szCs w:val="20"/>
                <w:shd w:val="clear"/>
                <w:rFonts w:ascii="Arial" w:eastAsia="Arial" w:hAnsi="Arial" w:cs="Arial"/>
              </w:rPr>
              <w:t xml:space="preserve">핵심 지표 신뢰도: Spearman-Brown r_SB ≥ .60</w:t>
            </w:r>
          </w:p>
        </w:tc>
      </w:tr>
    </w:tbl>
    <w:p>
      <w:pPr>
        <w:spacing w:after="120"/>
        <w:rPr>
          <w:shd w:val="clear"/>
        </w:rPr>
      </w:pPr>
    </w:p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표본 크기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3000"/>
        <w:gridCol w:w="1500"/>
        <w:gridCol w:w="1500"/>
        <w:gridCol w:w="3026"/>
      </w:tblGrid>
      <w:tr>
        <w:trPr/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분석</w:t>
            </w:r>
          </w:p>
        </w:tc>
        <w:tc>
          <w:tcPr>
            <w:tcW w:type="dxa" w:w="1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최소 N</w:t>
            </w:r>
          </w:p>
        </w:tc>
        <w:tc>
          <w:tcPr>
            <w:tcW w:type="dxa" w:w="1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 xml:space="preserve">목표 N</w:t>
            </w:r>
          </w:p>
        </w:tc>
        <w:tc>
          <w:tcPr>
            <w:tcW w:type="dxa" w:w="3026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비고</w:t>
            </w:r>
          </w:p>
        </w:tc>
      </w:tr>
      <w:tr>
        <w:trPr/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단순회귀 (모형1)</w:t>
            </w:r>
          </w:p>
        </w:tc>
        <w:tc>
          <w:tcPr>
            <w:tcW w:type="dxa" w:w="1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55</w:t>
            </w:r>
          </w:p>
        </w:tc>
        <w:tc>
          <w:tcPr>
            <w:tcW w:type="dxa" w:w="1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70</w:t>
            </w:r>
          </w:p>
        </w:tc>
        <w:tc>
          <w:tcPr>
            <w:tcW w:type="dxa" w:w="3026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연령 그룹별</w:t>
            </w:r>
          </w:p>
        </w:tc>
      </w:tr>
      <w:tr>
        <w:trPr/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다중회귀 (모형2)</w:t>
            </w:r>
          </w:p>
        </w:tc>
        <w:tc>
          <w:tcPr>
            <w:tcW w:type="dxa" w:w="1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85</w:t>
            </w:r>
          </w:p>
        </w:tc>
        <w:tc>
          <w:tcPr>
            <w:tcW w:type="dxa" w:w="1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100</w:t>
            </w:r>
          </w:p>
        </w:tc>
        <w:tc>
          <w:tcPr>
            <w:tcW w:type="dxa" w:w="3026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연령 그룹별</w:t>
            </w:r>
          </w:p>
        </w:tc>
      </w:tr>
      <w:tr>
        <w:trPr/>
        <w:tc>
          <w:tcPr>
            <w:tcW w:type="dxa" w:w="3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전체 통합</w:t>
            </w:r>
          </w:p>
        </w:tc>
        <w:tc>
          <w:tcPr>
            <w:tcW w:type="dxa" w:w="1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250</w:t>
            </w:r>
          </w:p>
        </w:tc>
        <w:tc>
          <w:tcPr>
            <w:tcW w:type="dxa" w:w="15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300</w:t>
            </w:r>
          </w:p>
        </w:tc>
        <w:tc>
          <w:tcPr>
            <w:tcW w:type="dxa" w:w="3026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5개 연령 합산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(출산전 포함)</w:t>
            </w:r>
          </w:p>
        </w:tc>
      </w:tr>
    </w:tbl>
    <w:p>
      <w:pPr>
        <w:pStyle w:val="PO152"/>
        <w:spacing w:before="280" w:after="160"/>
        <w:rPr>
          <w:shd w:val="clear"/>
        </w:rPr>
      </w:pPr>
      <w:r>
        <w:rPr>
          <w:b w:val="1"/>
          <w:color w:val="2E75B6"/>
          <w:sz w:val="28"/>
          <w:szCs w:val="28"/>
          <w:shd w:val="clear"/>
          <w:rFonts w:ascii="Arial" w:eastAsia="Arial" w:hAnsi="Arial" w:cs="Arial"/>
        </w:rPr>
        <w:t xml:space="preserve">데이터 수집 프로토콜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026" w:type="dxa"/>
        <w:tblLook w:val="000000" w:firstRow="0" w:lastRow="0" w:firstColumn="0" w:lastColumn="0" w:noHBand="0" w:noVBand="0"/>
        <w:tblLayout w:type="fixed"/>
      </w:tblPr>
      <w:tblGrid>
        <w:gridCol w:w="800"/>
        <w:gridCol w:w="2200"/>
        <w:gridCol w:w="2000"/>
        <w:gridCol w:w="800"/>
        <w:gridCol w:w="3226"/>
      </w:tblGrid>
      <w:tr>
        <w:trPr/>
        <w:tc>
          <w:tcPr>
            <w:tcW w:type="dxa" w:w="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시점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내용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채널</w:t>
            </w:r>
          </w:p>
        </w:tc>
        <w:tc>
          <w:tcPr>
            <w:tcW w:type="dxa" w:w="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소요</w:t>
            </w:r>
          </w:p>
        </w:tc>
        <w:tc>
          <w:tcPr>
            <w:tcW w:type="dxa" w:w="3226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1B3A5C"/>
          </w:tcPr>
          <w:p>
            <w:pPr>
              <w:jc w:val="center"/>
              <w:spacing w:after="0"/>
              <w:rPr>
                <w:shd w:val="clear"/>
              </w:rPr>
            </w:pPr>
            <w:r>
              <w:rPr>
                <w:b w:val="1"/>
                <w:color w:val="FFFFFF"/>
                <w:sz w:val="19"/>
                <w:szCs w:val="19"/>
                <w:shd w:val="clear"/>
                <w:rFonts w:ascii="Arial" w:eastAsia="Arial" w:hAnsi="Arial" w:cs="Arial"/>
              </w:rPr>
              <w:t>비고</w:t>
            </w:r>
          </w:p>
        </w:tc>
      </w:tr>
      <w:tr>
        <w:trPr/>
        <w:tc>
          <w:tcPr>
            <w:tcW w:type="dxa" w:w="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T₀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PNCAM 기본설문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+ 보충설문(해당 시)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앱 (서비스 흐름)</w:t>
            </w:r>
          </w:p>
        </w:tc>
        <w:tc>
          <w:tcPr>
            <w:tcW w:type="dxa" w:w="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3~4분</w:t>
            </w:r>
          </w:p>
        </w:tc>
        <w:tc>
          <w:tcPr>
            <w:tcW w:type="dxa" w:w="3226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FFFFF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리포트 즉시 제공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출산전은 보충설문 없음</w:t>
            </w:r>
          </w:p>
        </w:tc>
      </w:tr>
      <w:tr>
        <w:trPr/>
        <w:tc>
          <w:tcPr>
            <w:tcW w:type="dxa" w:w="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T₁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(+2~4</w:t>
            </w: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주)</w:t>
            </w:r>
          </w:p>
        </w:tc>
        <w:tc>
          <w:tcPr>
            <w:tcW w:type="dxa" w:w="22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준거변수 6문항</w:t>
            </w:r>
          </w:p>
        </w:tc>
        <w:tc>
          <w:tcPr>
            <w:tcW w:type="dxa" w:w="20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앱 푸시 + 알림톡</w:t>
            </w:r>
          </w:p>
        </w:tc>
        <w:tc>
          <w:tcPr>
            <w:tcW w:type="dxa" w:w="800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>1분</w:t>
            </w:r>
          </w:p>
        </w:tc>
        <w:tc>
          <w:tcPr>
            <w:tcW w:type="dxa" w:w="3226"/>
            <w:tcMar>
              <w:left w:w="120" w:type="dxa"/>
              <w:right w:w="120" w:type="dxa"/>
              <w:top w:w="80" w:type="dxa"/>
              <w:bottom w:w="80" w:type="dxa"/>
            </w:tcMar>
            <w:vAlign w:val="center"/>
            <w:tcBorders>
              <w:bottom w:val="single" w:color="CCCCCC" w:sz="2"/>
              <w:left w:val="single" w:color="CCCCCC" w:sz="2"/>
              <w:right w:val="single" w:color="CCCCCC" w:sz="2"/>
              <w:top w:val="single" w:color="CCCCCC" w:sz="2"/>
            </w:tcBorders>
            <w:shd w:val="clear" w:fill="F5F5F5"/>
          </w:tcPr>
          <w:p>
            <w:pPr>
              <w:spacing w:lineRule="auto" w:line="251" w:after="0"/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인센티브: 커피 쿠폰</w:t>
            </w:r>
          </w:p>
          <w:p>
            <w:pPr>
              <w:spacing w:lineRule="auto" w:line="251" w:after="0"/>
              <w:rPr>
                <w:shd w:val="clear"/>
              </w:rPr>
            </w:pPr>
            <w:r>
              <w:rPr>
                <w:color w:val="333333"/>
                <w:sz w:val="19"/>
                <w:szCs w:val="19"/>
                <w:shd w:val="clear"/>
                <w:rFonts w:ascii="Arial" w:eastAsia="Arial" w:hAnsi="Arial" w:cs="Arial"/>
              </w:rPr>
              <w:t xml:space="preserve">5개 연령 동일 프로토콜</w:t>
            </w:r>
          </w:p>
        </w:tc>
      </w:tr>
    </w:tbl>
    <w:p>
      <w:pPr>
        <w:spacing w:before="400"/>
        <w:rPr>
          <w:shd w:val="clear"/>
        </w:rPr>
      </w:pPr>
    </w:p>
    <w:p>
      <w:pPr>
        <w:jc w:val="left"/>
        <w:spacing w:lineRule="auto" w:line="275" w:before="0" w:after="120"/>
        <w:rPr>
          <w:shd w:val="clear"/>
        </w:rPr>
      </w:pPr>
      <w:r>
        <w:rPr>
          <w:i w:val="1"/>
          <w:b w:val="0"/>
          <w:color w:val="999999"/>
          <w:sz w:val="20"/>
          <w:szCs w:val="20"/>
          <w:shd w:val="clear"/>
          <w:rFonts w:ascii="Arial" w:eastAsia="Arial" w:hAnsi="Arial" w:cs="Arial"/>
        </w:rPr>
        <w:t xml:space="preserve">본 문서는 PNCAM 준거타당도 검증을 위한 내부 연구 설계 문서입니다. 대외비.</w:t>
      </w:r>
    </w:p>
    <w:p>
      <w:pPr>
        <w:jc w:val="left"/>
        <w:spacing w:lineRule="auto" w:line="275" w:before="0" w:after="120"/>
        <w:rPr>
          <w:shd w:val="clear"/>
        </w:rPr>
      </w:pPr>
      <w:r>
        <w:rPr>
          <w:i w:val="0"/>
          <w:b w:val="0"/>
          <w:color w:val="999999"/>
          <w:sz w:val="20"/>
          <w:szCs w:val="20"/>
          <w:shd w:val="clear"/>
          <w:rFonts w:ascii="Arial" w:eastAsia="Arial" w:hAnsi="Arial" w:cs="Arial"/>
        </w:rPr>
        <w:t xml:space="preserve">Chemistry · LLUBB-Parenting · PNCAM · 2025</w:t>
      </w:r>
    </w:p>
    <w:sectPr>
      <w15:footnoteColumns w:val="1"/>
      <w:headerReference w:type="default" r:id="rId5"/>
      <w:footerReference w:type="default" r:id="rId6"/>
      <w:pgSz w:w="11906" w:h="16838"/>
      <w:pgMar w:top="1440" w:left="144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center"/>
      <w:spacing w:after="0"/>
      <w:rPr>
        <w:shd w:val="clear"/>
      </w:rPr>
    </w:pPr>
    <w:r>
      <w:rPr>
        <w:color w:val="999999"/>
        <w:sz w:val="16"/>
        <w:szCs w:val="16"/>
        <w:shd w:val="clear"/>
        <w:rFonts w:ascii="Arial" w:eastAsia="Arial" w:hAnsi="Arial" w:cs="Arial"/>
      </w:rPr>
      <w:t xml:space="preserve">Confidential — </w:t>
    </w:r>
    <w:r>
      <w:rPr>
        <w:b w:val="1"/>
        <w:color w:val="999999"/>
        <w:sz w:val="16"/>
        <w:szCs w:val="16"/>
        <w:shd w:val="clear"/>
        <w:rFonts w:ascii="Arial" w:eastAsia="Arial" w:hAnsi="Arial" w:cs="Arial"/>
      </w:rPr>
      <w:t xml:space="preserve">Chemistry · LLUBB-Parenting</w:t>
    </w:r>
    <w:r>
      <w:rPr>
        <w:color w:val="999999"/>
        <w:sz w:val="16"/>
        <w:szCs w:val="16"/>
        <w:shd w:val="clear"/>
        <w:rFonts w:ascii="Arial" w:eastAsia="Arial" w:hAnsi="Arial" w:cs="Arial"/>
      </w:rPr>
      <w:t xml:space="preserve">  |  Page </w:t>
    </w:r>
    <w:r>
      <w:rPr>
        <w:color w:val="999999"/>
        <w:sz w:val="16"/>
        <w:szCs w:val="16"/>
        <w:shd w:val="clear"/>
        <w:rFonts w:ascii="Arial" w:eastAsia="Arial" w:hAnsi="Arial" w:cs="Arial"/>
      </w:rPr>
      <w:fldChar w:fldCharType="begin"/>
    </w:r>
    <w:r>
      <w:rPr>
        <w:shd w:val="clear"/>
        <w:rFonts w:hint="eastAsia"/>
      </w:rPr>
      <w:instrText>PAGE  \* MERGEFORMAT</w:instrText>
    </w:r>
    <w:r>
      <w:fldChar w:fldCharType="separate"/>
    </w:r>
    <w:r>
      <w:rPr>
        <w:color w:val="999999"/>
        <w:sz w:val="16"/>
        <w:szCs w:val="16"/>
        <w:shd w:val="clear"/>
        <w:rFonts w:ascii="Arial" w:eastAsia="Arial" w:hAnsi="Arial" w:cs="Arial"/>
      </w:rPr>
      <w:t>9</w:t>
    </w:r>
    <w:r>
      <w:rPr>
        <w:color w:val="999999"/>
        <w:sz w:val="16"/>
        <w:szCs w:val="16"/>
        <w:shd w:val="clear"/>
        <w:rFonts w:ascii="Arial" w:eastAsia="Arial" w:hAnsi="Arial" w:cs="Arial"/>
      </w:rPr>
      <w:fldChar w:fldCharType="end"/>
    </w: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right"/>
      <w:spacing w:after="0"/>
      <w:pBdr>
        <w:bottom w:sz="4" w:space="4" w:color="2E75B6" w:val="single"/>
      </w:pBdr>
      <w:rPr>
        <w:shd w:val="clear"/>
      </w:rPr>
    </w:pPr>
    <w:r>
      <w:rPr>
        <w:color w:val="999999"/>
        <w:sz w:val="16"/>
        <w:szCs w:val="16"/>
        <w:shd w:val="clear"/>
        <w:rFonts w:ascii="Arial" w:eastAsia="Arial" w:hAnsi="Arial" w:cs="Arial"/>
      </w:rPr>
      <w:t xml:space="preserve">PNCAM 준거타당도 검증설문 v2.2 — 6문항 최소화 (출산전 포함)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</w:rPr>
      <w:lvlText w:val="●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z w:val="22"/>
        <w:szCs w:val="22"/>
        <w:shd w:val="clear"/>
        <w:rFonts w:ascii="Arial" w:eastAsia="Arial" w:hAnsi="Arial" w:cs="Arial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-1"/>
    <w:semiHidden/>
    <w:unhideWhenUsed/>
    <w:rPr>
      <w:color w:val="auto"/>
      <w:sz w:val="20"/>
      <w:szCs w:val="20"/>
      <w:shd w:val="clear"/>
    </w:rPr>
  </w:style>
  <w:style w:default="1" w:styleId="PO3" w:type="table">
    <w:name w:val="Normal Table"/>
    <w:uiPriority w:val="-1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-1"/>
    <w:semiHidden/>
    <w:unhideWhenUsed/>
  </w:style>
  <w:style w:styleId="PO6" w:type="paragraph">
    <w:name w:val="Title"/>
    <w:qFormat/>
    <w:rPr>
      <w:sz w:val="56"/>
      <w:szCs w:val="56"/>
      <w:shd w:val="clear"/>
    </w:rPr>
  </w:style>
  <w:style w:styleId="PO20" w:type="paragraph">
    <w:name w:val="Strong"/>
    <w:qFormat/>
    <w:rPr>
      <w:b w:val="1"/>
      <w:shd w:val="clear"/>
    </w:rPr>
  </w:style>
  <w:style w:styleId="PO26" w:type="paragraph">
    <w:name w:val="List Paragraph"/>
    <w:qFormat/>
  </w:style>
  <w:style w:styleId="PO37" w:type="table">
    <w:name w:val="Table Grid"/>
    <w:basedOn w:val="PO3"/>
    <w:uiPriority w:val="-1"/>
    <w:pPr>
      <w:spacing w:lineRule="auto" w:line="240" w:after="0"/>
      <w:rPr/>
    </w:p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-1"/>
    <w:pPr>
      <w:spacing w:lineRule="auto" w:line="240" w:after="0"/>
      <w:rPr/>
    </w:p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-1"/>
    <w:pPr>
      <w:spacing w:lineRule="auto" w:line="240" w:after="0"/>
      <w:rPr/>
    </w:pPr>
    <w:tblPr>
      <w:tblBorders>
        <w:bottom w:val="single" w:color="7F7F7F" w:themeColor="text1" w:themeTint="7F" w:sz="4"/>
        <w:top w:val="single" w:color="7F7F7F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F7F7F" w:themeColor="text1" w:themeTint="7F" w:sz="4"/>
          <w:top w:val="single" w:color="7F7F7F" w:themeColor="text1" w:themeTint="7F" w:sz="4"/>
        </w:tcBorders>
      </w:tcPr>
    </w:tblStylePr>
    <w:tblStylePr w:type="band1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band2Vert">
      <w:tcPr>
        <w:tcBorders>
          <w:left w:val="single" w:color="7F7F7F" w:themeColor="text1" w:themeTint="7F" w:sz="4"/>
          <w:right w:val="single" w:color="7F7F7F" w:themeColor="text1" w:themeTint="7F" w:sz="4"/>
        </w:tcBorders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7F7F7F" w:themeColor="text1" w:themeTint="7F" w:sz="4"/>
        </w:tcBorders>
      </w:tcPr>
    </w:tblStylePr>
  </w:style>
  <w:style w:styleId="PO41" w:type="table">
    <w:name w:val="Plain Table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  <w:caps w:val="1"/>
      </w:rPr>
      <w:tcPr>
        <w:tcBorders>
          <w:right w:val="single" w:color="7F7F7F" w:themeColor="text1" w:themeTint="7F" w:sz="4"/>
        </w:tcBorders>
      </w:tcPr>
    </w:tblStylePr>
    <w:tblStylePr w:type="firstRow">
      <w:rPr>
        <w:b w:val="1"/>
        <w:shd w:val="clear"/>
        <w:caps w:val="1"/>
      </w:rPr>
      <w:tcPr>
        <w:tcBorders>
          <w:bottom w:val="single" w:color="7F7F7F" w:themeColor="text1" w:themeTint="7F" w:sz="4"/>
        </w:tcBorders>
      </w:tcPr>
    </w:tblStylePr>
    <w:tblStylePr w:type="lastCol">
      <w:rPr>
        <w:b w:val="1"/>
        <w:shd w:val="clear"/>
        <w:caps w:val="1"/>
      </w:rPr>
      <w:tcPr>
        <w:tcBorders>
          <w:left w:val="nil"/>
        </w:tcBorders>
      </w:tcPr>
    </w:tblStylePr>
    <w:tblStylePr w:type="lastRow">
      <w:rPr>
        <w:b w:val="1"/>
        <w:shd w:val="clear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43" w:type="table">
    <w:name w:val="Plain Table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auto" w:val="clear"/>
      </w:tcPr>
    </w:tblStylePr>
    <w:tblStylePr w:type="band1Vert">
      <w:tcPr>
        <w:shd w:fill="F1F1F1" w:themeFill="background1" w:themeFillShade="F1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F7F7F" w:themeColor="text1" w:themeTint="7F" w:sz="4"/>
        </w:tcBorders>
      </w:tcPr>
    </w:tblStylePr>
    <w:tblStylePr w:type="fir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bottom w:val="single" w:color="7F7F7F" w:themeColor="text1" w:themeTint="7F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F7F7F" w:themeColor="text1" w:themeTint="7F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F7F7F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-1"/>
    <w:pPr>
      <w:spacing w:lineRule="auto" w:line="240" w:after="0"/>
      <w:rPr/>
    </w:p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-1"/>
    <w:pPr>
      <w:spacing w:lineRule="auto" w:line="240" w:after="0"/>
      <w:rPr/>
    </w:p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-1"/>
    <w:pPr>
      <w:spacing w:lineRule="auto" w:line="240" w:after="0"/>
      <w:rPr/>
    </w:p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-1"/>
    <w:pPr>
      <w:spacing w:lineRule="auto" w:line="240" w:after="0"/>
      <w:rPr/>
    </w:p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-1"/>
    <w:pPr>
      <w:spacing w:lineRule="auto" w:line="240" w:after="0"/>
      <w:rPr/>
    </w:p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-1"/>
    <w:pPr>
      <w:spacing w:lineRule="auto" w:line="240" w:after="0"/>
      <w:rPr/>
    </w:p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-1"/>
    <w:pPr>
      <w:spacing w:lineRule="auto" w:line="240" w:after="0"/>
      <w:rPr/>
    </w:p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auto" w:val="clear"/>
    </w:tcPr>
    <w:tblStylePr w:type="band1Horz">
      <w:tcPr>
        <w:shd w:fill="999999" w:themeFill="text1" w:themeFillTint="66" w:color="auto" w:val="clear"/>
      </w:tcPr>
    </w:tblStylePr>
    <w:tblStylePr w:type="band1Vert">
      <w:tcPr>
        <w:shd w:fill="999999" w:themeFill="tex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auto" w:val="clear"/>
    </w:tcPr>
    <w:tblStylePr w:type="band1Horz">
      <w:tcPr>
        <w:shd w:fill="BDD7EE" w:themeFill="accent1" w:themeFillTint="66" w:color="auto" w:val="clear"/>
      </w:tcPr>
    </w:tblStylePr>
    <w:tblStylePr w:type="band1Vert">
      <w:tcPr>
        <w:shd w:fill="BDD7EE" w:themeFill="accent1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auto" w:val="clear"/>
    </w:tcPr>
    <w:tblStylePr w:type="band1Horz">
      <w:tcPr>
        <w:shd w:fill="F8CBAD" w:themeFill="accent2" w:themeFillTint="66" w:color="auto" w:val="clear"/>
      </w:tcPr>
    </w:tblStylePr>
    <w:tblStylePr w:type="band1Vert">
      <w:tcPr>
        <w:shd w:fill="F8CBAD" w:themeFill="accent2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auto" w:val="clear"/>
    </w:tcPr>
    <w:tblStylePr w:type="band1Horz">
      <w:tcPr>
        <w:shd w:fill="DBDBDB" w:themeFill="accent3" w:themeFillTint="66" w:color="auto" w:val="clear"/>
      </w:tcPr>
    </w:tblStylePr>
    <w:tblStylePr w:type="band1Vert">
      <w:tcPr>
        <w:shd w:fill="DBDBDB" w:themeFill="accent3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auto" w:val="clear"/>
    </w:tcPr>
    <w:tblStylePr w:type="band1Horz">
      <w:tcPr>
        <w:shd w:fill="FFE699" w:themeFill="accent4" w:themeFillTint="66" w:color="auto" w:val="clear"/>
      </w:tcPr>
    </w:tblStylePr>
    <w:tblStylePr w:type="band1Vert">
      <w:tcPr>
        <w:shd w:fill="FFE699" w:themeFill="accent4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auto" w:val="clear"/>
    </w:tcPr>
    <w:tblStylePr w:type="band1Horz">
      <w:tcPr>
        <w:shd w:fill="B4C7E7" w:themeFill="accent5" w:themeFillTint="66" w:color="auto" w:val="clear"/>
      </w:tcPr>
    </w:tblStylePr>
    <w:tblStylePr w:type="band1Vert">
      <w:tcPr>
        <w:shd w:fill="B4C7E7" w:themeFill="accent5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-1"/>
    <w:pPr>
      <w:spacing w:lineRule="auto" w:line="240" w:after="0"/>
      <w:rPr/>
    </w:p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auto" w:val="clear"/>
    </w:tcPr>
    <w:tblStylePr w:type="band1Horz">
      <w:tcPr>
        <w:shd w:fill="C5E0B4" w:themeFill="accent6" w:themeFillTint="66" w:color="auto" w:val="clear"/>
      </w:tcPr>
    </w:tblStylePr>
    <w:tblStylePr w:type="band1Vert">
      <w:tcPr>
        <w:shd w:fill="C5E0B4" w:themeFill="accent6" w:themeFillTint="66" w:color="auto" w:val="clear"/>
      </w:tcPr>
    </w:tblStylePr>
    <w:tblStylePr w:type="fir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pPr>
        <w:jc w:val="right"/>
        <w:rPr/>
      </w:pPr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/>
      </w:rPr>
      <w:tcPr>
        <w:shd w:fill="FFFFFF" w:themeFill="background1" w:color="auto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-1"/>
    <w:pPr>
      <w:spacing w:lineRule="auto" w:line="240" w:after="0"/>
      <w:rPr/>
    </w:p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1" w:type="table">
    <w:name w:val="List Table 2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2" w:type="table">
    <w:name w:val="List Table 2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3" w:type="table">
    <w:name w:val="List Table 2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4" w:type="table">
    <w:name w:val="List Table 2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5" w:type="table">
    <w:name w:val="List Table 2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6" w:type="table">
    <w:name w:val="List Table 2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</w:tblStylePr>
  </w:style>
  <w:style w:styleId="PO107" w:type="table">
    <w:name w:val="List Table 3"/>
    <w:basedOn w:val="PO3"/>
    <w:uiPriority w:val="-1"/>
    <w:pPr>
      <w:spacing w:lineRule="auto" w:line="240" w:after="0"/>
      <w:rPr/>
    </w:p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-1"/>
    <w:pPr>
      <w:spacing w:lineRule="auto" w:line="240" w:after="0"/>
      <w:rPr/>
    </w:p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-1"/>
    <w:pPr>
      <w:spacing w:lineRule="auto" w:line="240" w:after="0"/>
      <w:rPr/>
    </w:p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-1"/>
    <w:pPr>
      <w:spacing w:lineRule="auto" w:line="240" w:after="0"/>
      <w:rPr/>
    </w:p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-1"/>
    <w:pPr>
      <w:spacing w:lineRule="auto" w:line="240" w:after="0"/>
      <w:rPr/>
    </w:p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-1"/>
    <w:pPr>
      <w:spacing w:lineRule="auto" w:line="240" w:after="0"/>
      <w:rPr/>
    </w:p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-1"/>
    <w:pPr>
      <w:spacing w:lineRule="auto" w:line="240" w:after="0"/>
      <w:rPr/>
    </w:p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/>
      </w:rPr>
      <w:tcPr>
        <w:shd w:fill="FFFFFF" w:themeFill="background1" w:color="auto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</w:tcPr>
    </w:tblStylePr>
    <w:tblStylePr w:type="lastCol">
      <w:rPr>
        <w:b w:val="1"/>
        <w:shd w:val="clear"/>
      </w:rPr>
      <w:tcPr>
        <w:shd w:fill="FFFFFF" w:themeFill="background1" w:color="auto" w:val="clear"/>
        <w:tcBorders>
          <w:left w:val="nil"/>
        </w:tcBorders>
      </w:tcPr>
    </w:tblStylePr>
    <w:tblStylePr w:type="lastRow">
      <w:rPr>
        <w:b w:val="1"/>
        <w:shd w:val="clear"/>
      </w:rPr>
      <w:tcPr>
        <w:shd w:fill="FFFFFF" w:themeFill="background1" w:color="auto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-1"/>
    <w:pPr>
      <w:spacing w:lineRule="auto" w:line="240" w:after="0"/>
      <w:rPr/>
    </w:p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000000" w:themeFill="text1" w:color="auto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-1"/>
    <w:pPr>
      <w:spacing w:lineRule="auto" w:line="240" w:after="0"/>
      <w:rPr/>
    </w:p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5B9BD5" w:themeFill="accent1" w:color="auto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-1"/>
    <w:pPr>
      <w:spacing w:lineRule="auto" w:line="240" w:after="0"/>
      <w:rPr/>
    </w:p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ED7D31" w:themeFill="accent2" w:color="auto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-1"/>
    <w:pPr>
      <w:spacing w:lineRule="auto" w:line="240" w:after="0"/>
      <w:rPr/>
    </w:p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A5A5A5" w:themeFill="accent3" w:color="auto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-1"/>
    <w:pPr>
      <w:spacing w:lineRule="auto" w:line="240" w:after="0"/>
      <w:rPr/>
    </w:p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FFC000" w:themeFill="accent4" w:color="auto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-1"/>
    <w:pPr>
      <w:spacing w:lineRule="auto" w:line="240" w:after="0"/>
      <w:rPr/>
    </w:p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4472C4" w:themeFill="accent5" w:color="auto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-1"/>
    <w:pPr>
      <w:spacing w:lineRule="auto" w:line="240" w:after="0"/>
      <w:rPr/>
    </w:p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color w:val="FFFFFF" w:themeColor="background1"/>
        <w:shd w:val="clear"/>
      </w:rPr>
      <w:tcPr>
        <w:shd w:fill="70AD47" w:themeFill="accent6" w:color="auto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uiPriority w:val="-1"/>
    <w:pPr>
      <w:spacing w:lineRule="auto" w:line="240" w:after="0"/>
      <w:rPr/>
    </w:pPr>
    <w:rPr>
      <w:color w:val="FFFFFF" w:themeColor="background1"/>
      <w:shd w:val="clear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auto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auto" w:val="clear"/>
      </w:tcPr>
    </w:tblStylePr>
    <w:tblStylePr w:type="band1Vert">
      <w:tcPr>
        <w:shd w:fill="CCCCCC" w:themeFill="tex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auto" w:val="clear"/>
      </w:tcPr>
    </w:tblStylePr>
    <w:tblStylePr w:type="band1Vert">
      <w:tcPr>
        <w:shd w:fill="DEEBF7" w:themeFill="accent1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auto" w:val="clear"/>
      </w:tcPr>
    </w:tblStylePr>
    <w:tblStylePr w:type="band1Vert">
      <w:tcPr>
        <w:shd w:fill="FBE5D6" w:themeFill="accent2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auto" w:val="clear"/>
      </w:tcPr>
    </w:tblStylePr>
    <w:tblStylePr w:type="band1Vert">
      <w:tcPr>
        <w:shd w:fill="EDEDED" w:themeFill="accent3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auto" w:val="clear"/>
      </w:tcPr>
    </w:tblStylePr>
    <w:tblStylePr w:type="band1Vert">
      <w:tcPr>
        <w:shd w:fill="FFF2CC" w:themeFill="accent4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auto" w:val="clear"/>
      </w:tcPr>
    </w:tblStylePr>
    <w:tblStylePr w:type="band1Vert">
      <w:tcPr>
        <w:shd w:fill="DAE3F3" w:themeFill="accent5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auto" w:val="clear"/>
      </w:tcPr>
    </w:tblStylePr>
    <w:tblStylePr w:type="band1Vert">
      <w:tcPr>
        <w:shd w:fill="E2F0D9" w:themeFill="accent6" w:themeFillTint="33" w:color="auto" w:val="clear"/>
      </w:tcPr>
    </w:tblStylePr>
    <w:tblStylePr w:type="firstCol">
      <w:rPr>
        <w:b w:val="1"/>
        <w:shd w:val="clear"/>
      </w:rPr>
    </w:tblStylePr>
    <w:tblStylePr w:type="firstRow">
      <w:rPr>
        <w:b w:val="1"/>
        <w:shd w:val="clear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/>
      </w:rPr>
    </w:tblStylePr>
    <w:tblStylePr w:type="lastRow">
      <w:rPr>
        <w:b w:val="1"/>
        <w:shd w:val="clear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-1"/>
    <w:pPr>
      <w:spacing w:lineRule="auto" w:line="240" w:after="0"/>
      <w:rPr/>
    </w:pPr>
    <w:rPr>
      <w:color w:val="000000" w:themeColor="tex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7E7E7" w:themeFill="text1" w:themeFillTint="33" w:color="auto" w:val="clear"/>
      </w:tcPr>
    </w:tblStylePr>
    <w:tblStylePr w:type="band1Vert">
      <w:tcPr>
        <w:shd w:fill="E7E7E7" w:themeFill="tex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-1"/>
    <w:pPr>
      <w:spacing w:lineRule="auto" w:line="240" w:after="0"/>
      <w:rPr/>
    </w:pPr>
    <w:rPr>
      <w:color w:val="2E75B5" w:themeColor="accent1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AEFF7" w:themeFill="accent1" w:themeFillTint="33" w:color="auto" w:val="clear"/>
      </w:tcPr>
    </w:tblStylePr>
    <w:tblStylePr w:type="band1Vert">
      <w:tcPr>
        <w:shd w:fill="EAEFF7" w:themeFill="accent1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-1"/>
    <w:pPr>
      <w:spacing w:lineRule="auto" w:line="240" w:after="0"/>
      <w:rPr/>
    </w:pPr>
    <w:rPr>
      <w:color w:val="C55911" w:themeColor="accent2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CECE8" w:themeFill="accent2" w:themeFillTint="33" w:color="auto" w:val="clear"/>
      </w:tcPr>
    </w:tblStylePr>
    <w:tblStylePr w:type="band1Vert">
      <w:tcPr>
        <w:shd w:fill="FCECE8" w:themeFill="accent2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-1"/>
    <w:pPr>
      <w:spacing w:lineRule="auto" w:line="240" w:after="0"/>
      <w:rPr/>
    </w:pPr>
    <w:rPr>
      <w:color w:val="7B7B7B" w:themeColor="accent3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0F0F0" w:themeFill="accent3" w:themeFillTint="33" w:color="auto" w:val="clear"/>
      </w:tcPr>
    </w:tblStylePr>
    <w:tblStylePr w:type="band1Vert">
      <w:tcPr>
        <w:shd w:fill="F0F0F0" w:themeFill="accent3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-1"/>
    <w:pPr>
      <w:spacing w:lineRule="auto" w:line="240" w:after="0"/>
      <w:rPr/>
    </w:pPr>
    <w:rPr>
      <w:color w:val="BE8F00" w:themeColor="accent4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4E7" w:themeFill="accent4" w:themeFillTint="33" w:color="auto" w:val="clear"/>
      </w:tcPr>
    </w:tblStylePr>
    <w:tblStylePr w:type="band1Vert">
      <w:tcPr>
        <w:shd w:fill="FFF4E7" w:themeFill="accent4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-1"/>
    <w:pPr>
      <w:spacing w:lineRule="auto" w:line="240" w:after="0"/>
      <w:rPr/>
    </w:pPr>
    <w:rPr>
      <w:color w:val="2F5496" w:themeColor="accent5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9EBF5" w:themeFill="accent5" w:themeFillTint="33" w:color="auto" w:val="clear"/>
      </w:tcPr>
    </w:tblStylePr>
    <w:tblStylePr w:type="band1Vert">
      <w:tcPr>
        <w:shd w:fill="E9EBF5" w:themeFill="accent5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-1"/>
    <w:pPr>
      <w:spacing w:lineRule="auto" w:line="240" w:after="0"/>
      <w:rPr/>
    </w:pPr>
    <w:rPr>
      <w:color w:val="538135" w:themeColor="accent6" w:themeShade="BE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BF1E9" w:themeFill="accent6" w:themeFillTint="33" w:color="auto" w:val="clear"/>
      </w:tcPr>
    </w:tblStylePr>
    <w:tblStylePr w:type="band1Vert">
      <w:tcPr>
        <w:shd w:fill="EBF1E9" w:themeFill="accent6" w:themeFillTint="33" w:color="auto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/>
      </w:rPr>
      <w:tblPr/>
      <w:tcPr>
        <w:shd w:fill="FFFFFF" w:themeFill="background1" w:color="auto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/>
      </w:rPr>
      <w:tcPr>
        <w:shd w:fill="FFFFFF" w:themeFill="background1" w:color="auto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uiPriority w:val="-1"/>
    <w:pPr>
      <w:jc w:val="left"/>
      <w:spacing w:lineRule="auto" w:line="240" w:after="0"/>
      <w:rPr/>
    </w:pPr>
    <w:rPr>
      <w:sz w:val="22"/>
      <w:szCs w:val="22"/>
      <w:shd w:val="clear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uto" w:val="nil"/>
    </w:tcPr>
    <w:tblStylePr w:type="band1Horz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fill="auto"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/>
      </w:rPr>
      <w:tcPr>
        <w:vAlign w:val="bottom"/>
      </w:tcPr>
    </w:tblStylePr>
    <w:tblStylePr w:type="lastRow">
      <w:tcPr>
        <w:shd w:fill="auto"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styleId="PO151" w:type="paragraph">
    <w:name w:val="Heading 1"/>
    <w:qFormat/>
    <w:pPr>
      <w:spacing w:before="360" w:after="200"/>
      <w:rPr/>
      <w:outlineLvl w:val="0"/>
    </w:pPr>
    <w:rPr>
      <w:b w:val="1"/>
      <w:color w:val="1B3A5C"/>
      <w:sz w:val="32"/>
      <w:szCs w:val="32"/>
      <w:shd w:val="clear"/>
      <w:rFonts w:ascii="Arial" w:eastAsia="Arial" w:hAnsi="Arial" w:cs="Arial"/>
    </w:rPr>
  </w:style>
  <w:style w:styleId="PO152" w:type="paragraph">
    <w:name w:val="Heading 2"/>
    <w:qFormat/>
    <w:pPr>
      <w:spacing w:before="280" w:after="160"/>
      <w:rPr/>
      <w:outlineLvl w:val="1"/>
    </w:pPr>
    <w:rPr>
      <w:b w:val="1"/>
      <w:color w:val="2E75B6"/>
      <w:sz w:val="28"/>
      <w:szCs w:val="28"/>
      <w:shd w:val="clear"/>
      <w:rFonts w:ascii="Arial" w:eastAsia="Arial" w:hAnsi="Arial" w:cs="Arial"/>
    </w:rPr>
  </w:style>
  <w:style w:styleId="PO153" w:type="paragraph">
    <w:name w:val="Heading 3"/>
    <w:qFormat/>
    <w:rPr>
      <w:color w:val="1F4D78"/>
      <w:sz w:val="24"/>
      <w:szCs w:val="24"/>
      <w:shd w:val="clear"/>
    </w:rPr>
  </w:style>
  <w:style w:styleId="PO154" w:type="paragraph">
    <w:name w:val="Heading 4"/>
    <w:qFormat/>
    <w:rPr>
      <w:i w:val="1"/>
      <w:color w:val="2E74B5"/>
      <w:shd w:val="clear"/>
    </w:rPr>
  </w:style>
  <w:style w:styleId="PO155" w:type="paragraph">
    <w:name w:val="Heading 5"/>
    <w:qFormat/>
    <w:rPr>
      <w:color w:val="2E74B5"/>
      <w:shd w:val="clear"/>
    </w:rPr>
  </w:style>
  <w:style w:styleId="PO156" w:type="paragraph">
    <w:name w:val="Heading 6"/>
    <w:qFormat/>
    <w:rPr>
      <w:color w:val="1F4D78"/>
      <w:shd w:val="clear"/>
    </w:rPr>
  </w:style>
  <w:style w:styleId="PO157" w:type="character">
    <w:name w:val="Hyperlink"/>
    <w:uiPriority w:val="99"/>
    <w:unhideWhenUsed/>
    <w:rPr>
      <w:color w:val="0563C1"/>
      <w:u w:val="single"/>
      <w:shd w:val="clear"/>
    </w:rPr>
  </w:style>
  <w:style w:styleId="PO158" w:type="character">
    <w:name w:val="footnote reference"/>
    <w:uiPriority w:val="99"/>
    <w:semiHidden/>
    <w:unhideWhenUsed/>
    <w:rPr>
      <w:vertAlign w:val="superscript"/>
      <w:shd w:val="clear"/>
    </w:rPr>
  </w:style>
  <w:style w:styleId="PO159" w:type="paragraph">
    <w:name w:val="footnote text"/>
    <w:link w:val="PO160"/>
    <w:uiPriority w:val="99"/>
    <w:semiHidden/>
    <w:unhideWhenUsed/>
    <w:pPr>
      <w:spacing w:lineRule="auto" w:line="240" w:after="0"/>
      <w:rPr/>
    </w:pPr>
    <w:rPr>
      <w:sz w:val="20"/>
      <w:szCs w:val="20"/>
      <w:shd w:val="clear"/>
    </w:rPr>
  </w:style>
  <w:style w:styleId="PO160" w:type="character">
    <w:name w:val="Footnote Text Char"/>
    <w:link w:val="PO159"/>
    <w:uiPriority w:val="99"/>
    <w:semiHidden/>
    <w:unhideWhenUsed/>
    <w:rPr>
      <w:sz w:val="20"/>
      <w:szCs w:val="20"/>
      <w:shd w:val="cle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header" Target="header2.xml"></Relationship><Relationship Id="rId6" Type="http://schemas.openxmlformats.org/officeDocument/2006/relationships/footer" Target="footer3.xml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_rels/fontTable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10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Un-named</dc:creator>
  <cp:lastModifiedBy>kim youseung</cp:lastModifiedBy>
  <cp:version>10.105.298.56155</cp:version>
  <dcterms:modified xsi:type="dcterms:W3CDTF">2026-04-01T13:12:57Z</dcterms:modified>
</cp:coreProperties>
</file>