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1895"/>
        <w:gridCol w:w="2836"/>
        <w:gridCol w:w="1356"/>
        <w:gridCol w:w="3489"/>
      </w:tblGrid>
      <w:tr w:rsidR="00ED2738" w:rsidRPr="00A414C4" w:rsidTr="00A414C4">
        <w:tc>
          <w:tcPr>
            <w:tcW w:w="1908" w:type="dxa"/>
            <w:shd w:val="clear" w:color="auto" w:fill="4C4C4C"/>
          </w:tcPr>
          <w:p w:rsidR="00ED2738" w:rsidRPr="00A414C4" w:rsidRDefault="00ED2738" w:rsidP="00A414C4">
            <w:pPr>
              <w:jc w:val="right"/>
              <w:rPr>
                <w:rFonts w:ascii="Verdana" w:hAnsi="Verdana"/>
                <w:b/>
                <w:color w:val="FFFFFF"/>
              </w:rPr>
            </w:pPr>
            <w:r w:rsidRPr="00A414C4">
              <w:rPr>
                <w:rFonts w:ascii="Verdana" w:hAnsi="Verdana"/>
                <w:b/>
                <w:color w:val="FFFFFF"/>
              </w:rPr>
              <w:t>Project Name</w:t>
            </w:r>
          </w:p>
        </w:tc>
        <w:tc>
          <w:tcPr>
            <w:tcW w:w="2880" w:type="dxa"/>
          </w:tcPr>
          <w:p w:rsidR="00ED2738" w:rsidRPr="00A414C4" w:rsidRDefault="00ED2738" w:rsidP="005E5315">
            <w:pPr>
              <w:rPr>
                <w:rFonts w:ascii="Verdana" w:hAnsi="Verdana"/>
              </w:rPr>
            </w:pPr>
            <w:r>
              <w:rPr>
                <w:rFonts w:ascii="Verdana" w:hAnsi="Verdana"/>
              </w:rPr>
              <w:t>Gift Portal</w:t>
            </w:r>
          </w:p>
        </w:tc>
        <w:tc>
          <w:tcPr>
            <w:tcW w:w="1265" w:type="dxa"/>
            <w:shd w:val="clear" w:color="auto" w:fill="4C4C4C"/>
          </w:tcPr>
          <w:p w:rsidR="00ED2738" w:rsidRPr="00A414C4" w:rsidRDefault="00ED2738" w:rsidP="00A414C4">
            <w:pPr>
              <w:jc w:val="right"/>
              <w:rPr>
                <w:rFonts w:ascii="Verdana" w:hAnsi="Verdana"/>
                <w:b/>
                <w:color w:val="FFFFFF"/>
              </w:rPr>
            </w:pPr>
            <w:r w:rsidRPr="00A414C4">
              <w:rPr>
                <w:rFonts w:ascii="Verdana" w:hAnsi="Verdana"/>
                <w:b/>
                <w:color w:val="FFFFFF"/>
              </w:rPr>
              <w:t>Developer</w:t>
            </w:r>
          </w:p>
        </w:tc>
        <w:tc>
          <w:tcPr>
            <w:tcW w:w="3523" w:type="dxa"/>
          </w:tcPr>
          <w:p w:rsidR="00ED2738" w:rsidRPr="00A414C4" w:rsidRDefault="00ED2738" w:rsidP="005E5315">
            <w:pPr>
              <w:rPr>
                <w:rFonts w:ascii="Verdana" w:hAnsi="Verdana"/>
              </w:rPr>
            </w:pPr>
            <w:r>
              <w:rPr>
                <w:rFonts w:ascii="Verdana" w:hAnsi="Verdana"/>
              </w:rPr>
              <w:t>Lakshmi Annaparthi/Boga Swetha</w:t>
            </w:r>
          </w:p>
        </w:tc>
      </w:tr>
      <w:tr w:rsidR="00ED2738" w:rsidRPr="00A414C4" w:rsidTr="00A414C4">
        <w:tc>
          <w:tcPr>
            <w:tcW w:w="1908" w:type="dxa"/>
            <w:shd w:val="clear" w:color="auto" w:fill="4C4C4C"/>
          </w:tcPr>
          <w:p w:rsidR="00ED2738" w:rsidRPr="00A414C4" w:rsidRDefault="00ED2738" w:rsidP="00A414C4">
            <w:pPr>
              <w:jc w:val="right"/>
              <w:rPr>
                <w:rFonts w:ascii="Verdana" w:hAnsi="Verdana"/>
                <w:b/>
                <w:color w:val="FFFFFF"/>
              </w:rPr>
            </w:pPr>
            <w:r w:rsidRPr="00A414C4">
              <w:rPr>
                <w:rFonts w:ascii="Verdana" w:hAnsi="Verdana"/>
                <w:b/>
                <w:color w:val="FFFFFF"/>
              </w:rPr>
              <w:t>Review Date</w:t>
            </w:r>
          </w:p>
        </w:tc>
        <w:tc>
          <w:tcPr>
            <w:tcW w:w="2880" w:type="dxa"/>
          </w:tcPr>
          <w:p w:rsidR="00ED2738" w:rsidRPr="00A414C4" w:rsidRDefault="00ED2738" w:rsidP="005E5315">
            <w:pPr>
              <w:rPr>
                <w:rFonts w:ascii="Verdana" w:hAnsi="Verdana"/>
              </w:rPr>
            </w:pPr>
          </w:p>
        </w:tc>
        <w:tc>
          <w:tcPr>
            <w:tcW w:w="1265" w:type="dxa"/>
            <w:shd w:val="clear" w:color="auto" w:fill="4C4C4C"/>
          </w:tcPr>
          <w:p w:rsidR="00ED2738" w:rsidRPr="00A414C4" w:rsidRDefault="00ED2738" w:rsidP="00A414C4">
            <w:pPr>
              <w:jc w:val="right"/>
              <w:rPr>
                <w:rFonts w:ascii="Verdana" w:hAnsi="Verdana"/>
                <w:b/>
                <w:color w:val="FFFFFF"/>
              </w:rPr>
            </w:pPr>
            <w:r w:rsidRPr="00A414C4">
              <w:rPr>
                <w:rFonts w:ascii="Verdana" w:hAnsi="Verdana"/>
                <w:b/>
                <w:color w:val="FFFFFF"/>
              </w:rPr>
              <w:t>Project Manager</w:t>
            </w:r>
          </w:p>
        </w:tc>
        <w:tc>
          <w:tcPr>
            <w:tcW w:w="3523" w:type="dxa"/>
          </w:tcPr>
          <w:p w:rsidR="00ED2738" w:rsidRPr="00A414C4" w:rsidRDefault="00ED2738" w:rsidP="005E5315">
            <w:pPr>
              <w:rPr>
                <w:rFonts w:ascii="Verdana" w:hAnsi="Verdana"/>
              </w:rPr>
            </w:pPr>
            <w:r>
              <w:rPr>
                <w:rFonts w:ascii="Verdana" w:hAnsi="Verdana"/>
              </w:rPr>
              <w:t>Rachana Brahmbhatt</w:t>
            </w:r>
          </w:p>
        </w:tc>
      </w:tr>
      <w:tr w:rsidR="00ED2738" w:rsidRPr="00A414C4" w:rsidTr="00A414C4">
        <w:tc>
          <w:tcPr>
            <w:tcW w:w="1908" w:type="dxa"/>
            <w:shd w:val="clear" w:color="auto" w:fill="4C4C4C"/>
          </w:tcPr>
          <w:p w:rsidR="00ED2738" w:rsidRPr="00A414C4" w:rsidRDefault="00ED2738" w:rsidP="00A414C4">
            <w:pPr>
              <w:jc w:val="center"/>
              <w:rPr>
                <w:rFonts w:ascii="Verdana" w:hAnsi="Verdana"/>
                <w:b/>
                <w:color w:val="FFFFFF"/>
              </w:rPr>
            </w:pPr>
            <w:r w:rsidRPr="00A414C4">
              <w:rPr>
                <w:rFonts w:ascii="Verdana" w:hAnsi="Verdana"/>
                <w:b/>
                <w:color w:val="FFFFFF"/>
              </w:rPr>
              <w:t>Reviewer</w:t>
            </w:r>
          </w:p>
        </w:tc>
        <w:tc>
          <w:tcPr>
            <w:tcW w:w="2880" w:type="dxa"/>
          </w:tcPr>
          <w:p w:rsidR="00ED2738" w:rsidRPr="00A414C4" w:rsidRDefault="00ED2738" w:rsidP="005E5315">
            <w:pPr>
              <w:rPr>
                <w:rFonts w:ascii="Verdana" w:hAnsi="Verdana"/>
              </w:rPr>
            </w:pPr>
          </w:p>
        </w:tc>
        <w:tc>
          <w:tcPr>
            <w:tcW w:w="1265" w:type="dxa"/>
            <w:shd w:val="clear" w:color="auto" w:fill="4C4C4C"/>
          </w:tcPr>
          <w:p w:rsidR="00ED2738" w:rsidRPr="00A414C4" w:rsidRDefault="00ED2738" w:rsidP="00A414C4">
            <w:pPr>
              <w:jc w:val="right"/>
              <w:rPr>
                <w:rFonts w:ascii="Verdana" w:hAnsi="Verdana"/>
                <w:b/>
                <w:color w:val="FFFFFF"/>
              </w:rPr>
            </w:pPr>
          </w:p>
        </w:tc>
        <w:tc>
          <w:tcPr>
            <w:tcW w:w="3523" w:type="dxa"/>
          </w:tcPr>
          <w:p w:rsidR="00ED2738" w:rsidRPr="00A414C4" w:rsidRDefault="00ED2738" w:rsidP="005E5315">
            <w:pPr>
              <w:rPr>
                <w:rFonts w:ascii="Verdana" w:hAnsi="Verdana"/>
              </w:rPr>
            </w:pPr>
          </w:p>
        </w:tc>
      </w:tr>
    </w:tbl>
    <w:p w:rsidR="00ED2738" w:rsidRDefault="00ED2738" w:rsidP="00DC50A8">
      <w:pPr>
        <w:pStyle w:val="Heading1"/>
      </w:pPr>
      <w:r>
        <w:t>Introduction</w:t>
      </w:r>
    </w:p>
    <w:p w:rsidR="00ED2738" w:rsidRPr="00A23008" w:rsidRDefault="00ED2738" w:rsidP="00712523">
      <w:r w:rsidRPr="00A23008">
        <w:t xml:space="preserve">This checklist </w:t>
      </w:r>
      <w:r>
        <w:t xml:space="preserve">(template) </w:t>
      </w:r>
      <w:r w:rsidRPr="00A23008">
        <w:t xml:space="preserve">is provided for .NET developers and architects to review .NET application code.   The intent of the checklist is to define the series of steps taken to perform a code review.  Many of the specific details are provided in the references.  Not all items </w:t>
      </w:r>
      <w:r>
        <w:t>listed below</w:t>
      </w:r>
      <w:r w:rsidRPr="00A23008">
        <w:t xml:space="preserve"> </w:t>
      </w:r>
      <w:r>
        <w:t>are</w:t>
      </w:r>
      <w:r w:rsidRPr="00A23008">
        <w:t xml:space="preserve"> applicable to a given review</w:t>
      </w:r>
      <w:r>
        <w:t>.  The application’s components and type of data being processed typically which of the following sections apply.</w:t>
      </w:r>
    </w:p>
    <w:p w:rsidR="00ED2738" w:rsidRPr="00A23008" w:rsidRDefault="00ED2738" w:rsidP="00712523"/>
    <w:p w:rsidR="00ED2738" w:rsidRDefault="00ED2738" w:rsidP="00712523">
      <w:r w:rsidRPr="00A23008">
        <w:t>The checklist is organized by these topic areas:</w:t>
      </w:r>
    </w:p>
    <w:p w:rsidR="00ED2738" w:rsidRDefault="00ED2738" w:rsidP="00712523"/>
    <w:tbl>
      <w:tblPr>
        <w:tblW w:w="0" w:type="auto"/>
        <w:tblInd w:w="648" w:type="dxa"/>
        <w:tblLook w:val="01E0"/>
      </w:tblPr>
      <w:tblGrid>
        <w:gridCol w:w="4140"/>
        <w:gridCol w:w="3960"/>
      </w:tblGrid>
      <w:tr w:rsidR="00ED2738" w:rsidTr="00A414C4">
        <w:tc>
          <w:tcPr>
            <w:tcW w:w="4140" w:type="dxa"/>
          </w:tcPr>
          <w:p w:rsidR="00ED2738" w:rsidRDefault="00ED2738" w:rsidP="00A414C4">
            <w:pPr>
              <w:numPr>
                <w:ilvl w:val="0"/>
                <w:numId w:val="10"/>
              </w:numPr>
            </w:pPr>
            <w:r w:rsidRPr="00A414C4">
              <w:rPr>
                <w:bCs/>
              </w:rPr>
              <w:t>Section 3 - .NET General</w:t>
            </w:r>
          </w:p>
        </w:tc>
        <w:tc>
          <w:tcPr>
            <w:tcW w:w="3960" w:type="dxa"/>
          </w:tcPr>
          <w:p w:rsidR="00ED2738" w:rsidRDefault="00ED2738" w:rsidP="00FE455D">
            <w:pPr>
              <w:numPr>
                <w:ilvl w:val="0"/>
                <w:numId w:val="10"/>
              </w:numPr>
            </w:pPr>
            <w:r w:rsidRPr="00A414C4">
              <w:rPr>
                <w:bCs/>
              </w:rPr>
              <w:t xml:space="preserve">Section </w:t>
            </w:r>
            <w:r>
              <w:rPr>
                <w:bCs/>
              </w:rPr>
              <w:t>8</w:t>
            </w:r>
            <w:r w:rsidRPr="00A414C4">
              <w:rPr>
                <w:bCs/>
              </w:rPr>
              <w:t xml:space="preserve"> </w:t>
            </w:r>
            <w:r>
              <w:rPr>
                <w:bCs/>
              </w:rPr>
              <w:t>-</w:t>
            </w:r>
            <w:r w:rsidRPr="00A414C4">
              <w:rPr>
                <w:bCs/>
              </w:rPr>
              <w:t xml:space="preserve"> </w:t>
            </w:r>
            <w:r>
              <w:rPr>
                <w:bCs/>
              </w:rPr>
              <w:t>Web Services</w:t>
            </w:r>
          </w:p>
        </w:tc>
      </w:tr>
      <w:tr w:rsidR="00ED2738" w:rsidTr="00A414C4">
        <w:tc>
          <w:tcPr>
            <w:tcW w:w="4140" w:type="dxa"/>
          </w:tcPr>
          <w:p w:rsidR="00ED2738" w:rsidRDefault="00ED2738" w:rsidP="006C66B1">
            <w:pPr>
              <w:numPr>
                <w:ilvl w:val="0"/>
                <w:numId w:val="10"/>
              </w:numPr>
            </w:pPr>
            <w:r w:rsidRPr="00A414C4">
              <w:rPr>
                <w:bCs/>
              </w:rPr>
              <w:t xml:space="preserve">Section 4 - </w:t>
            </w:r>
            <w:r>
              <w:rPr>
                <w:bCs/>
              </w:rPr>
              <w:t>Persistence</w:t>
            </w:r>
          </w:p>
        </w:tc>
        <w:tc>
          <w:tcPr>
            <w:tcW w:w="3960" w:type="dxa"/>
          </w:tcPr>
          <w:p w:rsidR="00ED2738" w:rsidRDefault="00ED2738" w:rsidP="00B6706E">
            <w:pPr>
              <w:numPr>
                <w:ilvl w:val="0"/>
                <w:numId w:val="10"/>
              </w:numPr>
            </w:pPr>
            <w:r w:rsidRPr="00A414C4">
              <w:rPr>
                <w:bCs/>
              </w:rPr>
              <w:t xml:space="preserve">Section </w:t>
            </w:r>
            <w:r>
              <w:rPr>
                <w:bCs/>
              </w:rPr>
              <w:t>9</w:t>
            </w:r>
            <w:r w:rsidRPr="00A414C4">
              <w:rPr>
                <w:bCs/>
              </w:rPr>
              <w:t xml:space="preserve"> - </w:t>
            </w:r>
            <w:r>
              <w:rPr>
                <w:bCs/>
              </w:rPr>
              <w:t>Architectural Stategy</w:t>
            </w:r>
          </w:p>
        </w:tc>
      </w:tr>
      <w:tr w:rsidR="00ED2738" w:rsidTr="00A414C4">
        <w:tc>
          <w:tcPr>
            <w:tcW w:w="4140" w:type="dxa"/>
          </w:tcPr>
          <w:p w:rsidR="00ED2738" w:rsidRDefault="00ED2738" w:rsidP="00A414C4">
            <w:pPr>
              <w:numPr>
                <w:ilvl w:val="0"/>
                <w:numId w:val="10"/>
              </w:numPr>
            </w:pPr>
            <w:r w:rsidRPr="00A414C4">
              <w:rPr>
                <w:bCs/>
              </w:rPr>
              <w:t>Section 5 - ASP.NET</w:t>
            </w:r>
            <w:r>
              <w:rPr>
                <w:bCs/>
              </w:rPr>
              <w:t xml:space="preserve"> General</w:t>
            </w:r>
          </w:p>
        </w:tc>
        <w:tc>
          <w:tcPr>
            <w:tcW w:w="3960" w:type="dxa"/>
          </w:tcPr>
          <w:p w:rsidR="00ED2738" w:rsidRDefault="00ED2738" w:rsidP="00FE455D">
            <w:pPr>
              <w:numPr>
                <w:ilvl w:val="0"/>
                <w:numId w:val="10"/>
              </w:numPr>
            </w:pPr>
            <w:r w:rsidRPr="00A414C4">
              <w:rPr>
                <w:bCs/>
              </w:rPr>
              <w:t xml:space="preserve">Section </w:t>
            </w:r>
            <w:r>
              <w:rPr>
                <w:bCs/>
              </w:rPr>
              <w:t>10</w:t>
            </w:r>
            <w:r w:rsidRPr="00A414C4">
              <w:rPr>
                <w:bCs/>
              </w:rPr>
              <w:t xml:space="preserve"> - Code Review Tools</w:t>
            </w:r>
          </w:p>
        </w:tc>
      </w:tr>
      <w:tr w:rsidR="00ED2738" w:rsidTr="00A414C4">
        <w:tc>
          <w:tcPr>
            <w:tcW w:w="4140" w:type="dxa"/>
          </w:tcPr>
          <w:p w:rsidR="00ED2738" w:rsidRPr="00FD28FE" w:rsidRDefault="00ED2738" w:rsidP="00CE28D9">
            <w:pPr>
              <w:numPr>
                <w:ilvl w:val="0"/>
                <w:numId w:val="10"/>
              </w:numPr>
            </w:pPr>
            <w:r>
              <w:rPr>
                <w:bCs/>
              </w:rPr>
              <w:t>Section 6 – ASP.NET WebForms</w:t>
            </w:r>
          </w:p>
          <w:p w:rsidR="00ED2738" w:rsidRDefault="00ED2738" w:rsidP="00CE28D9">
            <w:pPr>
              <w:numPr>
                <w:ilvl w:val="0"/>
                <w:numId w:val="10"/>
              </w:numPr>
            </w:pPr>
            <w:r>
              <w:t>Section 7 – ASP.NET MVC</w:t>
            </w:r>
          </w:p>
        </w:tc>
        <w:tc>
          <w:tcPr>
            <w:tcW w:w="3960" w:type="dxa"/>
          </w:tcPr>
          <w:p w:rsidR="00ED2738" w:rsidRDefault="00ED2738" w:rsidP="00A414C4">
            <w:pPr>
              <w:numPr>
                <w:ilvl w:val="0"/>
                <w:numId w:val="10"/>
              </w:numPr>
            </w:pPr>
            <w:r>
              <w:t xml:space="preserve">Section 11 - </w:t>
            </w:r>
            <w:r w:rsidRPr="00A414C4">
              <w:rPr>
                <w:bCs/>
              </w:rPr>
              <w:t>PCI Analysis</w:t>
            </w:r>
          </w:p>
          <w:p w:rsidR="00ED2738" w:rsidRDefault="00ED2738" w:rsidP="00A414C4">
            <w:pPr>
              <w:numPr>
                <w:ilvl w:val="0"/>
                <w:numId w:val="10"/>
              </w:numPr>
            </w:pPr>
            <w:r>
              <w:t xml:space="preserve">Section 12 - </w:t>
            </w:r>
            <w:r w:rsidRPr="00A414C4">
              <w:rPr>
                <w:bCs/>
              </w:rPr>
              <w:t>File Details</w:t>
            </w:r>
          </w:p>
          <w:p w:rsidR="00ED2738" w:rsidRDefault="00ED2738" w:rsidP="00FE455D">
            <w:pPr>
              <w:numPr>
                <w:ilvl w:val="0"/>
                <w:numId w:val="10"/>
              </w:numPr>
            </w:pPr>
            <w:r>
              <w:t>Section 13 - Follow-up Items</w:t>
            </w:r>
          </w:p>
        </w:tc>
      </w:tr>
    </w:tbl>
    <w:p w:rsidR="00ED2738" w:rsidRDefault="00ED2738" w:rsidP="00942275">
      <w:pPr>
        <w:pStyle w:val="Bullet"/>
        <w:numPr>
          <w:ilvl w:val="0"/>
          <w:numId w:val="0"/>
        </w:numPr>
        <w:spacing w:before="0"/>
        <w:rPr>
          <w:rFonts w:ascii="Arial" w:hAnsi="Arial" w:cs="Arial"/>
          <w:b/>
          <w:bCs/>
        </w:rPr>
      </w:pPr>
    </w:p>
    <w:p w:rsidR="00ED2738" w:rsidRDefault="00ED2738" w:rsidP="00CE28D9">
      <w:pPr>
        <w:pStyle w:val="Bullet"/>
        <w:numPr>
          <w:ilvl w:val="0"/>
          <w:numId w:val="0"/>
        </w:numPr>
        <w:rPr>
          <w:rFonts w:ascii="Arial" w:hAnsi="Arial" w:cs="Arial"/>
          <w:b/>
          <w:bCs/>
        </w:rPr>
      </w:pPr>
      <w:r>
        <w:rPr>
          <w:rFonts w:ascii="Arial" w:hAnsi="Arial" w:cs="Arial"/>
          <w:b/>
          <w:bCs/>
        </w:rPr>
        <w:t>Severity Level Key</w:t>
      </w:r>
    </w:p>
    <w:p w:rsidR="00ED2738" w:rsidRDefault="00ED2738" w:rsidP="00CE28D9">
      <w:pPr>
        <w:pStyle w:val="Bullet"/>
        <w:numPr>
          <w:ilvl w:val="0"/>
          <w:numId w:val="0"/>
        </w:numPr>
        <w:rPr>
          <w:rFonts w:ascii="Arial" w:hAnsi="Arial" w:cs="Arial"/>
          <w:bCs/>
          <w:sz w:val="20"/>
        </w:rPr>
      </w:pPr>
      <w:r w:rsidRPr="00864BD1">
        <w:rPr>
          <w:rFonts w:ascii="Arial" w:hAnsi="Arial" w:cs="Arial"/>
          <w:bCs/>
          <w:sz w:val="20"/>
        </w:rPr>
        <w:t xml:space="preserve">Each </w:t>
      </w:r>
      <w:r>
        <w:rPr>
          <w:rFonts w:ascii="Arial" w:hAnsi="Arial" w:cs="Arial"/>
          <w:bCs/>
          <w:sz w:val="20"/>
        </w:rPr>
        <w:t>audit category</w:t>
      </w:r>
      <w:r w:rsidRPr="00864BD1">
        <w:rPr>
          <w:rFonts w:ascii="Arial" w:hAnsi="Arial" w:cs="Arial"/>
          <w:bCs/>
          <w:sz w:val="20"/>
        </w:rPr>
        <w:t xml:space="preserve"> is scored in accordance with </w:t>
      </w:r>
      <w:r>
        <w:rPr>
          <w:rFonts w:ascii="Arial" w:hAnsi="Arial" w:cs="Arial"/>
          <w:bCs/>
          <w:sz w:val="20"/>
        </w:rPr>
        <w:t>a</w:t>
      </w:r>
      <w:r w:rsidRPr="00864BD1">
        <w:rPr>
          <w:rFonts w:ascii="Arial" w:hAnsi="Arial" w:cs="Arial"/>
          <w:bCs/>
          <w:sz w:val="20"/>
        </w:rPr>
        <w:t xml:space="preserve"> severity level </w:t>
      </w:r>
      <w:r>
        <w:rPr>
          <w:rFonts w:ascii="Arial" w:hAnsi="Arial" w:cs="Arial"/>
          <w:bCs/>
          <w:sz w:val="20"/>
        </w:rPr>
        <w:t>as defined in the table below.  In general, S1 defects are material threats to the hosting environment and/or violate fundamental best practices or Payment Card Industry (PCI) standards, S2 defects relate to performance and support risks, S3 defects point out areas which affect the long term maintainability or troubleshooting.</w:t>
      </w:r>
    </w:p>
    <w:p w:rsidR="00ED2738" w:rsidRDefault="00ED2738" w:rsidP="00CE28D9">
      <w:pPr>
        <w:pStyle w:val="Bullet"/>
        <w:numPr>
          <w:ilvl w:val="0"/>
          <w:numId w:val="0"/>
        </w:numPr>
        <w:rPr>
          <w:rFonts w:ascii="Arial" w:hAnsi="Arial" w:cs="Arial"/>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2"/>
        <w:gridCol w:w="8804"/>
      </w:tblGrid>
      <w:tr w:rsidR="00ED2738" w:rsidRPr="00A414C4" w:rsidTr="00322D83">
        <w:tc>
          <w:tcPr>
            <w:tcW w:w="772" w:type="dxa"/>
            <w:shd w:val="clear" w:color="auto" w:fill="4C4C4C"/>
          </w:tcPr>
          <w:p w:rsidR="00ED2738" w:rsidRPr="00A414C4" w:rsidRDefault="00ED2738" w:rsidP="00322D83">
            <w:pPr>
              <w:pStyle w:val="Bullet"/>
              <w:numPr>
                <w:ilvl w:val="0"/>
                <w:numId w:val="0"/>
              </w:numPr>
              <w:rPr>
                <w:rFonts w:ascii="Arial" w:hAnsi="Arial" w:cs="Arial"/>
                <w:b/>
                <w:bCs/>
                <w:color w:val="FFFFFF"/>
                <w:sz w:val="20"/>
              </w:rPr>
            </w:pPr>
            <w:r w:rsidRPr="00A414C4">
              <w:rPr>
                <w:rFonts w:ascii="Arial" w:hAnsi="Arial" w:cs="Arial"/>
                <w:b/>
                <w:bCs/>
                <w:color w:val="FFFFFF"/>
                <w:sz w:val="20"/>
              </w:rPr>
              <w:t>Level</w:t>
            </w:r>
          </w:p>
        </w:tc>
        <w:tc>
          <w:tcPr>
            <w:tcW w:w="8804" w:type="dxa"/>
            <w:shd w:val="clear" w:color="auto" w:fill="4C4C4C"/>
          </w:tcPr>
          <w:p w:rsidR="00ED2738" w:rsidRPr="00A414C4" w:rsidRDefault="00ED2738" w:rsidP="00322D83">
            <w:pPr>
              <w:pStyle w:val="Bullet"/>
              <w:numPr>
                <w:ilvl w:val="0"/>
                <w:numId w:val="0"/>
              </w:numPr>
              <w:rPr>
                <w:rFonts w:ascii="Arial" w:hAnsi="Arial" w:cs="Arial"/>
                <w:b/>
                <w:bCs/>
                <w:color w:val="FFFFFF"/>
                <w:sz w:val="20"/>
              </w:rPr>
            </w:pPr>
            <w:r w:rsidRPr="00A414C4">
              <w:rPr>
                <w:rFonts w:ascii="Arial" w:hAnsi="Arial" w:cs="Arial"/>
                <w:b/>
                <w:bCs/>
                <w:color w:val="FFFFFF"/>
                <w:sz w:val="20"/>
              </w:rPr>
              <w:t>Description</w:t>
            </w:r>
          </w:p>
        </w:tc>
      </w:tr>
      <w:tr w:rsidR="00ED2738" w:rsidRPr="00A414C4" w:rsidTr="00322D83">
        <w:tc>
          <w:tcPr>
            <w:tcW w:w="772" w:type="dxa"/>
            <w:shd w:val="clear" w:color="auto" w:fill="FF0000"/>
          </w:tcPr>
          <w:p w:rsidR="00ED2738" w:rsidRPr="00A414C4" w:rsidRDefault="00ED2738" w:rsidP="00322D83">
            <w:pPr>
              <w:pStyle w:val="Bullet"/>
              <w:numPr>
                <w:ilvl w:val="0"/>
                <w:numId w:val="0"/>
              </w:numPr>
              <w:rPr>
                <w:rFonts w:ascii="Arial" w:hAnsi="Arial" w:cs="Arial"/>
                <w:b/>
                <w:bCs/>
                <w:color w:val="FFFFFF"/>
                <w:sz w:val="20"/>
              </w:rPr>
            </w:pPr>
            <w:r w:rsidRPr="00A414C4">
              <w:rPr>
                <w:rFonts w:ascii="Arial" w:hAnsi="Arial" w:cs="Arial"/>
                <w:b/>
                <w:bCs/>
                <w:color w:val="FFFFFF"/>
                <w:sz w:val="20"/>
              </w:rPr>
              <w:t>S1</w:t>
            </w:r>
          </w:p>
        </w:tc>
        <w:tc>
          <w:tcPr>
            <w:tcW w:w="8804" w:type="dxa"/>
          </w:tcPr>
          <w:p w:rsidR="00ED2738" w:rsidRPr="00A414C4" w:rsidRDefault="00ED2738" w:rsidP="00CD58D0">
            <w:pPr>
              <w:pStyle w:val="Bullet"/>
              <w:numPr>
                <w:ilvl w:val="0"/>
                <w:numId w:val="0"/>
              </w:numPr>
              <w:rPr>
                <w:rFonts w:ascii="Arial" w:hAnsi="Arial" w:cs="Arial"/>
                <w:sz w:val="20"/>
              </w:rPr>
            </w:pPr>
            <w:r>
              <w:rPr>
                <w:rFonts w:ascii="Arial" w:hAnsi="Arial" w:cs="Arial"/>
                <w:b/>
                <w:bCs/>
                <w:sz w:val="20"/>
                <w:u w:val="single"/>
              </w:rPr>
              <w:t>Critical</w:t>
            </w:r>
            <w:r w:rsidRPr="00A414C4">
              <w:rPr>
                <w:rFonts w:ascii="Arial" w:hAnsi="Arial" w:cs="Arial"/>
                <w:b/>
                <w:bCs/>
                <w:sz w:val="20"/>
                <w:u w:val="single"/>
              </w:rPr>
              <w:t>.</w:t>
            </w:r>
            <w:r w:rsidRPr="00A414C4">
              <w:rPr>
                <w:rFonts w:ascii="Arial" w:hAnsi="Arial" w:cs="Arial"/>
                <w:sz w:val="20"/>
              </w:rPr>
              <w:t xml:space="preserve">  Issues must be fixed prior </w:t>
            </w:r>
            <w:r>
              <w:rPr>
                <w:rFonts w:ascii="Arial" w:hAnsi="Arial" w:cs="Arial"/>
                <w:sz w:val="20"/>
              </w:rPr>
              <w:t>to productions</w:t>
            </w:r>
            <w:r w:rsidRPr="00A414C4">
              <w:rPr>
                <w:rFonts w:ascii="Arial" w:hAnsi="Arial" w:cs="Arial"/>
                <w:sz w:val="20"/>
              </w:rPr>
              <w:t xml:space="preserve">.  </w:t>
            </w:r>
            <w:r>
              <w:rPr>
                <w:rFonts w:ascii="Arial" w:hAnsi="Arial" w:cs="Arial"/>
                <w:sz w:val="20"/>
              </w:rPr>
              <w:t>I</w:t>
            </w:r>
            <w:r w:rsidRPr="00A414C4">
              <w:rPr>
                <w:rFonts w:ascii="Arial" w:hAnsi="Arial" w:cs="Arial"/>
                <w:sz w:val="20"/>
              </w:rPr>
              <w:t>ssues in this category pose a high risk to hosting servers due to stability or performance problems.  Items may include flawed architecture, missing fundamental best practices, inability of the application to handle the expected load, not adhering to PCI standards.</w:t>
            </w:r>
          </w:p>
        </w:tc>
      </w:tr>
      <w:tr w:rsidR="00ED2738" w:rsidRPr="00A414C4" w:rsidTr="00322D83">
        <w:tc>
          <w:tcPr>
            <w:tcW w:w="772" w:type="dxa"/>
            <w:shd w:val="clear" w:color="auto" w:fill="FF9900"/>
          </w:tcPr>
          <w:p w:rsidR="00ED2738" w:rsidRPr="00A414C4" w:rsidRDefault="00ED2738" w:rsidP="00322D83">
            <w:pPr>
              <w:pStyle w:val="Bullet"/>
              <w:numPr>
                <w:ilvl w:val="0"/>
                <w:numId w:val="0"/>
              </w:numPr>
              <w:rPr>
                <w:rFonts w:ascii="Arial" w:hAnsi="Arial" w:cs="Arial"/>
                <w:b/>
                <w:bCs/>
                <w:color w:val="FFFFFF"/>
                <w:sz w:val="20"/>
              </w:rPr>
            </w:pPr>
            <w:r w:rsidRPr="00A414C4">
              <w:rPr>
                <w:rFonts w:ascii="Arial" w:hAnsi="Arial" w:cs="Arial"/>
                <w:b/>
                <w:bCs/>
                <w:color w:val="FFFFFF"/>
                <w:sz w:val="20"/>
              </w:rPr>
              <w:t>S2</w:t>
            </w:r>
          </w:p>
        </w:tc>
        <w:tc>
          <w:tcPr>
            <w:tcW w:w="8804" w:type="dxa"/>
          </w:tcPr>
          <w:p w:rsidR="00ED2738" w:rsidRDefault="00ED2738" w:rsidP="00CD58D0">
            <w:pPr>
              <w:autoSpaceDE w:val="0"/>
              <w:autoSpaceDN w:val="0"/>
              <w:adjustRightInd w:val="0"/>
            </w:pPr>
            <w:r w:rsidRPr="00A414C4">
              <w:rPr>
                <w:b/>
                <w:bCs/>
                <w:u w:val="single"/>
              </w:rPr>
              <w:t>High.</w:t>
            </w:r>
            <w:r>
              <w:t xml:space="preserve">  The solution </w:t>
            </w:r>
            <w:r w:rsidRPr="00A414C4">
              <w:rPr>
                <w:b/>
                <w:bCs/>
                <w:u w:val="single"/>
              </w:rPr>
              <w:t>might</w:t>
            </w:r>
            <w:r>
              <w:t xml:space="preserve"> be able to proceed to production under exception rules, but fixing these issues prior is highly recommended.  Problems pose moderate risk to the application and hosting servers.  Without remediation, the application is likely to experience periodic performance and stability issues, difficulty with maintenance and very high support costs. </w:t>
            </w:r>
          </w:p>
        </w:tc>
      </w:tr>
      <w:tr w:rsidR="00ED2738" w:rsidRPr="00A414C4" w:rsidTr="00322D83">
        <w:tc>
          <w:tcPr>
            <w:tcW w:w="772" w:type="dxa"/>
            <w:shd w:val="clear" w:color="auto" w:fill="FFFF00"/>
          </w:tcPr>
          <w:p w:rsidR="00ED2738" w:rsidRPr="00A414C4" w:rsidRDefault="00ED2738" w:rsidP="00322D83">
            <w:pPr>
              <w:pStyle w:val="Bullet"/>
              <w:numPr>
                <w:ilvl w:val="0"/>
                <w:numId w:val="0"/>
              </w:numPr>
              <w:rPr>
                <w:rFonts w:ascii="Arial" w:hAnsi="Arial" w:cs="Arial"/>
                <w:b/>
                <w:bCs/>
                <w:sz w:val="20"/>
              </w:rPr>
            </w:pPr>
            <w:r w:rsidRPr="00A414C4">
              <w:rPr>
                <w:rFonts w:ascii="Arial" w:hAnsi="Arial" w:cs="Arial"/>
                <w:b/>
                <w:bCs/>
                <w:sz w:val="20"/>
              </w:rPr>
              <w:t>S3</w:t>
            </w:r>
          </w:p>
        </w:tc>
        <w:tc>
          <w:tcPr>
            <w:tcW w:w="8804" w:type="dxa"/>
          </w:tcPr>
          <w:p w:rsidR="00ED2738" w:rsidRPr="00A414C4" w:rsidRDefault="00ED2738" w:rsidP="00CD58D0">
            <w:pPr>
              <w:pStyle w:val="Bullet"/>
              <w:numPr>
                <w:ilvl w:val="0"/>
                <w:numId w:val="0"/>
              </w:numPr>
              <w:rPr>
                <w:rFonts w:ascii="Arial" w:hAnsi="Arial" w:cs="Arial"/>
                <w:sz w:val="20"/>
              </w:rPr>
            </w:pPr>
            <w:r>
              <w:rPr>
                <w:rFonts w:ascii="Arial" w:hAnsi="Arial" w:cs="Arial"/>
                <w:b/>
                <w:bCs/>
                <w:sz w:val="20"/>
                <w:u w:val="single"/>
              </w:rPr>
              <w:t>Medium</w:t>
            </w:r>
            <w:r w:rsidRPr="00A414C4">
              <w:rPr>
                <w:rFonts w:ascii="Arial" w:hAnsi="Arial" w:cs="Arial"/>
                <w:b/>
                <w:bCs/>
                <w:sz w:val="20"/>
                <w:u w:val="single"/>
              </w:rPr>
              <w:t>.</w:t>
            </w:r>
            <w:r w:rsidRPr="00A414C4">
              <w:rPr>
                <w:rFonts w:ascii="Arial" w:hAnsi="Arial" w:cs="Arial"/>
                <w:sz w:val="20"/>
              </w:rPr>
              <w:t xml:space="preserve">  </w:t>
            </w:r>
            <w:r>
              <w:rPr>
                <w:rFonts w:ascii="Arial" w:hAnsi="Arial" w:cs="Arial"/>
                <w:sz w:val="20"/>
              </w:rPr>
              <w:t>Solution</w:t>
            </w:r>
            <w:r w:rsidRPr="00A414C4">
              <w:rPr>
                <w:rFonts w:ascii="Arial" w:hAnsi="Arial" w:cs="Arial"/>
                <w:sz w:val="20"/>
              </w:rPr>
              <w:t xml:space="preserve"> may </w:t>
            </w:r>
            <w:r>
              <w:rPr>
                <w:rFonts w:ascii="Arial" w:hAnsi="Arial" w:cs="Arial"/>
                <w:sz w:val="20"/>
              </w:rPr>
              <w:t>proceed to production</w:t>
            </w:r>
            <w:r w:rsidRPr="00A414C4">
              <w:rPr>
                <w:rFonts w:ascii="Arial" w:hAnsi="Arial" w:cs="Arial"/>
                <w:sz w:val="20"/>
              </w:rPr>
              <w:t xml:space="preserve">.  It is recommended that issues be addressed </w:t>
            </w:r>
            <w:r>
              <w:rPr>
                <w:rFonts w:ascii="Arial" w:hAnsi="Arial" w:cs="Arial"/>
                <w:sz w:val="20"/>
              </w:rPr>
              <w:t>during the development cycle</w:t>
            </w:r>
            <w:r w:rsidRPr="00A414C4">
              <w:rPr>
                <w:rFonts w:ascii="Arial" w:hAnsi="Arial" w:cs="Arial"/>
                <w:sz w:val="20"/>
              </w:rPr>
              <w:t xml:space="preserve">.  Risk to </w:t>
            </w:r>
            <w:r>
              <w:rPr>
                <w:rFonts w:ascii="Arial" w:hAnsi="Arial" w:cs="Arial"/>
                <w:sz w:val="20"/>
              </w:rPr>
              <w:t>solution</w:t>
            </w:r>
            <w:r w:rsidRPr="00A414C4">
              <w:rPr>
                <w:rFonts w:ascii="Arial" w:hAnsi="Arial" w:cs="Arial"/>
                <w:sz w:val="20"/>
              </w:rPr>
              <w:t xml:space="preserve"> is moderate; risk to hosting servers is low.  Items in this category violate lower level best practices or guidelines related to optimization or maintainability.  Without remediation, the </w:t>
            </w:r>
            <w:r>
              <w:rPr>
                <w:rFonts w:ascii="Arial" w:hAnsi="Arial" w:cs="Arial"/>
                <w:sz w:val="20"/>
              </w:rPr>
              <w:t>solution</w:t>
            </w:r>
            <w:r w:rsidRPr="00A414C4">
              <w:rPr>
                <w:rFonts w:ascii="Arial" w:hAnsi="Arial" w:cs="Arial"/>
                <w:sz w:val="20"/>
              </w:rPr>
              <w:t xml:space="preserve"> may suffer from performance issues and higher than normal support costs.</w:t>
            </w:r>
          </w:p>
        </w:tc>
      </w:tr>
      <w:tr w:rsidR="00ED2738" w:rsidRPr="00A414C4" w:rsidTr="00322D83">
        <w:tc>
          <w:tcPr>
            <w:tcW w:w="772" w:type="dxa"/>
            <w:shd w:val="clear" w:color="auto" w:fill="008000"/>
          </w:tcPr>
          <w:p w:rsidR="00ED2738" w:rsidRPr="00A414C4" w:rsidRDefault="00ED2738" w:rsidP="00322D83">
            <w:pPr>
              <w:pStyle w:val="Bullet"/>
              <w:numPr>
                <w:ilvl w:val="0"/>
                <w:numId w:val="0"/>
              </w:numPr>
              <w:rPr>
                <w:rFonts w:ascii="Arial" w:hAnsi="Arial" w:cs="Arial"/>
                <w:b/>
                <w:bCs/>
                <w:color w:val="FFFFFF"/>
                <w:sz w:val="20"/>
              </w:rPr>
            </w:pPr>
            <w:r w:rsidRPr="00A414C4">
              <w:rPr>
                <w:rFonts w:ascii="Arial" w:hAnsi="Arial" w:cs="Arial"/>
                <w:b/>
                <w:bCs/>
                <w:color w:val="FFFFFF"/>
                <w:sz w:val="20"/>
              </w:rPr>
              <w:t>N/I</w:t>
            </w:r>
          </w:p>
        </w:tc>
        <w:tc>
          <w:tcPr>
            <w:tcW w:w="8804" w:type="dxa"/>
          </w:tcPr>
          <w:p w:rsidR="00ED2738" w:rsidRPr="00A414C4" w:rsidRDefault="00ED2738" w:rsidP="00322D83">
            <w:pPr>
              <w:pStyle w:val="Bullet"/>
              <w:numPr>
                <w:ilvl w:val="0"/>
                <w:numId w:val="0"/>
              </w:numPr>
              <w:rPr>
                <w:rFonts w:ascii="Arial" w:hAnsi="Arial" w:cs="Arial"/>
                <w:bCs/>
                <w:sz w:val="20"/>
              </w:rPr>
            </w:pPr>
            <w:r w:rsidRPr="00A414C4">
              <w:rPr>
                <w:rFonts w:ascii="Arial" w:hAnsi="Arial" w:cs="Arial"/>
                <w:b/>
                <w:bCs/>
                <w:sz w:val="20"/>
                <w:u w:val="single"/>
              </w:rPr>
              <w:t>No Issues Found.</w:t>
            </w:r>
            <w:r w:rsidRPr="00A414C4">
              <w:rPr>
                <w:rFonts w:ascii="Arial" w:hAnsi="Arial" w:cs="Arial"/>
                <w:bCs/>
                <w:sz w:val="20"/>
              </w:rPr>
              <w:t xml:space="preserve">  </w:t>
            </w:r>
          </w:p>
          <w:p w:rsidR="00ED2738" w:rsidRPr="00A414C4" w:rsidRDefault="00ED2738" w:rsidP="00322D83">
            <w:pPr>
              <w:pStyle w:val="Bullet"/>
              <w:numPr>
                <w:ilvl w:val="0"/>
                <w:numId w:val="0"/>
              </w:numPr>
              <w:rPr>
                <w:rFonts w:ascii="Arial" w:hAnsi="Arial" w:cs="Arial"/>
                <w:bCs/>
                <w:sz w:val="20"/>
              </w:rPr>
            </w:pPr>
          </w:p>
        </w:tc>
      </w:tr>
      <w:tr w:rsidR="00ED2738" w:rsidRPr="00A414C4" w:rsidTr="00322D83">
        <w:tc>
          <w:tcPr>
            <w:tcW w:w="772" w:type="dxa"/>
            <w:shd w:val="clear" w:color="auto" w:fill="A6A6A6"/>
          </w:tcPr>
          <w:p w:rsidR="00ED2738" w:rsidRPr="00A414C4" w:rsidRDefault="00ED2738" w:rsidP="00322D83">
            <w:pPr>
              <w:pStyle w:val="Bullet"/>
              <w:numPr>
                <w:ilvl w:val="0"/>
                <w:numId w:val="0"/>
              </w:numPr>
              <w:rPr>
                <w:rFonts w:ascii="Arial" w:hAnsi="Arial" w:cs="Arial"/>
                <w:b/>
                <w:bCs/>
                <w:sz w:val="20"/>
              </w:rPr>
            </w:pPr>
            <w:r w:rsidRPr="00A414C4">
              <w:rPr>
                <w:rFonts w:ascii="Arial" w:hAnsi="Arial" w:cs="Arial"/>
                <w:b/>
                <w:bCs/>
                <w:sz w:val="20"/>
              </w:rPr>
              <w:t>N/A</w:t>
            </w:r>
          </w:p>
        </w:tc>
        <w:tc>
          <w:tcPr>
            <w:tcW w:w="8804" w:type="dxa"/>
          </w:tcPr>
          <w:p w:rsidR="00ED2738" w:rsidRPr="00A414C4" w:rsidRDefault="00ED2738" w:rsidP="00322D83">
            <w:pPr>
              <w:pStyle w:val="Bullet"/>
              <w:numPr>
                <w:ilvl w:val="0"/>
                <w:numId w:val="0"/>
              </w:numPr>
              <w:rPr>
                <w:rFonts w:ascii="Arial" w:hAnsi="Arial" w:cs="Arial"/>
                <w:bCs/>
                <w:sz w:val="20"/>
              </w:rPr>
            </w:pPr>
            <w:r w:rsidRPr="00A414C4">
              <w:rPr>
                <w:rFonts w:ascii="Arial" w:hAnsi="Arial" w:cs="Arial"/>
                <w:b/>
                <w:bCs/>
                <w:sz w:val="20"/>
                <w:u w:val="single"/>
              </w:rPr>
              <w:t>Not Applicable.</w:t>
            </w:r>
            <w:r w:rsidRPr="00A414C4">
              <w:rPr>
                <w:rFonts w:ascii="Arial" w:hAnsi="Arial" w:cs="Arial"/>
                <w:bCs/>
                <w:sz w:val="20"/>
              </w:rPr>
              <w:t xml:space="preserve">  No action required.</w:t>
            </w:r>
          </w:p>
          <w:p w:rsidR="00ED2738" w:rsidRPr="00A414C4" w:rsidRDefault="00ED2738" w:rsidP="00322D83">
            <w:pPr>
              <w:pStyle w:val="Bullet"/>
              <w:numPr>
                <w:ilvl w:val="0"/>
                <w:numId w:val="0"/>
              </w:numPr>
              <w:rPr>
                <w:rFonts w:ascii="Arial" w:hAnsi="Arial" w:cs="Arial"/>
                <w:bCs/>
                <w:sz w:val="20"/>
              </w:rPr>
            </w:pPr>
          </w:p>
        </w:tc>
      </w:tr>
    </w:tbl>
    <w:p w:rsidR="00ED2738" w:rsidRDefault="00ED2738" w:rsidP="00A31081">
      <w:pPr>
        <w:pStyle w:val="Heading1"/>
      </w:pPr>
      <w:r>
        <w:t>References</w:t>
      </w:r>
    </w:p>
    <w:p w:rsidR="00ED2738" w:rsidRDefault="00ED2738" w:rsidP="00CA5254">
      <w:pPr>
        <w:ind w:left="432"/>
      </w:pPr>
    </w:p>
    <w:p w:rsidR="00ED2738" w:rsidRPr="004F4CAD" w:rsidRDefault="00ED2738" w:rsidP="00CA5254">
      <w:pPr>
        <w:ind w:left="432"/>
      </w:pPr>
      <w:hyperlink r:id="rId7" w:history="1">
        <w:r w:rsidRPr="00942275">
          <w:rPr>
            <w:rStyle w:val="Hyperlink"/>
            <w:rFonts w:cs="Arial"/>
          </w:rPr>
          <w:t>OWASP</w:t>
        </w:r>
      </w:hyperlink>
      <w:r>
        <w:t xml:space="preserve"> - </w:t>
      </w:r>
      <w:r w:rsidRPr="00942275">
        <w:t>The Open Web Application Security Project (OWASP) is a worldwide free and open community focused on improving the security of application software.</w:t>
      </w:r>
      <w:r>
        <w:t xml:space="preserve">  Also, here’s a link to a good document on </w:t>
      </w:r>
      <w:hyperlink r:id="rId8" w:history="1">
        <w:r w:rsidRPr="0001161F">
          <w:rPr>
            <w:rStyle w:val="Hyperlink"/>
            <w:rFonts w:cs="Arial"/>
          </w:rPr>
          <w:t>Top 10 Rules for Secure Coding</w:t>
        </w:r>
      </w:hyperlink>
      <w:r>
        <w:t>.</w:t>
      </w:r>
    </w:p>
    <w:p w:rsidR="00ED2738" w:rsidRDefault="00ED2738" w:rsidP="00970E76">
      <w:pPr>
        <w:pStyle w:val="Heading1"/>
      </w:pPr>
      <w:bookmarkStart w:id="0" w:name="_Ref100655756"/>
      <w:r>
        <w:t>Modified Source Listing</w:t>
      </w:r>
    </w:p>
    <w:p w:rsidR="00ED2738" w:rsidRPr="00970E76" w:rsidRDefault="00ED2738" w:rsidP="0005260F">
      <w:pPr>
        <w:ind w:firstLine="432"/>
      </w:pPr>
      <w:r>
        <w:t xml:space="preserve">List the change sets or source files that were modified in this section. </w:t>
      </w:r>
    </w:p>
    <w:p w:rsidR="00ED2738" w:rsidRDefault="00ED2738" w:rsidP="002A2574">
      <w:pPr>
        <w:pStyle w:val="Heading1"/>
      </w:pPr>
      <w:r>
        <w:t>.NET General</w:t>
      </w:r>
      <w:bookmarkEnd w:id="0"/>
    </w:p>
    <w:p w:rsidR="00ED2738" w:rsidRDefault="00ED2738" w:rsidP="0002121B">
      <w:r>
        <w:t>Insert the appropriate severity level in the level cell.  Add comments to explain the nature of the issue.</w:t>
      </w:r>
    </w:p>
    <w:p w:rsidR="00ED2738" w:rsidRPr="0002121B" w:rsidRDefault="00ED2738" w:rsidP="000212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
        <w:gridCol w:w="785"/>
        <w:gridCol w:w="4667"/>
        <w:gridCol w:w="3369"/>
      </w:tblGrid>
      <w:tr w:rsidR="00ED2738" w:rsidRPr="002B7E42" w:rsidTr="00166C00">
        <w:trPr>
          <w:cantSplit/>
          <w:tblHeader/>
        </w:trPr>
        <w:tc>
          <w:tcPr>
            <w:tcW w:w="394" w:type="pct"/>
            <w:shd w:val="clear" w:color="auto" w:fill="000000"/>
            <w:vAlign w:val="center"/>
          </w:tcPr>
          <w:p w:rsidR="00ED2738" w:rsidRPr="002B7E42" w:rsidRDefault="00ED2738" w:rsidP="002706BC">
            <w:pPr>
              <w:spacing w:before="60" w:after="60"/>
              <w:ind w:left="360"/>
              <w:rPr>
                <w:b/>
              </w:rPr>
            </w:pPr>
            <w:r w:rsidRPr="002B7E42">
              <w:rPr>
                <w:b/>
              </w:rPr>
              <w:t>Id</w:t>
            </w:r>
          </w:p>
        </w:tc>
        <w:tc>
          <w:tcPr>
            <w:tcW w:w="410" w:type="pct"/>
            <w:shd w:val="clear" w:color="auto" w:fill="000000"/>
          </w:tcPr>
          <w:p w:rsidR="00ED2738" w:rsidRPr="002B7E42" w:rsidRDefault="00ED2738" w:rsidP="002706BC">
            <w:pPr>
              <w:pStyle w:val="Header"/>
              <w:numPr>
                <w:ilvl w:val="12"/>
                <w:numId w:val="0"/>
              </w:numPr>
              <w:tabs>
                <w:tab w:val="clear" w:pos="4320"/>
                <w:tab w:val="clear" w:pos="8640"/>
              </w:tabs>
              <w:spacing w:before="60" w:after="60"/>
              <w:rPr>
                <w:b/>
              </w:rPr>
            </w:pPr>
            <w:r>
              <w:rPr>
                <w:b/>
              </w:rPr>
              <w:t>Level</w:t>
            </w:r>
          </w:p>
        </w:tc>
        <w:tc>
          <w:tcPr>
            <w:tcW w:w="2437" w:type="pct"/>
            <w:shd w:val="clear" w:color="auto" w:fill="000000"/>
            <w:vAlign w:val="center"/>
          </w:tcPr>
          <w:p w:rsidR="00ED2738" w:rsidRPr="002B7E42" w:rsidRDefault="00ED2738" w:rsidP="002706BC">
            <w:pPr>
              <w:pStyle w:val="Header"/>
              <w:numPr>
                <w:ilvl w:val="12"/>
                <w:numId w:val="0"/>
              </w:numPr>
              <w:tabs>
                <w:tab w:val="clear" w:pos="4320"/>
                <w:tab w:val="clear" w:pos="8640"/>
              </w:tabs>
              <w:spacing w:before="60" w:after="60"/>
              <w:rPr>
                <w:b/>
              </w:rPr>
            </w:pPr>
            <w:r w:rsidRPr="002B7E42">
              <w:rPr>
                <w:b/>
              </w:rPr>
              <w:t>Review Item</w:t>
            </w:r>
          </w:p>
        </w:tc>
        <w:tc>
          <w:tcPr>
            <w:tcW w:w="1759" w:type="pct"/>
            <w:shd w:val="clear" w:color="auto" w:fill="000000"/>
            <w:vAlign w:val="center"/>
          </w:tcPr>
          <w:p w:rsidR="00ED2738" w:rsidRPr="002B7E42" w:rsidRDefault="00ED2738" w:rsidP="002706BC">
            <w:pPr>
              <w:rPr>
                <w:b/>
              </w:rPr>
            </w:pPr>
            <w:r w:rsidRPr="002B7E42">
              <w:rPr>
                <w:b/>
              </w:rPr>
              <w:t>Comments</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4D1B84">
            <w:pPr>
              <w:pStyle w:val="Header"/>
              <w:numPr>
                <w:ilvl w:val="12"/>
                <w:numId w:val="0"/>
              </w:numPr>
              <w:tabs>
                <w:tab w:val="clear" w:pos="4320"/>
                <w:tab w:val="clear" w:pos="8640"/>
              </w:tabs>
              <w:spacing w:before="60" w:after="60"/>
              <w:rPr>
                <w:b/>
                <w:color w:val="FFFFFF"/>
              </w:rPr>
            </w:pPr>
            <w:r>
              <w:rPr>
                <w:b/>
                <w:color w:val="FFFFFF"/>
              </w:rPr>
              <w:t>N/I</w:t>
            </w:r>
          </w:p>
        </w:tc>
        <w:tc>
          <w:tcPr>
            <w:tcW w:w="2437" w:type="pct"/>
          </w:tcPr>
          <w:p w:rsidR="00ED2738" w:rsidRPr="002B7E42" w:rsidRDefault="00ED2738" w:rsidP="00713790">
            <w:pPr>
              <w:pStyle w:val="Header"/>
              <w:numPr>
                <w:ilvl w:val="12"/>
                <w:numId w:val="0"/>
              </w:numPr>
              <w:tabs>
                <w:tab w:val="clear" w:pos="4320"/>
                <w:tab w:val="clear" w:pos="8640"/>
              </w:tabs>
              <w:spacing w:before="60" w:after="60"/>
            </w:pPr>
            <w:r>
              <w:t>Application</w:t>
            </w:r>
            <w:r w:rsidRPr="002B7E42">
              <w:t xml:space="preserve"> </w:t>
            </w:r>
            <w:r>
              <w:t xml:space="preserve">should </w:t>
            </w:r>
            <w:r w:rsidRPr="002B7E42">
              <w:t xml:space="preserve">adhere to the </w:t>
            </w:r>
            <w:r>
              <w:t xml:space="preserve">project’s </w:t>
            </w:r>
            <w:r w:rsidRPr="002B7E42">
              <w:t>architecture and design specification</w:t>
            </w:r>
            <w:r>
              <w:t>s.</w:t>
            </w:r>
          </w:p>
        </w:tc>
        <w:tc>
          <w:tcPr>
            <w:tcW w:w="1759" w:type="pct"/>
          </w:tcPr>
          <w:p w:rsidR="00ED2738" w:rsidRPr="000C4E01" w:rsidRDefault="00ED2738" w:rsidP="00713790">
            <w:r>
              <w:t>Yes. Verified.</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4D1B84">
            <w:pPr>
              <w:pStyle w:val="Header"/>
              <w:numPr>
                <w:ilvl w:val="12"/>
                <w:numId w:val="0"/>
              </w:numPr>
              <w:tabs>
                <w:tab w:val="clear" w:pos="4320"/>
                <w:tab w:val="clear" w:pos="8640"/>
              </w:tabs>
              <w:spacing w:before="60" w:after="60"/>
              <w:rPr>
                <w:b/>
                <w:color w:val="FFFFFF"/>
              </w:rPr>
            </w:pPr>
            <w:r w:rsidRPr="00A52917">
              <w:rPr>
                <w:b/>
                <w:color w:val="FFFFFF"/>
              </w:rPr>
              <w:t>N/I</w:t>
            </w:r>
          </w:p>
        </w:tc>
        <w:tc>
          <w:tcPr>
            <w:tcW w:w="2437" w:type="pct"/>
          </w:tcPr>
          <w:p w:rsidR="00ED2738" w:rsidRPr="003D10E8" w:rsidRDefault="00ED2738" w:rsidP="00DE2613">
            <w:r>
              <w:t xml:space="preserve">Application should adhere to </w:t>
            </w:r>
            <w:hyperlink r:id="rId9" w:history="1">
              <w:r w:rsidRPr="00DE2613">
                <w:rPr>
                  <w:rStyle w:val="Hyperlink"/>
                  <w:rFonts w:cs="Arial"/>
                </w:rPr>
                <w:t>Microsoft’s Design Guidelines</w:t>
              </w:r>
            </w:hyperlink>
            <w:r>
              <w:t>.</w:t>
            </w:r>
          </w:p>
        </w:tc>
        <w:tc>
          <w:tcPr>
            <w:tcW w:w="1759" w:type="pct"/>
          </w:tcPr>
          <w:p w:rsidR="00ED2738" w:rsidRPr="000C4E01" w:rsidRDefault="00ED2738" w:rsidP="00713790">
            <w:r>
              <w:t>Yes. Verified.</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713790">
            <w:pPr>
              <w:pStyle w:val="Header"/>
              <w:numPr>
                <w:ilvl w:val="12"/>
                <w:numId w:val="0"/>
              </w:numPr>
              <w:tabs>
                <w:tab w:val="clear" w:pos="4320"/>
                <w:tab w:val="clear" w:pos="8640"/>
              </w:tabs>
              <w:spacing w:before="60" w:after="60"/>
              <w:rPr>
                <w:b/>
              </w:rPr>
            </w:pPr>
            <w:r w:rsidRPr="00A52917">
              <w:rPr>
                <w:b/>
                <w:color w:val="FFFFFF"/>
              </w:rPr>
              <w:t>N/I</w:t>
            </w:r>
          </w:p>
        </w:tc>
        <w:tc>
          <w:tcPr>
            <w:tcW w:w="2437" w:type="pct"/>
          </w:tcPr>
          <w:p w:rsidR="00ED2738" w:rsidRPr="00AE2E21" w:rsidRDefault="00ED2738" w:rsidP="00322D83">
            <w:pPr>
              <w:pStyle w:val="Header"/>
              <w:numPr>
                <w:ilvl w:val="12"/>
                <w:numId w:val="0"/>
              </w:numPr>
              <w:tabs>
                <w:tab w:val="clear" w:pos="4320"/>
                <w:tab w:val="clear" w:pos="8640"/>
              </w:tabs>
              <w:spacing w:before="60" w:after="60"/>
            </w:pPr>
            <w:r>
              <w:t>A unit test should be available for every public method.</w:t>
            </w:r>
          </w:p>
        </w:tc>
        <w:tc>
          <w:tcPr>
            <w:tcW w:w="1759" w:type="pct"/>
          </w:tcPr>
          <w:p w:rsidR="00ED2738" w:rsidRPr="000C4E01" w:rsidRDefault="00ED2738" w:rsidP="00713790">
            <w:r>
              <w:t>Yes. Unit tests are created</w:t>
            </w:r>
          </w:p>
        </w:tc>
      </w:tr>
      <w:tr w:rsidR="00ED2738" w:rsidRPr="002B7E42" w:rsidTr="00A52917">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A52917" w:rsidRDefault="00ED2738" w:rsidP="00441440">
            <w:pPr>
              <w:rPr>
                <w:b/>
                <w:color w:val="FFFFFF"/>
              </w:rPr>
            </w:pPr>
            <w:r w:rsidRPr="00A52917">
              <w:rPr>
                <w:b/>
                <w:color w:val="FFFFFF"/>
              </w:rPr>
              <w:t>N/I</w:t>
            </w:r>
          </w:p>
        </w:tc>
        <w:tc>
          <w:tcPr>
            <w:tcW w:w="2437" w:type="pct"/>
          </w:tcPr>
          <w:p w:rsidR="00ED2738" w:rsidRPr="00AE2E21" w:rsidRDefault="00ED2738" w:rsidP="00713790">
            <w:pPr>
              <w:pStyle w:val="Header"/>
              <w:numPr>
                <w:ilvl w:val="12"/>
                <w:numId w:val="0"/>
              </w:numPr>
              <w:tabs>
                <w:tab w:val="clear" w:pos="4320"/>
                <w:tab w:val="clear" w:pos="8640"/>
              </w:tabs>
              <w:spacing w:before="60" w:after="60"/>
            </w:pPr>
            <w:r w:rsidRPr="00AE2E21">
              <w:t>Are there instances of duplicated code?  “Copy and Paste”. Duplicated code should be re-factored into a new method or class.</w:t>
            </w:r>
          </w:p>
        </w:tc>
        <w:tc>
          <w:tcPr>
            <w:tcW w:w="1759" w:type="pct"/>
          </w:tcPr>
          <w:p w:rsidR="00ED2738" w:rsidRPr="000C4E01" w:rsidRDefault="00ED2738" w:rsidP="00713790">
            <w:r>
              <w:t>No duplicated code is present.</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441440">
            <w:pPr>
              <w:rPr>
                <w:b/>
                <w:color w:val="FFFFFF"/>
              </w:rPr>
            </w:pPr>
            <w:r>
              <w:rPr>
                <w:b/>
                <w:color w:val="FFFFFF"/>
              </w:rPr>
              <w:t>N/I</w:t>
            </w:r>
          </w:p>
        </w:tc>
        <w:tc>
          <w:tcPr>
            <w:tcW w:w="2437" w:type="pct"/>
          </w:tcPr>
          <w:p w:rsidR="00ED2738" w:rsidRPr="00755CB3" w:rsidRDefault="00ED2738" w:rsidP="00755CB3">
            <w:pPr>
              <w:overflowPunct w:val="0"/>
              <w:autoSpaceDE w:val="0"/>
              <w:autoSpaceDN w:val="0"/>
              <w:adjustRightInd w:val="0"/>
              <w:textAlignment w:val="baseline"/>
            </w:pPr>
            <w:r w:rsidRPr="00755CB3">
              <w:t xml:space="preserve">Search source files for use of the </w:t>
            </w:r>
            <w:r>
              <w:t>“</w:t>
            </w:r>
            <w:r w:rsidRPr="00755CB3">
              <w:t>new</w:t>
            </w:r>
            <w:r>
              <w:t>”</w:t>
            </w:r>
            <w:r w:rsidRPr="00755CB3">
              <w:t xml:space="preserve"> keyword.  Review to make sure these items are being disposed when finished. </w:t>
            </w:r>
          </w:p>
        </w:tc>
        <w:tc>
          <w:tcPr>
            <w:tcW w:w="1759" w:type="pct"/>
          </w:tcPr>
          <w:p w:rsidR="00ED2738" w:rsidRPr="000C4E01" w:rsidRDefault="00ED2738" w:rsidP="00713790">
            <w:r>
              <w:t>Yes. Verified.</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37344F">
              <w:rPr>
                <w:b/>
                <w:color w:val="FFFFFF"/>
              </w:rPr>
              <w:t>N/I</w:t>
            </w:r>
          </w:p>
        </w:tc>
        <w:tc>
          <w:tcPr>
            <w:tcW w:w="2437" w:type="pct"/>
          </w:tcPr>
          <w:p w:rsidR="00ED2738" w:rsidRPr="00755CB3" w:rsidRDefault="00ED2738" w:rsidP="00755CB3">
            <w:pPr>
              <w:overflowPunct w:val="0"/>
              <w:autoSpaceDE w:val="0"/>
              <w:autoSpaceDN w:val="0"/>
              <w:adjustRightInd w:val="0"/>
              <w:textAlignment w:val="baseline"/>
            </w:pPr>
            <w:r>
              <w:t xml:space="preserve">Search source files for hard coded strings.   Review to insure these are appropriate (no connection strings, etc). </w:t>
            </w:r>
          </w:p>
        </w:tc>
        <w:tc>
          <w:tcPr>
            <w:tcW w:w="1759" w:type="pct"/>
          </w:tcPr>
          <w:p w:rsidR="00ED2738" w:rsidRPr="00146771" w:rsidRDefault="00ED2738" w:rsidP="00713790">
            <w:pPr>
              <w:rPr>
                <w:rFonts w:ascii="Courier New" w:hAnsi="Courier New" w:cs="Courier New"/>
                <w:noProof/>
                <w:sz w:val="22"/>
                <w:szCs w:val="22"/>
              </w:rPr>
            </w:pPr>
            <w:r>
              <w:t>Yes. Verified. Connection String is present in Config file only.</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37344F">
              <w:rPr>
                <w:b/>
                <w:color w:val="FFFFFF"/>
              </w:rPr>
              <w:t>N/I</w:t>
            </w:r>
          </w:p>
        </w:tc>
        <w:tc>
          <w:tcPr>
            <w:tcW w:w="2437" w:type="pct"/>
          </w:tcPr>
          <w:p w:rsidR="00ED2738" w:rsidRPr="002F55CA" w:rsidRDefault="00ED2738" w:rsidP="00CE28D9">
            <w:pPr>
              <w:overflowPunct w:val="0"/>
              <w:autoSpaceDE w:val="0"/>
              <w:autoSpaceDN w:val="0"/>
              <w:adjustRightInd w:val="0"/>
              <w:textAlignment w:val="baseline"/>
            </w:pPr>
            <w:r>
              <w:t xml:space="preserve">Manual inspection for proper error handling.  Refer to </w:t>
            </w:r>
            <w:hyperlink r:id="rId10" w:history="1">
              <w:r w:rsidRPr="00DE2613">
                <w:rPr>
                  <w:rStyle w:val="Hyperlink"/>
                  <w:rFonts w:cs="Arial"/>
                </w:rPr>
                <w:t>Microsoft’s Exception Handling Guidelines</w:t>
              </w:r>
            </w:hyperlink>
            <w:r>
              <w:t>.</w:t>
            </w:r>
          </w:p>
        </w:tc>
        <w:tc>
          <w:tcPr>
            <w:tcW w:w="1759" w:type="pct"/>
          </w:tcPr>
          <w:p w:rsidR="00ED2738" w:rsidRPr="000C4E01" w:rsidRDefault="00ED2738" w:rsidP="00713790">
            <w:r>
              <w:t>Yes. Used HandleException of Vault instead of just throw</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441440">
            <w:pPr>
              <w:rPr>
                <w:b/>
                <w:color w:val="FFFFFF"/>
              </w:rPr>
            </w:pPr>
            <w:r w:rsidRPr="00B15ACE">
              <w:rPr>
                <w:b/>
                <w:bCs/>
                <w:color w:val="FFFFFF"/>
              </w:rPr>
              <w:t>N/I</w:t>
            </w:r>
          </w:p>
        </w:tc>
        <w:tc>
          <w:tcPr>
            <w:tcW w:w="2437" w:type="pct"/>
          </w:tcPr>
          <w:p w:rsidR="00ED2738" w:rsidRPr="009D6AEB" w:rsidRDefault="00ED2738" w:rsidP="008319C3">
            <w:pPr>
              <w:overflowPunct w:val="0"/>
              <w:autoSpaceDE w:val="0"/>
              <w:autoSpaceDN w:val="0"/>
              <w:adjustRightInd w:val="0"/>
              <w:textAlignment w:val="baseline"/>
            </w:pPr>
            <w:r>
              <w:t>If application has strict performance constraints, the</w:t>
            </w:r>
            <w:r w:rsidRPr="00A33D4A">
              <w:t xml:space="preserve"> tips found at </w:t>
            </w:r>
            <w:hyperlink r:id="rId11" w:history="1">
              <w:r w:rsidRPr="00A33D4A">
                <w:rPr>
                  <w:rStyle w:val="Hyperlink"/>
                  <w:rFonts w:cs="Arial"/>
                  <w:color w:val="auto"/>
                </w:rPr>
                <w:t>.NET Performance Tips</w:t>
              </w:r>
            </w:hyperlink>
            <w:r>
              <w:rPr>
                <w:rStyle w:val="Hyperlink"/>
                <w:rFonts w:cs="Arial"/>
                <w:color w:val="auto"/>
                <w:u w:val="none"/>
              </w:rPr>
              <w:t xml:space="preserve"> have been utilized.</w:t>
            </w:r>
          </w:p>
        </w:tc>
        <w:tc>
          <w:tcPr>
            <w:tcW w:w="1759" w:type="pct"/>
          </w:tcPr>
          <w:p w:rsidR="00ED2738" w:rsidRPr="000C4E01" w:rsidRDefault="00ED2738" w:rsidP="00713790">
            <w:r>
              <w:t>Not applicable</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6F037A">
              <w:rPr>
                <w:b/>
                <w:color w:val="FFFFFF"/>
              </w:rPr>
              <w:t>N/I</w:t>
            </w:r>
          </w:p>
        </w:tc>
        <w:tc>
          <w:tcPr>
            <w:tcW w:w="2437" w:type="pct"/>
          </w:tcPr>
          <w:p w:rsidR="00ED2738" w:rsidRPr="00677CE6" w:rsidRDefault="00ED2738" w:rsidP="00755CB3">
            <w:pPr>
              <w:overflowPunct w:val="0"/>
              <w:autoSpaceDE w:val="0"/>
              <w:autoSpaceDN w:val="0"/>
              <w:adjustRightInd w:val="0"/>
              <w:textAlignment w:val="baseline"/>
            </w:pPr>
            <w:r w:rsidRPr="00677CE6">
              <w:t>Look for segregation of database dependencies from UI code</w:t>
            </w:r>
            <w:r>
              <w:t xml:space="preserve">.  Most often caused by binding a DataSet directly to a UI page – this can be OK for small applications, but prefer better isolation on large applications.   This really should be on the architecture review checklist, but it is easier to spot when you have the code.  </w:t>
            </w:r>
          </w:p>
        </w:tc>
        <w:tc>
          <w:tcPr>
            <w:tcW w:w="1759" w:type="pct"/>
          </w:tcPr>
          <w:p w:rsidR="00ED2738" w:rsidRPr="000C4E01" w:rsidRDefault="00ED2738" w:rsidP="00713790">
            <w:r>
              <w:t>Data sets are not used</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6F037A">
              <w:rPr>
                <w:b/>
                <w:color w:val="FFFFFF"/>
              </w:rPr>
              <w:t>N/I</w:t>
            </w:r>
          </w:p>
        </w:tc>
        <w:tc>
          <w:tcPr>
            <w:tcW w:w="2437" w:type="pct"/>
          </w:tcPr>
          <w:p w:rsidR="00ED2738" w:rsidRPr="00677CE6" w:rsidRDefault="00ED2738" w:rsidP="00465572">
            <w:pPr>
              <w:overflowPunct w:val="0"/>
              <w:autoSpaceDE w:val="0"/>
              <w:autoSpaceDN w:val="0"/>
              <w:adjustRightInd w:val="0"/>
              <w:textAlignment w:val="baseline"/>
            </w:pPr>
            <w:r>
              <w:t xml:space="preserve">Review implementation of any system interfaces (databases, web services, etc).  Verify proper authorization / authentication and error handling is in place.  </w:t>
            </w:r>
          </w:p>
        </w:tc>
        <w:tc>
          <w:tcPr>
            <w:tcW w:w="1759" w:type="pct"/>
          </w:tcPr>
          <w:p w:rsidR="00ED2738" w:rsidRPr="000C4E01" w:rsidRDefault="00ED2738" w:rsidP="00713790">
            <w:r>
              <w:t>Verified.</w:t>
            </w:r>
          </w:p>
        </w:tc>
      </w:tr>
      <w:tr w:rsidR="00ED2738" w:rsidRPr="002B7E42" w:rsidTr="00074646">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B15ACE" w:rsidRDefault="00ED2738" w:rsidP="00441440">
            <w:pPr>
              <w:rPr>
                <w:b/>
                <w:color w:val="FFFFFF"/>
              </w:rPr>
            </w:pPr>
            <w:r w:rsidRPr="00B15ACE">
              <w:rPr>
                <w:b/>
                <w:bCs/>
                <w:color w:val="FFFFFF"/>
              </w:rPr>
              <w:t>N/I</w:t>
            </w:r>
          </w:p>
        </w:tc>
        <w:tc>
          <w:tcPr>
            <w:tcW w:w="2437" w:type="pct"/>
          </w:tcPr>
          <w:p w:rsidR="00ED2738" w:rsidRDefault="00ED2738" w:rsidP="00755CB3">
            <w:pPr>
              <w:overflowPunct w:val="0"/>
              <w:autoSpaceDE w:val="0"/>
              <w:autoSpaceDN w:val="0"/>
              <w:adjustRightInd w:val="0"/>
              <w:textAlignment w:val="baseline"/>
            </w:pPr>
            <w:r>
              <w:t>Check for classes or methods that are never used in the application?  Dead code should be removed to increase the maintainability and supportability of the application.</w:t>
            </w:r>
          </w:p>
        </w:tc>
        <w:tc>
          <w:tcPr>
            <w:tcW w:w="1759" w:type="pct"/>
          </w:tcPr>
          <w:p w:rsidR="00ED2738" w:rsidRPr="000C4E01" w:rsidRDefault="00ED2738" w:rsidP="00713790">
            <w:r>
              <w:t>Removed unnecessary code</w:t>
            </w:r>
          </w:p>
        </w:tc>
      </w:tr>
    </w:tbl>
    <w:p w:rsidR="00ED2738" w:rsidRDefault="00ED2738" w:rsidP="00942275">
      <w:pPr>
        <w:pStyle w:val="Heading1"/>
      </w:pPr>
      <w:bookmarkStart w:id="1" w:name="_Ref100655860"/>
      <w:r>
        <w:t>Persistence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
        <w:gridCol w:w="785"/>
        <w:gridCol w:w="4688"/>
        <w:gridCol w:w="3348"/>
      </w:tblGrid>
      <w:tr w:rsidR="00ED2738" w:rsidRPr="002B7E42" w:rsidTr="007265A1">
        <w:trPr>
          <w:cantSplit/>
          <w:tblHeader/>
        </w:trPr>
        <w:tc>
          <w:tcPr>
            <w:tcW w:w="394" w:type="pct"/>
            <w:shd w:val="clear" w:color="auto" w:fill="000000"/>
            <w:vAlign w:val="center"/>
          </w:tcPr>
          <w:p w:rsidR="00ED2738" w:rsidRPr="002B7E42" w:rsidRDefault="00ED2738" w:rsidP="00662164">
            <w:pPr>
              <w:spacing w:before="60" w:after="60"/>
              <w:ind w:left="360"/>
              <w:rPr>
                <w:b/>
              </w:rPr>
            </w:pPr>
            <w:r w:rsidRPr="002B7E42">
              <w:rPr>
                <w:b/>
              </w:rPr>
              <w:t>Id</w:t>
            </w:r>
          </w:p>
        </w:tc>
        <w:tc>
          <w:tcPr>
            <w:tcW w:w="410" w:type="pct"/>
            <w:shd w:val="clear" w:color="auto" w:fill="000000"/>
            <w:vAlign w:val="center"/>
          </w:tcPr>
          <w:p w:rsidR="00ED2738" w:rsidRPr="002B7E42" w:rsidRDefault="00ED2738" w:rsidP="00662164">
            <w:pPr>
              <w:rPr>
                <w:b/>
              </w:rPr>
            </w:pPr>
            <w:r>
              <w:rPr>
                <w:b/>
              </w:rPr>
              <w:t>Level</w:t>
            </w:r>
          </w:p>
        </w:tc>
        <w:tc>
          <w:tcPr>
            <w:tcW w:w="2448" w:type="pct"/>
            <w:shd w:val="clear" w:color="auto" w:fill="000000"/>
            <w:vAlign w:val="center"/>
          </w:tcPr>
          <w:p w:rsidR="00ED2738" w:rsidRPr="002B7E42" w:rsidRDefault="00ED2738" w:rsidP="00662164">
            <w:pPr>
              <w:pStyle w:val="Header"/>
              <w:numPr>
                <w:ilvl w:val="12"/>
                <w:numId w:val="0"/>
              </w:numPr>
              <w:tabs>
                <w:tab w:val="clear" w:pos="4320"/>
                <w:tab w:val="clear" w:pos="8640"/>
              </w:tabs>
              <w:spacing w:before="60" w:after="60"/>
              <w:rPr>
                <w:b/>
              </w:rPr>
            </w:pPr>
            <w:r w:rsidRPr="002B7E42">
              <w:rPr>
                <w:b/>
              </w:rPr>
              <w:t>Review Item</w:t>
            </w:r>
          </w:p>
        </w:tc>
        <w:tc>
          <w:tcPr>
            <w:tcW w:w="1748" w:type="pct"/>
            <w:shd w:val="clear" w:color="auto" w:fill="000000"/>
            <w:vAlign w:val="center"/>
          </w:tcPr>
          <w:p w:rsidR="00ED2738" w:rsidRPr="002B7E42" w:rsidRDefault="00ED2738" w:rsidP="00662164">
            <w:pPr>
              <w:rPr>
                <w:b/>
              </w:rPr>
            </w:pPr>
            <w:r w:rsidRPr="002B7E42">
              <w:rPr>
                <w:b/>
              </w:rPr>
              <w:t>Comments</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Default="00ED2738" w:rsidP="00662164">
            <w:pPr>
              <w:rPr>
                <w:b/>
                <w:color w:val="FFFFFF"/>
              </w:rPr>
            </w:pPr>
            <w:r>
              <w:rPr>
                <w:b/>
                <w:color w:val="FFFFFF"/>
              </w:rPr>
              <w:t>N/I</w:t>
            </w:r>
          </w:p>
        </w:tc>
        <w:tc>
          <w:tcPr>
            <w:tcW w:w="2448" w:type="pct"/>
          </w:tcPr>
          <w:p w:rsidR="00ED2738" w:rsidRPr="006014DD" w:rsidRDefault="00ED2738" w:rsidP="00662164">
            <w:pPr>
              <w:pStyle w:val="Header"/>
              <w:numPr>
                <w:ilvl w:val="12"/>
                <w:numId w:val="0"/>
              </w:numPr>
              <w:tabs>
                <w:tab w:val="clear" w:pos="4320"/>
                <w:tab w:val="clear" w:pos="8640"/>
              </w:tabs>
              <w:spacing w:before="60" w:after="60"/>
            </w:pPr>
            <w:r>
              <w:t>If Entity Framework is being used, review use of Deferred Loading and ensure unnecessary database communication is minimal.</w:t>
            </w:r>
          </w:p>
        </w:tc>
        <w:tc>
          <w:tcPr>
            <w:tcW w:w="1748" w:type="pct"/>
          </w:tcPr>
          <w:p w:rsidR="00ED2738" w:rsidRPr="000C4E01" w:rsidRDefault="00ED2738" w:rsidP="00662164">
            <w:r>
              <w:t>Not applicable</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Pr="002276CA" w:rsidRDefault="00ED2738" w:rsidP="00662164">
            <w:pPr>
              <w:rPr>
                <w:b/>
                <w:color w:val="FFFFFF"/>
              </w:rPr>
            </w:pPr>
            <w:r>
              <w:rPr>
                <w:b/>
                <w:color w:val="FFFFFF"/>
              </w:rPr>
              <w:t>N/I</w:t>
            </w:r>
          </w:p>
        </w:tc>
        <w:tc>
          <w:tcPr>
            <w:tcW w:w="2448" w:type="pct"/>
          </w:tcPr>
          <w:p w:rsidR="00ED2738" w:rsidRPr="006014DD" w:rsidRDefault="00ED2738" w:rsidP="00662164">
            <w:pPr>
              <w:pStyle w:val="Header"/>
              <w:numPr>
                <w:ilvl w:val="12"/>
                <w:numId w:val="0"/>
              </w:numPr>
              <w:tabs>
                <w:tab w:val="clear" w:pos="4320"/>
                <w:tab w:val="clear" w:pos="8640"/>
              </w:tabs>
              <w:spacing w:before="60" w:after="60"/>
            </w:pPr>
            <w:r w:rsidRPr="006014DD">
              <w:t>Prefer stored procedures over embedded SQL.  Stored proc</w:t>
            </w:r>
            <w:r>
              <w:t>edure</w:t>
            </w:r>
            <w:r w:rsidRPr="006014DD">
              <w:t xml:space="preserve">s are more secure and usually provide better performance. </w:t>
            </w:r>
          </w:p>
        </w:tc>
        <w:tc>
          <w:tcPr>
            <w:tcW w:w="1748" w:type="pct"/>
          </w:tcPr>
          <w:p w:rsidR="00ED2738" w:rsidRPr="000C4E01" w:rsidRDefault="00ED2738" w:rsidP="00662164">
            <w:r>
              <w:t>Yes. Verified. No SQL statements are used.</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Default="00ED2738" w:rsidP="00662164">
            <w:pPr>
              <w:rPr>
                <w:b/>
                <w:color w:val="FFFFFF"/>
              </w:rPr>
            </w:pPr>
            <w:r>
              <w:rPr>
                <w:b/>
                <w:color w:val="FFFFFF"/>
              </w:rPr>
              <w:t>N/I</w:t>
            </w:r>
          </w:p>
        </w:tc>
        <w:tc>
          <w:tcPr>
            <w:tcW w:w="2448" w:type="pct"/>
          </w:tcPr>
          <w:p w:rsidR="00ED2738" w:rsidRPr="006014DD" w:rsidRDefault="00ED2738" w:rsidP="00662164">
            <w:pPr>
              <w:pStyle w:val="Header"/>
              <w:numPr>
                <w:ilvl w:val="12"/>
                <w:numId w:val="0"/>
              </w:numPr>
              <w:tabs>
                <w:tab w:val="clear" w:pos="4320"/>
                <w:tab w:val="clear" w:pos="8640"/>
              </w:tabs>
              <w:spacing w:before="60" w:after="60"/>
            </w:pPr>
            <w:r>
              <w:t>Query plans should be documented for SQL statements.</w:t>
            </w:r>
          </w:p>
        </w:tc>
        <w:tc>
          <w:tcPr>
            <w:tcW w:w="1748" w:type="pct"/>
          </w:tcPr>
          <w:p w:rsidR="00ED2738" w:rsidRPr="000C4E01" w:rsidRDefault="00ED2738" w:rsidP="00662164">
            <w:r>
              <w:t>Not applicable</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Pr="002276CA" w:rsidRDefault="00ED2738" w:rsidP="00662164">
            <w:pPr>
              <w:rPr>
                <w:b/>
                <w:color w:val="FFFFFF"/>
              </w:rPr>
            </w:pPr>
            <w:r>
              <w:rPr>
                <w:b/>
                <w:color w:val="FFFFFF"/>
              </w:rPr>
              <w:t>N/I</w:t>
            </w:r>
          </w:p>
        </w:tc>
        <w:tc>
          <w:tcPr>
            <w:tcW w:w="2448" w:type="pct"/>
          </w:tcPr>
          <w:p w:rsidR="00ED2738" w:rsidRPr="006014DD" w:rsidRDefault="00ED2738" w:rsidP="00662164">
            <w:pPr>
              <w:pStyle w:val="Header"/>
              <w:numPr>
                <w:ilvl w:val="12"/>
                <w:numId w:val="0"/>
              </w:numPr>
              <w:tabs>
                <w:tab w:val="clear" w:pos="4320"/>
                <w:tab w:val="clear" w:pos="8640"/>
              </w:tabs>
              <w:spacing w:before="60" w:after="60"/>
            </w:pPr>
            <w:r w:rsidRPr="006014DD">
              <w:t>Use parameters for your database queries when working with Oracle or SQL*Server</w:t>
            </w:r>
            <w:r>
              <w:t>.</w:t>
            </w:r>
          </w:p>
        </w:tc>
        <w:tc>
          <w:tcPr>
            <w:tcW w:w="1748" w:type="pct"/>
          </w:tcPr>
          <w:p w:rsidR="00ED2738" w:rsidRPr="000C4E01" w:rsidRDefault="00ED2738" w:rsidP="00662164">
            <w:r>
              <w:t>Not applicable</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Pr="007265A1" w:rsidRDefault="00ED2738" w:rsidP="00662164">
            <w:pPr>
              <w:rPr>
                <w:b/>
                <w:color w:val="FFFFFF"/>
              </w:rPr>
            </w:pPr>
            <w:r w:rsidRPr="007265A1">
              <w:rPr>
                <w:b/>
                <w:color w:val="FFFFFF"/>
              </w:rPr>
              <w:t>N/I</w:t>
            </w:r>
          </w:p>
        </w:tc>
        <w:tc>
          <w:tcPr>
            <w:tcW w:w="2448" w:type="pct"/>
          </w:tcPr>
          <w:p w:rsidR="00ED2738" w:rsidRPr="00C73DAC" w:rsidRDefault="00ED2738" w:rsidP="00662164">
            <w:pPr>
              <w:pStyle w:val="Header"/>
              <w:numPr>
                <w:ilvl w:val="12"/>
                <w:numId w:val="0"/>
              </w:numPr>
              <w:spacing w:before="60" w:after="60"/>
            </w:pPr>
            <w:r w:rsidRPr="00C73DAC">
              <w:t xml:space="preserve">Be wary of DataSets due to their complex internal object hierarchy.  Try to avoid serialization of DataSets.   </w:t>
            </w:r>
          </w:p>
        </w:tc>
        <w:tc>
          <w:tcPr>
            <w:tcW w:w="1748" w:type="pct"/>
          </w:tcPr>
          <w:p w:rsidR="00ED2738" w:rsidRPr="000C4E01" w:rsidRDefault="00ED2738" w:rsidP="00662164">
            <w:r>
              <w:t>Data sets are not used.</w:t>
            </w:r>
          </w:p>
        </w:tc>
      </w:tr>
      <w:tr w:rsidR="00ED2738" w:rsidRPr="002B7E42" w:rsidTr="007265A1">
        <w:trPr>
          <w:cantSplit/>
          <w:tblHeader/>
        </w:trPr>
        <w:tc>
          <w:tcPr>
            <w:tcW w:w="394" w:type="pct"/>
          </w:tcPr>
          <w:p w:rsidR="00ED2738" w:rsidRPr="002B7E42" w:rsidRDefault="00ED2738" w:rsidP="00662164">
            <w:pPr>
              <w:numPr>
                <w:ilvl w:val="0"/>
                <w:numId w:val="3"/>
              </w:numPr>
              <w:spacing w:before="60" w:after="60"/>
            </w:pPr>
          </w:p>
        </w:tc>
        <w:tc>
          <w:tcPr>
            <w:tcW w:w="410" w:type="pct"/>
            <w:shd w:val="clear" w:color="auto" w:fill="008000"/>
          </w:tcPr>
          <w:p w:rsidR="00ED2738" w:rsidRPr="002276CA" w:rsidRDefault="00ED2738" w:rsidP="00662164">
            <w:pPr>
              <w:rPr>
                <w:b/>
                <w:color w:val="FFFFFF"/>
              </w:rPr>
            </w:pPr>
            <w:r>
              <w:rPr>
                <w:b/>
                <w:color w:val="FFFFFF"/>
              </w:rPr>
              <w:t>N/I</w:t>
            </w:r>
          </w:p>
        </w:tc>
        <w:tc>
          <w:tcPr>
            <w:tcW w:w="2448" w:type="pct"/>
          </w:tcPr>
          <w:p w:rsidR="00ED2738" w:rsidRPr="002B7E42" w:rsidRDefault="00ED2738" w:rsidP="00662164">
            <w:pPr>
              <w:pStyle w:val="Header"/>
              <w:numPr>
                <w:ilvl w:val="12"/>
                <w:numId w:val="0"/>
              </w:numPr>
              <w:spacing w:before="60" w:after="60"/>
            </w:pPr>
            <w:r>
              <w:t xml:space="preserve">Objects implementing dispose() should have the dispose() method called as soon as possible.  This could have been listed under the General topic, but most often this problem occurs with ADO.NET objects (DataSet, DataTable, DataView, Command).  </w:t>
            </w:r>
          </w:p>
        </w:tc>
        <w:tc>
          <w:tcPr>
            <w:tcW w:w="1748" w:type="pct"/>
          </w:tcPr>
          <w:p w:rsidR="00ED2738" w:rsidRPr="000C4E01" w:rsidRDefault="00ED2738" w:rsidP="00662164">
            <w:r>
              <w:t>Verified.</w:t>
            </w:r>
          </w:p>
        </w:tc>
      </w:tr>
    </w:tbl>
    <w:p w:rsidR="00ED2738" w:rsidRDefault="00ED2738" w:rsidP="00942275"/>
    <w:p w:rsidR="00ED2738" w:rsidRDefault="00ED2738" w:rsidP="00FD28FE">
      <w:pPr>
        <w:pStyle w:val="Heading1"/>
      </w:pPr>
      <w:r>
        <w:t>ASP.NET General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4"/>
        <w:gridCol w:w="793"/>
        <w:gridCol w:w="4681"/>
        <w:gridCol w:w="3348"/>
      </w:tblGrid>
      <w:tr w:rsidR="00ED2738" w:rsidRPr="002B7E42" w:rsidTr="00FD28FE">
        <w:trPr>
          <w:cantSplit/>
          <w:tblHeader/>
        </w:trPr>
        <w:tc>
          <w:tcPr>
            <w:tcW w:w="394" w:type="pct"/>
            <w:shd w:val="clear" w:color="auto" w:fill="000000"/>
            <w:vAlign w:val="center"/>
          </w:tcPr>
          <w:p w:rsidR="00ED2738" w:rsidRPr="002B7E42" w:rsidRDefault="00ED2738" w:rsidP="00FD28FE">
            <w:pPr>
              <w:spacing w:before="60" w:after="60"/>
              <w:ind w:left="360"/>
              <w:rPr>
                <w:b/>
              </w:rPr>
            </w:pPr>
            <w:r w:rsidRPr="002B7E42">
              <w:rPr>
                <w:b/>
              </w:rPr>
              <w:t>Id</w:t>
            </w:r>
          </w:p>
        </w:tc>
        <w:tc>
          <w:tcPr>
            <w:tcW w:w="414" w:type="pct"/>
            <w:shd w:val="clear" w:color="auto" w:fill="000000"/>
            <w:vAlign w:val="center"/>
          </w:tcPr>
          <w:p w:rsidR="00ED2738" w:rsidRPr="002B7E42" w:rsidRDefault="00ED2738" w:rsidP="00FD28FE">
            <w:pPr>
              <w:pStyle w:val="Header"/>
              <w:numPr>
                <w:ilvl w:val="12"/>
                <w:numId w:val="0"/>
              </w:numPr>
              <w:tabs>
                <w:tab w:val="clear" w:pos="4320"/>
                <w:tab w:val="clear" w:pos="8640"/>
              </w:tabs>
              <w:spacing w:before="60" w:after="60"/>
              <w:rPr>
                <w:b/>
              </w:rPr>
            </w:pPr>
            <w:r>
              <w:rPr>
                <w:b/>
              </w:rPr>
              <w:t>Level</w:t>
            </w:r>
          </w:p>
        </w:tc>
        <w:tc>
          <w:tcPr>
            <w:tcW w:w="2444" w:type="pct"/>
            <w:shd w:val="clear" w:color="auto" w:fill="000000"/>
            <w:vAlign w:val="center"/>
          </w:tcPr>
          <w:p w:rsidR="00ED2738" w:rsidRPr="002B7E42" w:rsidRDefault="00ED2738" w:rsidP="00FD28FE">
            <w:pPr>
              <w:pStyle w:val="Header"/>
              <w:numPr>
                <w:ilvl w:val="12"/>
                <w:numId w:val="0"/>
              </w:numPr>
              <w:tabs>
                <w:tab w:val="clear" w:pos="4320"/>
                <w:tab w:val="clear" w:pos="8640"/>
              </w:tabs>
              <w:spacing w:before="60" w:after="60"/>
              <w:rPr>
                <w:b/>
              </w:rPr>
            </w:pPr>
            <w:r w:rsidRPr="002B7E42">
              <w:rPr>
                <w:b/>
              </w:rPr>
              <w:t>Review Item</w:t>
            </w:r>
          </w:p>
        </w:tc>
        <w:tc>
          <w:tcPr>
            <w:tcW w:w="1748" w:type="pct"/>
            <w:shd w:val="clear" w:color="auto" w:fill="000000"/>
            <w:vAlign w:val="center"/>
          </w:tcPr>
          <w:p w:rsidR="00ED2738" w:rsidRPr="002B7E42" w:rsidRDefault="00ED2738" w:rsidP="00FD28FE">
            <w:pPr>
              <w:rPr>
                <w:b/>
              </w:rPr>
            </w:pPr>
            <w:r w:rsidRPr="002B7E42">
              <w:rPr>
                <w:b/>
              </w:rPr>
              <w:t>Comments</w:t>
            </w:r>
          </w:p>
        </w:tc>
      </w:tr>
      <w:tr w:rsidR="00ED2738" w:rsidRPr="002B7E42" w:rsidTr="00FD28FE">
        <w:trPr>
          <w:cantSplit/>
          <w:tblHeader/>
        </w:trPr>
        <w:tc>
          <w:tcPr>
            <w:tcW w:w="394" w:type="pct"/>
          </w:tcPr>
          <w:p w:rsidR="00ED2738" w:rsidRPr="002B7E42" w:rsidRDefault="00ED2738" w:rsidP="00FD28FE">
            <w:pPr>
              <w:numPr>
                <w:ilvl w:val="0"/>
                <w:numId w:val="3"/>
              </w:numPr>
              <w:spacing w:before="60" w:after="60"/>
            </w:pPr>
          </w:p>
        </w:tc>
        <w:tc>
          <w:tcPr>
            <w:tcW w:w="414" w:type="pct"/>
            <w:shd w:val="clear" w:color="auto" w:fill="008000"/>
          </w:tcPr>
          <w:p w:rsidR="00ED2738" w:rsidRDefault="00ED2738" w:rsidP="00FD28FE">
            <w:r w:rsidRPr="006B5B3A">
              <w:rPr>
                <w:b/>
                <w:color w:val="FFFFFF"/>
              </w:rPr>
              <w:t>N/I</w:t>
            </w:r>
          </w:p>
        </w:tc>
        <w:tc>
          <w:tcPr>
            <w:tcW w:w="2444" w:type="pct"/>
          </w:tcPr>
          <w:p w:rsidR="00ED2738" w:rsidRPr="002F55CA" w:rsidRDefault="00ED2738" w:rsidP="00FD28FE">
            <w:r>
              <w:t xml:space="preserve">If using ASP.NET session, review for adherence to </w:t>
            </w:r>
            <w:hyperlink r:id="rId12" w:history="1">
              <w:r>
                <w:rPr>
                  <w:rStyle w:val="Hyperlink"/>
                  <w:rFonts w:cs="Arial"/>
                </w:rPr>
                <w:t>ASP.NET State Management Recommendations</w:t>
              </w:r>
            </w:hyperlink>
          </w:p>
        </w:tc>
        <w:tc>
          <w:tcPr>
            <w:tcW w:w="1748" w:type="pct"/>
          </w:tcPr>
          <w:p w:rsidR="00ED2738" w:rsidRPr="000C4E01" w:rsidRDefault="00ED2738" w:rsidP="00FD28FE">
            <w:r>
              <w:t>Coded as per standards</w:t>
            </w:r>
          </w:p>
        </w:tc>
      </w:tr>
      <w:tr w:rsidR="00ED2738" w:rsidRPr="002B7E42" w:rsidTr="00FD28FE">
        <w:trPr>
          <w:cantSplit/>
          <w:tblHeader/>
        </w:trPr>
        <w:tc>
          <w:tcPr>
            <w:tcW w:w="394" w:type="pct"/>
          </w:tcPr>
          <w:p w:rsidR="00ED2738" w:rsidRPr="002B7E42" w:rsidRDefault="00ED2738" w:rsidP="00FD28FE">
            <w:pPr>
              <w:numPr>
                <w:ilvl w:val="0"/>
                <w:numId w:val="3"/>
              </w:numPr>
              <w:spacing w:before="60" w:after="60"/>
            </w:pPr>
          </w:p>
        </w:tc>
        <w:tc>
          <w:tcPr>
            <w:tcW w:w="414" w:type="pct"/>
            <w:shd w:val="clear" w:color="auto" w:fill="008000"/>
          </w:tcPr>
          <w:p w:rsidR="00ED2738" w:rsidRDefault="00ED2738" w:rsidP="00FD28FE">
            <w:r w:rsidRPr="006B5B3A">
              <w:rPr>
                <w:b/>
                <w:color w:val="FFFFFF"/>
              </w:rPr>
              <w:t>N/I</w:t>
            </w:r>
          </w:p>
        </w:tc>
        <w:tc>
          <w:tcPr>
            <w:tcW w:w="2444" w:type="pct"/>
          </w:tcPr>
          <w:p w:rsidR="00ED2738" w:rsidRDefault="00ED2738" w:rsidP="00FD28FE">
            <w:r>
              <w:t>Review settings in the web.config file. Ensure that the settings will not conflict with the machine.config settings for the application's destination test and production environments. Be sure no sensitive data is stored in the file.</w:t>
            </w:r>
          </w:p>
        </w:tc>
        <w:tc>
          <w:tcPr>
            <w:tcW w:w="1748" w:type="pct"/>
          </w:tcPr>
          <w:p w:rsidR="00ED2738" w:rsidRPr="000C4E01" w:rsidRDefault="00ED2738" w:rsidP="00FD28FE">
            <w:r>
              <w:t>Yes. No sensitive data is present in the files.</w:t>
            </w:r>
          </w:p>
        </w:tc>
      </w:tr>
      <w:tr w:rsidR="00ED2738" w:rsidRPr="002B7E42" w:rsidTr="00FD28FE">
        <w:trPr>
          <w:cantSplit/>
          <w:tblHeader/>
        </w:trPr>
        <w:tc>
          <w:tcPr>
            <w:tcW w:w="394" w:type="pct"/>
          </w:tcPr>
          <w:p w:rsidR="00ED2738" w:rsidRPr="002B7E42" w:rsidRDefault="00ED2738" w:rsidP="00FD28FE">
            <w:pPr>
              <w:numPr>
                <w:ilvl w:val="0"/>
                <w:numId w:val="3"/>
              </w:numPr>
              <w:spacing w:before="60" w:after="60"/>
            </w:pPr>
          </w:p>
        </w:tc>
        <w:tc>
          <w:tcPr>
            <w:tcW w:w="414" w:type="pct"/>
            <w:shd w:val="clear" w:color="auto" w:fill="008000"/>
          </w:tcPr>
          <w:p w:rsidR="00ED2738" w:rsidRDefault="00ED2738" w:rsidP="00FD28FE">
            <w:r w:rsidRPr="006B5B3A">
              <w:rPr>
                <w:b/>
                <w:color w:val="FFFFFF"/>
              </w:rPr>
              <w:t>N/I</w:t>
            </w:r>
          </w:p>
        </w:tc>
        <w:tc>
          <w:tcPr>
            <w:tcW w:w="2444" w:type="pct"/>
          </w:tcPr>
          <w:p w:rsidR="00ED2738" w:rsidRDefault="00ED2738" w:rsidP="00FD28FE">
            <w:r>
              <w:t>Review use of the methods in the Global.asax code behind class, especially Application_Start(), Session_Start() and Application_Error().</w:t>
            </w:r>
          </w:p>
        </w:tc>
        <w:tc>
          <w:tcPr>
            <w:tcW w:w="1748" w:type="pct"/>
          </w:tcPr>
          <w:p w:rsidR="00ED2738" w:rsidRPr="000C4E01" w:rsidRDefault="00ED2738" w:rsidP="00FD28FE">
            <w:r>
              <w:t>Yes. Verified.</w:t>
            </w:r>
          </w:p>
        </w:tc>
      </w:tr>
      <w:tr w:rsidR="00ED2738" w:rsidRPr="002B7E42" w:rsidTr="00FD28FE">
        <w:trPr>
          <w:cantSplit/>
          <w:tblHeader/>
        </w:trPr>
        <w:tc>
          <w:tcPr>
            <w:tcW w:w="394" w:type="pct"/>
          </w:tcPr>
          <w:p w:rsidR="00ED2738" w:rsidRPr="002B7E42" w:rsidRDefault="00ED2738" w:rsidP="00FD28FE">
            <w:pPr>
              <w:numPr>
                <w:ilvl w:val="0"/>
                <w:numId w:val="3"/>
              </w:numPr>
              <w:spacing w:before="60" w:after="60"/>
            </w:pPr>
          </w:p>
        </w:tc>
        <w:tc>
          <w:tcPr>
            <w:tcW w:w="414" w:type="pct"/>
            <w:shd w:val="clear" w:color="auto" w:fill="008000"/>
          </w:tcPr>
          <w:p w:rsidR="00ED2738" w:rsidRDefault="00ED2738" w:rsidP="00FD28FE">
            <w:r w:rsidRPr="006B5B3A">
              <w:rPr>
                <w:b/>
                <w:color w:val="FFFFFF"/>
              </w:rPr>
              <w:t>N/I</w:t>
            </w:r>
          </w:p>
        </w:tc>
        <w:tc>
          <w:tcPr>
            <w:tcW w:w="2444" w:type="pct"/>
          </w:tcPr>
          <w:p w:rsidR="00ED2738" w:rsidRDefault="00ED2738" w:rsidP="00FD28FE">
            <w:r>
              <w:t>Look for opportunities to use various ASP.NET caching options (server, page, etc.)</w:t>
            </w:r>
          </w:p>
        </w:tc>
        <w:tc>
          <w:tcPr>
            <w:tcW w:w="1748" w:type="pct"/>
          </w:tcPr>
          <w:p w:rsidR="00ED2738" w:rsidRPr="000C4E01" w:rsidRDefault="00ED2738" w:rsidP="00FD28FE">
            <w:r>
              <w:t>Not applicable</w:t>
            </w:r>
          </w:p>
        </w:tc>
      </w:tr>
      <w:tr w:rsidR="00ED2738" w:rsidRPr="002B7E42" w:rsidTr="00FD28FE">
        <w:trPr>
          <w:cantSplit/>
          <w:tblHeader/>
        </w:trPr>
        <w:tc>
          <w:tcPr>
            <w:tcW w:w="394" w:type="pct"/>
          </w:tcPr>
          <w:p w:rsidR="00ED2738" w:rsidRPr="002B7E42" w:rsidRDefault="00ED2738" w:rsidP="00FD28FE">
            <w:pPr>
              <w:numPr>
                <w:ilvl w:val="0"/>
                <w:numId w:val="3"/>
              </w:numPr>
              <w:spacing w:before="60" w:after="60"/>
            </w:pPr>
          </w:p>
        </w:tc>
        <w:tc>
          <w:tcPr>
            <w:tcW w:w="414" w:type="pct"/>
            <w:shd w:val="clear" w:color="auto" w:fill="008000"/>
          </w:tcPr>
          <w:p w:rsidR="00ED2738" w:rsidRDefault="00ED2738" w:rsidP="00FD28FE">
            <w:r w:rsidRPr="006B5B3A">
              <w:rPr>
                <w:b/>
                <w:color w:val="FFFFFF"/>
              </w:rPr>
              <w:t>N/I</w:t>
            </w:r>
          </w:p>
        </w:tc>
        <w:tc>
          <w:tcPr>
            <w:tcW w:w="2444" w:type="pct"/>
          </w:tcPr>
          <w:p w:rsidR="00ED2738" w:rsidRDefault="00ED2738" w:rsidP="00FD28FE">
            <w:r>
              <w:t>Review security requirements for ASP.NET Web Services (Basic Auth, SSL, etc.)</w:t>
            </w:r>
          </w:p>
        </w:tc>
        <w:tc>
          <w:tcPr>
            <w:tcW w:w="1748" w:type="pct"/>
          </w:tcPr>
          <w:p w:rsidR="00ED2738" w:rsidRPr="000C4E01" w:rsidRDefault="00ED2738" w:rsidP="00FD28FE">
            <w:r>
              <w:t>Not applicable</w:t>
            </w:r>
          </w:p>
        </w:tc>
      </w:tr>
    </w:tbl>
    <w:p w:rsidR="00ED2738" w:rsidRDefault="00ED2738" w:rsidP="00942275">
      <w:pPr>
        <w:pStyle w:val="Heading1"/>
      </w:pPr>
      <w:r>
        <w:t>ASP.NET Web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4"/>
        <w:gridCol w:w="793"/>
        <w:gridCol w:w="4681"/>
        <w:gridCol w:w="3348"/>
      </w:tblGrid>
      <w:tr w:rsidR="00ED2738" w:rsidRPr="002B7E42" w:rsidTr="00BF5873">
        <w:trPr>
          <w:cantSplit/>
          <w:tblHeader/>
        </w:trPr>
        <w:tc>
          <w:tcPr>
            <w:tcW w:w="394" w:type="pct"/>
            <w:shd w:val="clear" w:color="auto" w:fill="000000"/>
            <w:vAlign w:val="center"/>
          </w:tcPr>
          <w:p w:rsidR="00ED2738" w:rsidRPr="002B7E42" w:rsidRDefault="00ED2738" w:rsidP="00662164">
            <w:pPr>
              <w:spacing w:before="60" w:after="60"/>
              <w:ind w:left="360"/>
              <w:rPr>
                <w:b/>
              </w:rPr>
            </w:pPr>
            <w:r w:rsidRPr="002B7E42">
              <w:rPr>
                <w:b/>
              </w:rPr>
              <w:t>Id</w:t>
            </w:r>
          </w:p>
        </w:tc>
        <w:tc>
          <w:tcPr>
            <w:tcW w:w="414" w:type="pct"/>
            <w:shd w:val="clear" w:color="auto" w:fill="000000"/>
            <w:vAlign w:val="center"/>
          </w:tcPr>
          <w:p w:rsidR="00ED2738" w:rsidRPr="002B7E42" w:rsidRDefault="00ED2738" w:rsidP="00662164">
            <w:pPr>
              <w:pStyle w:val="Header"/>
              <w:numPr>
                <w:ilvl w:val="12"/>
                <w:numId w:val="0"/>
              </w:numPr>
              <w:tabs>
                <w:tab w:val="clear" w:pos="4320"/>
                <w:tab w:val="clear" w:pos="8640"/>
              </w:tabs>
              <w:spacing w:before="60" w:after="60"/>
              <w:rPr>
                <w:b/>
              </w:rPr>
            </w:pPr>
            <w:r>
              <w:rPr>
                <w:b/>
              </w:rPr>
              <w:t>Level</w:t>
            </w:r>
          </w:p>
        </w:tc>
        <w:tc>
          <w:tcPr>
            <w:tcW w:w="2444" w:type="pct"/>
            <w:shd w:val="clear" w:color="auto" w:fill="000000"/>
            <w:vAlign w:val="center"/>
          </w:tcPr>
          <w:p w:rsidR="00ED2738" w:rsidRPr="002B7E42" w:rsidRDefault="00ED2738" w:rsidP="00662164">
            <w:pPr>
              <w:pStyle w:val="Header"/>
              <w:numPr>
                <w:ilvl w:val="12"/>
                <w:numId w:val="0"/>
              </w:numPr>
              <w:tabs>
                <w:tab w:val="clear" w:pos="4320"/>
                <w:tab w:val="clear" w:pos="8640"/>
              </w:tabs>
              <w:spacing w:before="60" w:after="60"/>
              <w:rPr>
                <w:b/>
              </w:rPr>
            </w:pPr>
            <w:r w:rsidRPr="002B7E42">
              <w:rPr>
                <w:b/>
              </w:rPr>
              <w:t>Review Item</w:t>
            </w:r>
          </w:p>
        </w:tc>
        <w:tc>
          <w:tcPr>
            <w:tcW w:w="1748" w:type="pct"/>
            <w:shd w:val="clear" w:color="auto" w:fill="000000"/>
            <w:vAlign w:val="center"/>
          </w:tcPr>
          <w:p w:rsidR="00ED2738" w:rsidRPr="002B7E42" w:rsidRDefault="00ED2738" w:rsidP="00662164">
            <w:pPr>
              <w:rPr>
                <w:b/>
              </w:rPr>
            </w:pPr>
            <w:r w:rsidRPr="002B7E42">
              <w:rPr>
                <w:b/>
              </w:rPr>
              <w:t>Comments</w:t>
            </w:r>
          </w:p>
        </w:tc>
      </w:tr>
      <w:tr w:rsidR="00ED2738" w:rsidRPr="002B7E42" w:rsidTr="00166C00">
        <w:trPr>
          <w:cantSplit/>
          <w:tblHeader/>
        </w:trPr>
        <w:tc>
          <w:tcPr>
            <w:tcW w:w="394" w:type="pct"/>
          </w:tcPr>
          <w:p w:rsidR="00ED2738" w:rsidRPr="002B7E42" w:rsidRDefault="00ED2738" w:rsidP="00662164">
            <w:pPr>
              <w:numPr>
                <w:ilvl w:val="0"/>
                <w:numId w:val="3"/>
              </w:numPr>
              <w:spacing w:before="60" w:after="60"/>
            </w:pPr>
          </w:p>
        </w:tc>
        <w:tc>
          <w:tcPr>
            <w:tcW w:w="414" w:type="pct"/>
            <w:shd w:val="clear" w:color="auto" w:fill="008000"/>
          </w:tcPr>
          <w:p w:rsidR="00ED2738" w:rsidRPr="00BF5873" w:rsidRDefault="00ED2738" w:rsidP="00662164">
            <w:pPr>
              <w:rPr>
                <w:b/>
                <w:color w:val="FFFFFF"/>
              </w:rPr>
            </w:pPr>
            <w:r w:rsidRPr="00BF5873">
              <w:rPr>
                <w:b/>
                <w:color w:val="FFFFFF"/>
              </w:rPr>
              <w:t>N/I</w:t>
            </w:r>
          </w:p>
        </w:tc>
        <w:tc>
          <w:tcPr>
            <w:tcW w:w="2444" w:type="pct"/>
          </w:tcPr>
          <w:p w:rsidR="00ED2738" w:rsidRPr="00C73DAC" w:rsidRDefault="00ED2738" w:rsidP="00FD28FE">
            <w:r>
              <w:t xml:space="preserve">Review use of </w:t>
            </w:r>
            <w:r w:rsidRPr="00C73DAC">
              <w:t>viewstate.   Only store the minimum number of objects in view state.   Disable viewstate if you don’t need it.</w:t>
            </w:r>
          </w:p>
        </w:tc>
        <w:tc>
          <w:tcPr>
            <w:tcW w:w="1748" w:type="pct"/>
          </w:tcPr>
          <w:p w:rsidR="00ED2738" w:rsidRPr="000C4E01" w:rsidRDefault="00ED2738" w:rsidP="00662164">
            <w:r>
              <w:t>Not applicable</w:t>
            </w:r>
          </w:p>
        </w:tc>
      </w:tr>
      <w:tr w:rsidR="00ED2738" w:rsidRPr="002B7E42" w:rsidTr="00166C00">
        <w:trPr>
          <w:cantSplit/>
          <w:tblHeader/>
        </w:trPr>
        <w:tc>
          <w:tcPr>
            <w:tcW w:w="394" w:type="pct"/>
          </w:tcPr>
          <w:p w:rsidR="00ED2738" w:rsidRPr="002B7E42" w:rsidRDefault="00ED2738" w:rsidP="00662164">
            <w:pPr>
              <w:numPr>
                <w:ilvl w:val="0"/>
                <w:numId w:val="3"/>
              </w:numPr>
              <w:spacing w:before="60" w:after="60"/>
            </w:pPr>
          </w:p>
        </w:tc>
        <w:tc>
          <w:tcPr>
            <w:tcW w:w="414" w:type="pct"/>
            <w:shd w:val="clear" w:color="auto" w:fill="008000"/>
          </w:tcPr>
          <w:p w:rsidR="00ED2738" w:rsidRDefault="00ED2738">
            <w:r w:rsidRPr="006B5B3A">
              <w:rPr>
                <w:b/>
                <w:color w:val="FFFFFF"/>
              </w:rPr>
              <w:t>N/I</w:t>
            </w:r>
          </w:p>
        </w:tc>
        <w:tc>
          <w:tcPr>
            <w:tcW w:w="2444" w:type="pct"/>
          </w:tcPr>
          <w:p w:rsidR="00ED2738" w:rsidRPr="005E73EF" w:rsidRDefault="00ED2738" w:rsidP="00662164">
            <w:r w:rsidRPr="005E73EF">
              <w:t xml:space="preserve">Be wary </w:t>
            </w:r>
            <w:r>
              <w:t xml:space="preserve">of </w:t>
            </w:r>
            <w:r w:rsidRPr="005E73EF">
              <w:t>using DataGrid controls.  This control can generate a lot of viewstate.  Consider using a DataList or Repeater control as a lighter weight alternative</w:t>
            </w:r>
          </w:p>
        </w:tc>
        <w:tc>
          <w:tcPr>
            <w:tcW w:w="1748" w:type="pct"/>
          </w:tcPr>
          <w:p w:rsidR="00ED2738" w:rsidRPr="000C4E01" w:rsidRDefault="00ED2738" w:rsidP="00662164">
            <w:r>
              <w:t>Not applicable</w:t>
            </w:r>
          </w:p>
        </w:tc>
      </w:tr>
      <w:tr w:rsidR="00ED2738" w:rsidRPr="002B7E42" w:rsidTr="002907D5">
        <w:trPr>
          <w:cantSplit/>
          <w:tblHeader/>
        </w:trPr>
        <w:tc>
          <w:tcPr>
            <w:tcW w:w="394" w:type="pct"/>
          </w:tcPr>
          <w:p w:rsidR="00ED2738" w:rsidRPr="002B7E42" w:rsidRDefault="00ED2738" w:rsidP="00662164">
            <w:pPr>
              <w:numPr>
                <w:ilvl w:val="0"/>
                <w:numId w:val="3"/>
              </w:numPr>
              <w:spacing w:before="60" w:after="60"/>
            </w:pPr>
          </w:p>
        </w:tc>
        <w:tc>
          <w:tcPr>
            <w:tcW w:w="414" w:type="pct"/>
            <w:shd w:val="clear" w:color="auto" w:fill="008000"/>
          </w:tcPr>
          <w:p w:rsidR="00ED2738" w:rsidRDefault="00ED2738">
            <w:r w:rsidRPr="006B5B3A">
              <w:rPr>
                <w:b/>
                <w:color w:val="FFFFFF"/>
              </w:rPr>
              <w:t>N/I</w:t>
            </w:r>
          </w:p>
        </w:tc>
        <w:tc>
          <w:tcPr>
            <w:tcW w:w="2444" w:type="pct"/>
          </w:tcPr>
          <w:p w:rsidR="00ED2738" w:rsidRPr="00415BED" w:rsidRDefault="00ED2738" w:rsidP="00FD28FE">
            <w:r w:rsidRPr="00415BED">
              <w:t xml:space="preserve">Use </w:t>
            </w:r>
            <w:r>
              <w:t>the A</w:t>
            </w:r>
            <w:r w:rsidRPr="00415BED">
              <w:t>pplication object to share static, read-only data.</w:t>
            </w:r>
          </w:p>
        </w:tc>
        <w:tc>
          <w:tcPr>
            <w:tcW w:w="1748" w:type="pct"/>
          </w:tcPr>
          <w:p w:rsidR="00ED2738" w:rsidRPr="000C4E01" w:rsidRDefault="00ED2738" w:rsidP="00662164">
            <w:r>
              <w:t>Not applicable</w:t>
            </w:r>
          </w:p>
        </w:tc>
      </w:tr>
    </w:tbl>
    <w:p w:rsidR="00ED2738" w:rsidRDefault="00ED2738" w:rsidP="00074646"/>
    <w:p w:rsidR="00ED2738" w:rsidRDefault="00ED2738" w:rsidP="00465E95">
      <w:pPr>
        <w:pStyle w:val="Heading1"/>
      </w:pPr>
      <w:r>
        <w:t>ASP.NET MVC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4"/>
        <w:gridCol w:w="793"/>
        <w:gridCol w:w="4681"/>
        <w:gridCol w:w="3348"/>
      </w:tblGrid>
      <w:tr w:rsidR="00ED2738" w:rsidRPr="002B7E42" w:rsidTr="00465E95">
        <w:trPr>
          <w:cantSplit/>
          <w:tblHeader/>
        </w:trPr>
        <w:tc>
          <w:tcPr>
            <w:tcW w:w="394" w:type="pct"/>
            <w:shd w:val="clear" w:color="auto" w:fill="000000"/>
            <w:vAlign w:val="center"/>
          </w:tcPr>
          <w:p w:rsidR="00ED2738" w:rsidRPr="002B7E42" w:rsidRDefault="00ED2738" w:rsidP="00465E95">
            <w:pPr>
              <w:spacing w:before="60" w:after="60"/>
              <w:ind w:left="360"/>
              <w:rPr>
                <w:b/>
              </w:rPr>
            </w:pPr>
            <w:r w:rsidRPr="002B7E42">
              <w:rPr>
                <w:b/>
              </w:rPr>
              <w:t>Id</w:t>
            </w:r>
          </w:p>
        </w:tc>
        <w:tc>
          <w:tcPr>
            <w:tcW w:w="414" w:type="pct"/>
            <w:shd w:val="clear" w:color="auto" w:fill="000000"/>
            <w:vAlign w:val="center"/>
          </w:tcPr>
          <w:p w:rsidR="00ED2738" w:rsidRPr="002B7E42" w:rsidRDefault="00ED2738" w:rsidP="00465E95">
            <w:pPr>
              <w:pStyle w:val="Header"/>
              <w:numPr>
                <w:ilvl w:val="12"/>
                <w:numId w:val="0"/>
              </w:numPr>
              <w:tabs>
                <w:tab w:val="clear" w:pos="4320"/>
                <w:tab w:val="clear" w:pos="8640"/>
              </w:tabs>
              <w:spacing w:before="60" w:after="60"/>
              <w:rPr>
                <w:b/>
              </w:rPr>
            </w:pPr>
            <w:r>
              <w:rPr>
                <w:b/>
              </w:rPr>
              <w:t>Level</w:t>
            </w:r>
          </w:p>
        </w:tc>
        <w:tc>
          <w:tcPr>
            <w:tcW w:w="2444" w:type="pct"/>
            <w:shd w:val="clear" w:color="auto" w:fill="000000"/>
            <w:vAlign w:val="center"/>
          </w:tcPr>
          <w:p w:rsidR="00ED2738" w:rsidRPr="002B7E42" w:rsidRDefault="00ED2738" w:rsidP="00465E95">
            <w:pPr>
              <w:pStyle w:val="Header"/>
              <w:numPr>
                <w:ilvl w:val="12"/>
                <w:numId w:val="0"/>
              </w:numPr>
              <w:tabs>
                <w:tab w:val="clear" w:pos="4320"/>
                <w:tab w:val="clear" w:pos="8640"/>
              </w:tabs>
              <w:spacing w:before="60" w:after="60"/>
              <w:rPr>
                <w:b/>
              </w:rPr>
            </w:pPr>
            <w:r w:rsidRPr="002B7E42">
              <w:rPr>
                <w:b/>
              </w:rPr>
              <w:t>Review Item</w:t>
            </w:r>
          </w:p>
        </w:tc>
        <w:tc>
          <w:tcPr>
            <w:tcW w:w="1748" w:type="pct"/>
            <w:shd w:val="clear" w:color="auto" w:fill="000000"/>
            <w:vAlign w:val="center"/>
          </w:tcPr>
          <w:p w:rsidR="00ED2738" w:rsidRPr="002B7E42" w:rsidRDefault="00ED2738" w:rsidP="00465E95">
            <w:pPr>
              <w:rPr>
                <w:b/>
              </w:rPr>
            </w:pPr>
            <w:r w:rsidRPr="002B7E42">
              <w:rPr>
                <w:b/>
              </w:rPr>
              <w:t>Comments</w:t>
            </w:r>
          </w:p>
        </w:tc>
      </w:tr>
      <w:tr w:rsidR="00ED2738" w:rsidRPr="002B7E42" w:rsidTr="00465E95">
        <w:trPr>
          <w:cantSplit/>
          <w:tblHeader/>
        </w:trPr>
        <w:tc>
          <w:tcPr>
            <w:tcW w:w="394" w:type="pct"/>
          </w:tcPr>
          <w:p w:rsidR="00ED2738" w:rsidRPr="002B7E42" w:rsidRDefault="00ED2738" w:rsidP="00465E95">
            <w:pPr>
              <w:numPr>
                <w:ilvl w:val="0"/>
                <w:numId w:val="3"/>
              </w:numPr>
              <w:spacing w:before="60" w:after="60"/>
            </w:pPr>
          </w:p>
        </w:tc>
        <w:tc>
          <w:tcPr>
            <w:tcW w:w="414" w:type="pct"/>
            <w:shd w:val="clear" w:color="auto" w:fill="008000"/>
          </w:tcPr>
          <w:p w:rsidR="00ED2738" w:rsidRPr="00BF5873" w:rsidRDefault="00ED2738" w:rsidP="00465E95">
            <w:pPr>
              <w:rPr>
                <w:b/>
                <w:color w:val="FFFFFF"/>
              </w:rPr>
            </w:pPr>
            <w:r w:rsidRPr="00BF5873">
              <w:rPr>
                <w:b/>
                <w:color w:val="FFFFFF"/>
              </w:rPr>
              <w:t>N/I</w:t>
            </w:r>
          </w:p>
        </w:tc>
        <w:tc>
          <w:tcPr>
            <w:tcW w:w="2444" w:type="pct"/>
          </w:tcPr>
          <w:p w:rsidR="00ED2738" w:rsidRPr="00C73DAC" w:rsidRDefault="00ED2738" w:rsidP="00465E95">
            <w:r>
              <w:t>All business logic should be called through actions to the controllers</w:t>
            </w:r>
          </w:p>
        </w:tc>
        <w:tc>
          <w:tcPr>
            <w:tcW w:w="1748" w:type="pct"/>
          </w:tcPr>
          <w:p w:rsidR="00ED2738" w:rsidRPr="000C4E01" w:rsidRDefault="00ED2738" w:rsidP="00465E95">
            <w:r>
              <w:t>Not applicable</w:t>
            </w:r>
          </w:p>
        </w:tc>
      </w:tr>
      <w:tr w:rsidR="00ED2738" w:rsidRPr="002B7E42" w:rsidTr="00465E95">
        <w:trPr>
          <w:cantSplit/>
          <w:tblHeader/>
        </w:trPr>
        <w:tc>
          <w:tcPr>
            <w:tcW w:w="394" w:type="pct"/>
          </w:tcPr>
          <w:p w:rsidR="00ED2738" w:rsidRPr="002B7E42" w:rsidRDefault="00ED2738" w:rsidP="00465E95">
            <w:pPr>
              <w:numPr>
                <w:ilvl w:val="0"/>
                <w:numId w:val="3"/>
              </w:numPr>
              <w:spacing w:before="60" w:after="60"/>
            </w:pPr>
          </w:p>
        </w:tc>
        <w:tc>
          <w:tcPr>
            <w:tcW w:w="414" w:type="pct"/>
            <w:shd w:val="clear" w:color="auto" w:fill="008000"/>
          </w:tcPr>
          <w:p w:rsidR="00ED2738" w:rsidRPr="00BF5873" w:rsidRDefault="00ED2738" w:rsidP="00465E95">
            <w:pPr>
              <w:rPr>
                <w:b/>
                <w:color w:val="FFFFFF"/>
              </w:rPr>
            </w:pPr>
            <w:r>
              <w:rPr>
                <w:b/>
                <w:color w:val="FFFFFF"/>
              </w:rPr>
              <w:t>N/I</w:t>
            </w:r>
          </w:p>
        </w:tc>
        <w:tc>
          <w:tcPr>
            <w:tcW w:w="2444" w:type="pct"/>
          </w:tcPr>
          <w:p w:rsidR="00ED2738" w:rsidRDefault="00ED2738" w:rsidP="00465E95">
            <w:r>
              <w:t>Data should be bound to views by use of the model</w:t>
            </w:r>
          </w:p>
        </w:tc>
        <w:tc>
          <w:tcPr>
            <w:tcW w:w="1748" w:type="pct"/>
          </w:tcPr>
          <w:p w:rsidR="00ED2738" w:rsidRPr="000C4E01" w:rsidRDefault="00ED2738" w:rsidP="00465E95">
            <w:r>
              <w:t>Not applicable</w:t>
            </w:r>
          </w:p>
        </w:tc>
      </w:tr>
      <w:tr w:rsidR="00ED2738" w:rsidRPr="002B7E42" w:rsidTr="00465E95">
        <w:trPr>
          <w:cantSplit/>
          <w:tblHeader/>
        </w:trPr>
        <w:tc>
          <w:tcPr>
            <w:tcW w:w="394" w:type="pct"/>
          </w:tcPr>
          <w:p w:rsidR="00ED2738" w:rsidRPr="002B7E42" w:rsidRDefault="00ED2738" w:rsidP="00465E95">
            <w:pPr>
              <w:numPr>
                <w:ilvl w:val="0"/>
                <w:numId w:val="3"/>
              </w:numPr>
              <w:spacing w:before="60" w:after="60"/>
            </w:pPr>
          </w:p>
        </w:tc>
        <w:tc>
          <w:tcPr>
            <w:tcW w:w="414" w:type="pct"/>
            <w:shd w:val="clear" w:color="auto" w:fill="008000"/>
          </w:tcPr>
          <w:p w:rsidR="00ED2738" w:rsidRDefault="00ED2738" w:rsidP="00465E95">
            <w:r w:rsidRPr="006B5B3A">
              <w:rPr>
                <w:b/>
                <w:color w:val="FFFFFF"/>
              </w:rPr>
              <w:t>N/I</w:t>
            </w:r>
          </w:p>
        </w:tc>
        <w:tc>
          <w:tcPr>
            <w:tcW w:w="2444" w:type="pct"/>
          </w:tcPr>
          <w:p w:rsidR="00ED2738" w:rsidRPr="00415BED" w:rsidRDefault="00ED2738" w:rsidP="00465E95">
            <w:r w:rsidRPr="00415BED">
              <w:t xml:space="preserve">Use </w:t>
            </w:r>
            <w:r>
              <w:t>the A</w:t>
            </w:r>
            <w:r w:rsidRPr="00415BED">
              <w:t xml:space="preserve">pplication object to share static, read-only data.   </w:t>
            </w:r>
            <w:r>
              <w:t>This should also be avoided in MVC.</w:t>
            </w:r>
          </w:p>
        </w:tc>
        <w:tc>
          <w:tcPr>
            <w:tcW w:w="1748" w:type="pct"/>
          </w:tcPr>
          <w:p w:rsidR="00ED2738" w:rsidRPr="000C4E01" w:rsidRDefault="00ED2738" w:rsidP="00465E95">
            <w:r>
              <w:t>Not applicable</w:t>
            </w:r>
          </w:p>
        </w:tc>
      </w:tr>
    </w:tbl>
    <w:p w:rsidR="00ED2738" w:rsidRDefault="00ED2738" w:rsidP="00AB533B">
      <w:pPr>
        <w:pStyle w:val="Heading1"/>
      </w:pPr>
      <w:r>
        <w:t>Web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4"/>
        <w:gridCol w:w="793"/>
        <w:gridCol w:w="4681"/>
        <w:gridCol w:w="3348"/>
      </w:tblGrid>
      <w:tr w:rsidR="00ED2738" w:rsidRPr="002B7E42" w:rsidTr="00AB533B">
        <w:trPr>
          <w:cantSplit/>
          <w:tblHeader/>
        </w:trPr>
        <w:tc>
          <w:tcPr>
            <w:tcW w:w="394" w:type="pct"/>
            <w:shd w:val="clear" w:color="auto" w:fill="000000"/>
            <w:vAlign w:val="center"/>
          </w:tcPr>
          <w:p w:rsidR="00ED2738" w:rsidRPr="002B7E42" w:rsidRDefault="00ED2738" w:rsidP="00AB533B">
            <w:pPr>
              <w:spacing w:before="60" w:after="60"/>
              <w:ind w:left="360"/>
              <w:rPr>
                <w:b/>
              </w:rPr>
            </w:pPr>
            <w:r w:rsidRPr="002B7E42">
              <w:rPr>
                <w:b/>
              </w:rPr>
              <w:t>Id</w:t>
            </w:r>
          </w:p>
        </w:tc>
        <w:tc>
          <w:tcPr>
            <w:tcW w:w="414" w:type="pct"/>
            <w:shd w:val="clear" w:color="auto" w:fill="000000"/>
            <w:vAlign w:val="center"/>
          </w:tcPr>
          <w:p w:rsidR="00ED2738" w:rsidRPr="002B7E42" w:rsidRDefault="00ED2738" w:rsidP="00AB533B">
            <w:pPr>
              <w:pStyle w:val="Header"/>
              <w:numPr>
                <w:ilvl w:val="12"/>
                <w:numId w:val="0"/>
              </w:numPr>
              <w:tabs>
                <w:tab w:val="clear" w:pos="4320"/>
                <w:tab w:val="clear" w:pos="8640"/>
              </w:tabs>
              <w:spacing w:before="60" w:after="60"/>
              <w:rPr>
                <w:b/>
              </w:rPr>
            </w:pPr>
            <w:r>
              <w:rPr>
                <w:b/>
              </w:rPr>
              <w:t>Level</w:t>
            </w:r>
          </w:p>
        </w:tc>
        <w:tc>
          <w:tcPr>
            <w:tcW w:w="2444" w:type="pct"/>
            <w:shd w:val="clear" w:color="auto" w:fill="000000"/>
            <w:vAlign w:val="center"/>
          </w:tcPr>
          <w:p w:rsidR="00ED2738" w:rsidRPr="002B7E42" w:rsidRDefault="00ED2738" w:rsidP="00AB533B">
            <w:pPr>
              <w:pStyle w:val="Header"/>
              <w:numPr>
                <w:ilvl w:val="12"/>
                <w:numId w:val="0"/>
              </w:numPr>
              <w:tabs>
                <w:tab w:val="clear" w:pos="4320"/>
                <w:tab w:val="clear" w:pos="8640"/>
              </w:tabs>
              <w:spacing w:before="60" w:after="60"/>
              <w:rPr>
                <w:b/>
              </w:rPr>
            </w:pPr>
            <w:r w:rsidRPr="002B7E42">
              <w:rPr>
                <w:b/>
              </w:rPr>
              <w:t>Review Item</w:t>
            </w:r>
          </w:p>
        </w:tc>
        <w:tc>
          <w:tcPr>
            <w:tcW w:w="1748" w:type="pct"/>
            <w:shd w:val="clear" w:color="auto" w:fill="000000"/>
            <w:vAlign w:val="center"/>
          </w:tcPr>
          <w:p w:rsidR="00ED2738" w:rsidRPr="002B7E42" w:rsidRDefault="00ED2738" w:rsidP="00AB533B">
            <w:pPr>
              <w:rPr>
                <w:b/>
              </w:rPr>
            </w:pPr>
            <w:r w:rsidRPr="002B7E42">
              <w:rPr>
                <w:b/>
              </w:rPr>
              <w:t>Comments</w:t>
            </w:r>
          </w:p>
        </w:tc>
      </w:tr>
      <w:tr w:rsidR="00ED2738" w:rsidRPr="002B7E42" w:rsidTr="00AB533B">
        <w:trPr>
          <w:cantSplit/>
          <w:tblHeader/>
        </w:trPr>
        <w:tc>
          <w:tcPr>
            <w:tcW w:w="394" w:type="pct"/>
          </w:tcPr>
          <w:p w:rsidR="00ED2738" w:rsidRPr="002B7E42" w:rsidRDefault="00ED2738" w:rsidP="00AB533B">
            <w:pPr>
              <w:numPr>
                <w:ilvl w:val="0"/>
                <w:numId w:val="3"/>
              </w:numPr>
              <w:spacing w:before="60" w:after="60"/>
            </w:pPr>
          </w:p>
        </w:tc>
        <w:tc>
          <w:tcPr>
            <w:tcW w:w="414" w:type="pct"/>
            <w:shd w:val="clear" w:color="auto" w:fill="008000"/>
          </w:tcPr>
          <w:p w:rsidR="00ED2738" w:rsidRPr="00BF5873" w:rsidRDefault="00ED2738" w:rsidP="00AB533B">
            <w:pPr>
              <w:rPr>
                <w:b/>
                <w:color w:val="FFFFFF"/>
              </w:rPr>
            </w:pPr>
            <w:r w:rsidRPr="00BF5873">
              <w:rPr>
                <w:b/>
                <w:color w:val="FFFFFF"/>
              </w:rPr>
              <w:t>N/I</w:t>
            </w:r>
          </w:p>
        </w:tc>
        <w:tc>
          <w:tcPr>
            <w:tcW w:w="2444" w:type="pct"/>
          </w:tcPr>
          <w:p w:rsidR="00ED2738" w:rsidRPr="00C73DAC" w:rsidRDefault="00ED2738" w:rsidP="00AB533B">
            <w:r>
              <w:t>Services should have minimal functionality in them and should use a controller class to handle most of the work</w:t>
            </w:r>
          </w:p>
        </w:tc>
        <w:tc>
          <w:tcPr>
            <w:tcW w:w="1748" w:type="pct"/>
          </w:tcPr>
          <w:p w:rsidR="00ED2738" w:rsidRPr="000C4E01" w:rsidRDefault="00ED2738" w:rsidP="00AB533B">
            <w:r>
              <w:t>Not applicable</w:t>
            </w:r>
          </w:p>
        </w:tc>
      </w:tr>
      <w:tr w:rsidR="00ED2738" w:rsidRPr="002B7E42" w:rsidTr="00AB533B">
        <w:trPr>
          <w:cantSplit/>
          <w:tblHeader/>
        </w:trPr>
        <w:tc>
          <w:tcPr>
            <w:tcW w:w="394" w:type="pct"/>
          </w:tcPr>
          <w:p w:rsidR="00ED2738" w:rsidRPr="002B7E42" w:rsidRDefault="00ED2738" w:rsidP="00AB533B">
            <w:pPr>
              <w:numPr>
                <w:ilvl w:val="0"/>
                <w:numId w:val="3"/>
              </w:numPr>
              <w:spacing w:before="60" w:after="60"/>
            </w:pPr>
          </w:p>
        </w:tc>
        <w:tc>
          <w:tcPr>
            <w:tcW w:w="414" w:type="pct"/>
            <w:shd w:val="clear" w:color="auto" w:fill="008000"/>
          </w:tcPr>
          <w:p w:rsidR="00ED2738" w:rsidRPr="00BF5873" w:rsidRDefault="00ED2738" w:rsidP="00AB533B">
            <w:pPr>
              <w:rPr>
                <w:b/>
                <w:color w:val="FFFFFF"/>
              </w:rPr>
            </w:pPr>
            <w:r>
              <w:rPr>
                <w:b/>
                <w:color w:val="FFFFFF"/>
              </w:rPr>
              <w:t>N/I</w:t>
            </w:r>
          </w:p>
        </w:tc>
        <w:tc>
          <w:tcPr>
            <w:tcW w:w="2444" w:type="pct"/>
          </w:tcPr>
          <w:p w:rsidR="00ED2738" w:rsidRDefault="00ED2738" w:rsidP="00AB533B">
            <w:r>
              <w:t>Namespaces should be assigned to all Service and Data Contracts</w:t>
            </w:r>
          </w:p>
        </w:tc>
        <w:tc>
          <w:tcPr>
            <w:tcW w:w="1748" w:type="pct"/>
          </w:tcPr>
          <w:p w:rsidR="00ED2738" w:rsidRPr="000C4E01" w:rsidRDefault="00ED2738" w:rsidP="00AB533B">
            <w:r>
              <w:t>Not applicable</w:t>
            </w:r>
          </w:p>
        </w:tc>
      </w:tr>
      <w:tr w:rsidR="00ED2738" w:rsidRPr="002B7E42" w:rsidTr="00AB533B">
        <w:trPr>
          <w:cantSplit/>
          <w:tblHeader/>
        </w:trPr>
        <w:tc>
          <w:tcPr>
            <w:tcW w:w="394" w:type="pct"/>
          </w:tcPr>
          <w:p w:rsidR="00ED2738" w:rsidRPr="002B7E42" w:rsidRDefault="00ED2738" w:rsidP="00AB533B">
            <w:pPr>
              <w:numPr>
                <w:ilvl w:val="0"/>
                <w:numId w:val="3"/>
              </w:numPr>
              <w:spacing w:before="60" w:after="60"/>
            </w:pPr>
          </w:p>
        </w:tc>
        <w:tc>
          <w:tcPr>
            <w:tcW w:w="414" w:type="pct"/>
            <w:shd w:val="clear" w:color="auto" w:fill="008000"/>
          </w:tcPr>
          <w:p w:rsidR="00ED2738" w:rsidRDefault="00ED2738" w:rsidP="00AB533B">
            <w:r w:rsidRPr="006B5B3A">
              <w:rPr>
                <w:b/>
                <w:color w:val="FFFFFF"/>
              </w:rPr>
              <w:t>N/I</w:t>
            </w:r>
          </w:p>
        </w:tc>
        <w:tc>
          <w:tcPr>
            <w:tcW w:w="2444" w:type="pct"/>
          </w:tcPr>
          <w:p w:rsidR="00ED2738" w:rsidRPr="00415BED" w:rsidRDefault="00ED2738" w:rsidP="00AB533B">
            <w:r>
              <w:t>Soft titling should be assigned to Service, Data, and Operation Contracts</w:t>
            </w:r>
          </w:p>
        </w:tc>
        <w:tc>
          <w:tcPr>
            <w:tcW w:w="1748" w:type="pct"/>
          </w:tcPr>
          <w:p w:rsidR="00ED2738" w:rsidRPr="000C4E01" w:rsidRDefault="00ED2738" w:rsidP="00AB533B">
            <w:r>
              <w:t>Not applicable</w:t>
            </w:r>
          </w:p>
        </w:tc>
      </w:tr>
      <w:tr w:rsidR="00ED2738" w:rsidRPr="002B7E42" w:rsidTr="00AB533B">
        <w:trPr>
          <w:cantSplit/>
          <w:tblHeader/>
        </w:trPr>
        <w:tc>
          <w:tcPr>
            <w:tcW w:w="394" w:type="pct"/>
          </w:tcPr>
          <w:p w:rsidR="00ED2738" w:rsidRPr="002B7E42" w:rsidRDefault="00ED2738" w:rsidP="00AB533B">
            <w:pPr>
              <w:numPr>
                <w:ilvl w:val="0"/>
                <w:numId w:val="3"/>
              </w:numPr>
              <w:spacing w:before="60" w:after="60"/>
            </w:pPr>
          </w:p>
        </w:tc>
        <w:tc>
          <w:tcPr>
            <w:tcW w:w="414" w:type="pct"/>
            <w:shd w:val="clear" w:color="auto" w:fill="008000"/>
          </w:tcPr>
          <w:p w:rsidR="00ED2738" w:rsidRPr="006B5B3A" w:rsidRDefault="00ED2738" w:rsidP="00AB533B">
            <w:pPr>
              <w:rPr>
                <w:b/>
                <w:color w:val="FFFFFF"/>
              </w:rPr>
            </w:pPr>
            <w:r>
              <w:rPr>
                <w:b/>
                <w:color w:val="FFFFFF"/>
              </w:rPr>
              <w:t>N/I</w:t>
            </w:r>
          </w:p>
        </w:tc>
        <w:tc>
          <w:tcPr>
            <w:tcW w:w="2444" w:type="pct"/>
          </w:tcPr>
          <w:p w:rsidR="00ED2738" w:rsidRDefault="00ED2738" w:rsidP="00AB533B">
            <w:r>
              <w:t xml:space="preserve">Complex Types should be used for input and output parameters. </w:t>
            </w:r>
          </w:p>
        </w:tc>
        <w:tc>
          <w:tcPr>
            <w:tcW w:w="1748" w:type="pct"/>
          </w:tcPr>
          <w:p w:rsidR="00ED2738" w:rsidRPr="000C4E01" w:rsidRDefault="00ED2738" w:rsidP="00AB533B">
            <w:r>
              <w:t>Not applicable</w:t>
            </w:r>
          </w:p>
        </w:tc>
      </w:tr>
    </w:tbl>
    <w:p w:rsidR="00ED2738" w:rsidRDefault="00ED2738" w:rsidP="00E93E7D">
      <w:pPr>
        <w:pStyle w:val="Heading1"/>
      </w:pPr>
      <w:r>
        <w:t xml:space="preserve">Architectural Strategy </w:t>
      </w:r>
      <w:bookmarkEnd w:id="1"/>
      <w:r>
        <w:t>Adherence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
        <w:gridCol w:w="785"/>
        <w:gridCol w:w="4644"/>
        <w:gridCol w:w="3392"/>
      </w:tblGrid>
      <w:tr w:rsidR="00ED2738" w:rsidRPr="002B7E42" w:rsidTr="00166C00">
        <w:trPr>
          <w:cantSplit/>
          <w:tblHeader/>
        </w:trPr>
        <w:tc>
          <w:tcPr>
            <w:tcW w:w="394" w:type="pct"/>
            <w:shd w:val="clear" w:color="auto" w:fill="000000"/>
            <w:vAlign w:val="center"/>
          </w:tcPr>
          <w:p w:rsidR="00ED2738" w:rsidRPr="002B7E42" w:rsidRDefault="00ED2738" w:rsidP="00713790">
            <w:pPr>
              <w:spacing w:before="60" w:after="60"/>
              <w:ind w:left="360"/>
              <w:rPr>
                <w:b/>
              </w:rPr>
            </w:pPr>
            <w:r w:rsidRPr="002B7E42">
              <w:rPr>
                <w:b/>
              </w:rPr>
              <w:t>Id</w:t>
            </w:r>
          </w:p>
        </w:tc>
        <w:tc>
          <w:tcPr>
            <w:tcW w:w="410" w:type="pct"/>
            <w:shd w:val="clear" w:color="auto" w:fill="000000"/>
          </w:tcPr>
          <w:p w:rsidR="00ED2738" w:rsidRPr="002B7E42" w:rsidRDefault="00ED2738" w:rsidP="00713790">
            <w:pPr>
              <w:pStyle w:val="Header"/>
              <w:numPr>
                <w:ilvl w:val="12"/>
                <w:numId w:val="0"/>
              </w:numPr>
              <w:tabs>
                <w:tab w:val="clear" w:pos="4320"/>
                <w:tab w:val="clear" w:pos="8640"/>
              </w:tabs>
              <w:spacing w:before="60" w:after="60"/>
              <w:rPr>
                <w:b/>
              </w:rPr>
            </w:pPr>
            <w:r>
              <w:rPr>
                <w:b/>
              </w:rPr>
              <w:t>Level</w:t>
            </w:r>
          </w:p>
        </w:tc>
        <w:tc>
          <w:tcPr>
            <w:tcW w:w="2425" w:type="pct"/>
            <w:shd w:val="clear" w:color="auto" w:fill="000000"/>
            <w:vAlign w:val="center"/>
          </w:tcPr>
          <w:p w:rsidR="00ED2738" w:rsidRPr="002B7E42" w:rsidRDefault="00ED2738" w:rsidP="00713790">
            <w:pPr>
              <w:pStyle w:val="Header"/>
              <w:numPr>
                <w:ilvl w:val="12"/>
                <w:numId w:val="0"/>
              </w:numPr>
              <w:tabs>
                <w:tab w:val="clear" w:pos="4320"/>
                <w:tab w:val="clear" w:pos="8640"/>
              </w:tabs>
              <w:spacing w:before="60" w:after="60"/>
              <w:rPr>
                <w:b/>
              </w:rPr>
            </w:pPr>
            <w:r w:rsidRPr="002B7E42">
              <w:rPr>
                <w:b/>
              </w:rPr>
              <w:t>Review Item</w:t>
            </w:r>
          </w:p>
        </w:tc>
        <w:tc>
          <w:tcPr>
            <w:tcW w:w="1771" w:type="pct"/>
            <w:shd w:val="clear" w:color="auto" w:fill="000000"/>
            <w:vAlign w:val="center"/>
          </w:tcPr>
          <w:p w:rsidR="00ED2738" w:rsidRPr="002B7E42" w:rsidRDefault="00ED2738" w:rsidP="00713790">
            <w:pPr>
              <w:rPr>
                <w:b/>
              </w:rPr>
            </w:pPr>
            <w:r w:rsidRPr="002B7E42">
              <w:rPr>
                <w:b/>
              </w:rPr>
              <w:t>Comments</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Pr="002B7E42" w:rsidRDefault="00ED2738" w:rsidP="005D5120">
            <w:pPr>
              <w:pStyle w:val="Header"/>
              <w:numPr>
                <w:ilvl w:val="12"/>
                <w:numId w:val="0"/>
              </w:numPr>
              <w:tabs>
                <w:tab w:val="clear" w:pos="4320"/>
                <w:tab w:val="clear" w:pos="8640"/>
              </w:tabs>
              <w:spacing w:before="60" w:after="60"/>
            </w:pPr>
            <w:r>
              <w:t>Logging adheres to the logging strategy defined in the architecture specifications.</w:t>
            </w:r>
          </w:p>
        </w:tc>
        <w:tc>
          <w:tcPr>
            <w:tcW w:w="1771" w:type="pct"/>
          </w:tcPr>
          <w:p w:rsidR="00ED2738" w:rsidRPr="000C4E01" w:rsidRDefault="00ED2738" w:rsidP="00713790">
            <w:r>
              <w:t>Logging done as per Vault standards</w:t>
            </w:r>
          </w:p>
        </w:tc>
      </w:tr>
      <w:tr w:rsidR="00ED2738" w:rsidRPr="002B7E42" w:rsidTr="005D5120">
        <w:trPr>
          <w:cantSplit/>
          <w:trHeight w:val="746"/>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Pr="002B7E42" w:rsidRDefault="00ED2738" w:rsidP="00713790">
            <w:pPr>
              <w:pStyle w:val="Header"/>
              <w:numPr>
                <w:ilvl w:val="12"/>
                <w:numId w:val="0"/>
              </w:numPr>
              <w:tabs>
                <w:tab w:val="clear" w:pos="4320"/>
                <w:tab w:val="clear" w:pos="8640"/>
              </w:tabs>
              <w:spacing w:before="60" w:after="60"/>
            </w:pPr>
            <w:r>
              <w:t>Exception handling adheres to the exception handling strategy defined in the architecture specifications.</w:t>
            </w:r>
          </w:p>
        </w:tc>
        <w:tc>
          <w:tcPr>
            <w:tcW w:w="1771" w:type="pct"/>
          </w:tcPr>
          <w:p w:rsidR="00ED2738" w:rsidRPr="000C4E01" w:rsidRDefault="00ED2738" w:rsidP="00441440">
            <w:r>
              <w:t>Exception Handling done as per Vault standards</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Default="00ED2738" w:rsidP="00713790">
            <w:pPr>
              <w:pStyle w:val="Header"/>
              <w:numPr>
                <w:ilvl w:val="12"/>
                <w:numId w:val="0"/>
              </w:numPr>
              <w:tabs>
                <w:tab w:val="clear" w:pos="4320"/>
                <w:tab w:val="clear" w:pos="8640"/>
              </w:tabs>
              <w:spacing w:before="60" w:after="60"/>
            </w:pPr>
            <w:r w:rsidRPr="00465572">
              <w:t>Integrations adhere to the strategy defined in the architecture specifications</w:t>
            </w:r>
          </w:p>
        </w:tc>
        <w:tc>
          <w:tcPr>
            <w:tcW w:w="1771" w:type="pct"/>
          </w:tcPr>
          <w:p w:rsidR="00ED2738" w:rsidRPr="000C4E01" w:rsidRDefault="00ED2738" w:rsidP="00441440">
            <w:r>
              <w:t>Verified</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Default="00ED2738" w:rsidP="00465572">
            <w:pPr>
              <w:pStyle w:val="Header"/>
              <w:numPr>
                <w:ilvl w:val="12"/>
                <w:numId w:val="0"/>
              </w:numPr>
              <w:tabs>
                <w:tab w:val="clear" w:pos="4320"/>
                <w:tab w:val="clear" w:pos="8640"/>
              </w:tabs>
              <w:spacing w:before="60" w:after="60"/>
            </w:pPr>
            <w:r>
              <w:t>Integrations points are reusable as service</w:t>
            </w:r>
          </w:p>
        </w:tc>
        <w:tc>
          <w:tcPr>
            <w:tcW w:w="1771" w:type="pct"/>
          </w:tcPr>
          <w:p w:rsidR="00ED2738" w:rsidRPr="000C4E01" w:rsidRDefault="00ED2738" w:rsidP="00441440">
            <w:r>
              <w:t>Not applicable</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Default="00ED2738" w:rsidP="00465572">
            <w:pPr>
              <w:pStyle w:val="Header"/>
              <w:numPr>
                <w:ilvl w:val="12"/>
                <w:numId w:val="0"/>
              </w:numPr>
              <w:tabs>
                <w:tab w:val="clear" w:pos="4320"/>
                <w:tab w:val="clear" w:pos="8640"/>
              </w:tabs>
              <w:spacing w:before="60" w:after="60"/>
            </w:pPr>
            <w:r w:rsidRPr="00465572">
              <w:t>If caching is being utilized, it adheres to the caching strategy defined in the architecture specifications.</w:t>
            </w:r>
          </w:p>
        </w:tc>
        <w:tc>
          <w:tcPr>
            <w:tcW w:w="1771" w:type="pct"/>
          </w:tcPr>
          <w:p w:rsidR="00ED2738" w:rsidRPr="000C4E01" w:rsidRDefault="00ED2738" w:rsidP="00441440">
            <w:r>
              <w:t>Not applicable</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844569" w:rsidRDefault="00ED2738">
            <w:pPr>
              <w:rPr>
                <w:b/>
                <w:color w:val="FFFFFF"/>
              </w:rPr>
            </w:pPr>
            <w:r>
              <w:rPr>
                <w:b/>
                <w:color w:val="FFFFFF"/>
              </w:rPr>
              <w:t>N/I</w:t>
            </w:r>
          </w:p>
        </w:tc>
        <w:tc>
          <w:tcPr>
            <w:tcW w:w="2425" w:type="pct"/>
          </w:tcPr>
          <w:p w:rsidR="00ED2738" w:rsidRPr="00465572" w:rsidRDefault="00ED2738" w:rsidP="00465572">
            <w:pPr>
              <w:pStyle w:val="Header"/>
              <w:numPr>
                <w:ilvl w:val="12"/>
                <w:numId w:val="0"/>
              </w:numPr>
              <w:tabs>
                <w:tab w:val="clear" w:pos="4320"/>
                <w:tab w:val="clear" w:pos="8640"/>
              </w:tabs>
              <w:spacing w:before="60" w:after="60"/>
            </w:pPr>
            <w:r>
              <w:t>Security adheres to the architectural specifications.</w:t>
            </w:r>
          </w:p>
        </w:tc>
        <w:tc>
          <w:tcPr>
            <w:tcW w:w="1771" w:type="pct"/>
          </w:tcPr>
          <w:p w:rsidR="00ED2738" w:rsidRPr="000C4E01" w:rsidRDefault="00ED2738" w:rsidP="00441440">
            <w:r>
              <w:t>Not applicable</w:t>
            </w:r>
          </w:p>
        </w:tc>
      </w:tr>
      <w:tr w:rsidR="00ED2738" w:rsidRPr="002B7E42" w:rsidTr="00166C00">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Default="00ED2738">
            <w:r w:rsidRPr="00844569">
              <w:rPr>
                <w:b/>
                <w:color w:val="FFFFFF"/>
              </w:rPr>
              <w:t>N/I</w:t>
            </w:r>
          </w:p>
        </w:tc>
        <w:tc>
          <w:tcPr>
            <w:tcW w:w="2425" w:type="pct"/>
          </w:tcPr>
          <w:p w:rsidR="00ED2738" w:rsidRDefault="00ED2738" w:rsidP="00465572">
            <w:pPr>
              <w:pStyle w:val="Header"/>
              <w:numPr>
                <w:ilvl w:val="12"/>
                <w:numId w:val="0"/>
              </w:numPr>
              <w:tabs>
                <w:tab w:val="clear" w:pos="4320"/>
                <w:tab w:val="clear" w:pos="8640"/>
              </w:tabs>
              <w:spacing w:before="60" w:after="60"/>
            </w:pPr>
            <w:r>
              <w:t>Review use of third party and open source tools:</w:t>
            </w:r>
            <w:r>
              <w:br/>
              <w:t xml:space="preserve">- if any tools have been used that were not specified in the architecture, they must be reviewed for use at Maritz following the </w:t>
            </w:r>
            <w:hyperlink r:id="rId13" w:history="1">
              <w:r w:rsidRPr="004B5B6A">
                <w:rPr>
                  <w:rStyle w:val="Hyperlink"/>
                  <w:rFonts w:cs="Arial"/>
                </w:rPr>
                <w:t>open source policies and review</w:t>
              </w:r>
            </w:hyperlink>
            <w:r>
              <w:t xml:space="preserve"> document.</w:t>
            </w:r>
          </w:p>
        </w:tc>
        <w:tc>
          <w:tcPr>
            <w:tcW w:w="1771" w:type="pct"/>
          </w:tcPr>
          <w:p w:rsidR="00ED2738" w:rsidRPr="000C4E01" w:rsidRDefault="00ED2738" w:rsidP="00713790">
            <w:r>
              <w:t>Not applicable</w:t>
            </w:r>
          </w:p>
        </w:tc>
      </w:tr>
    </w:tbl>
    <w:p w:rsidR="00ED2738" w:rsidRDefault="00ED2738" w:rsidP="002C1041">
      <w:bookmarkStart w:id="2" w:name="_Ref100655870"/>
    </w:p>
    <w:p w:rsidR="00ED2738" w:rsidRDefault="00ED2738" w:rsidP="000A07EB">
      <w:pPr>
        <w:pStyle w:val="Heading1"/>
      </w:pPr>
      <w:r>
        <w:t>Code Review Tools</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
        <w:gridCol w:w="785"/>
        <w:gridCol w:w="4644"/>
        <w:gridCol w:w="3392"/>
      </w:tblGrid>
      <w:tr w:rsidR="00ED2738" w:rsidRPr="002B7E42" w:rsidTr="00FD28FE">
        <w:trPr>
          <w:cantSplit/>
          <w:tblHeader/>
        </w:trPr>
        <w:tc>
          <w:tcPr>
            <w:tcW w:w="394" w:type="pct"/>
            <w:shd w:val="clear" w:color="auto" w:fill="000000"/>
            <w:vAlign w:val="center"/>
          </w:tcPr>
          <w:p w:rsidR="00ED2738" w:rsidRPr="002B7E42" w:rsidRDefault="00ED2738" w:rsidP="00713790">
            <w:pPr>
              <w:spacing w:before="60" w:after="60"/>
              <w:ind w:left="360"/>
              <w:rPr>
                <w:b/>
              </w:rPr>
            </w:pPr>
            <w:r w:rsidRPr="002B7E42">
              <w:rPr>
                <w:b/>
              </w:rPr>
              <w:t>Id</w:t>
            </w:r>
          </w:p>
        </w:tc>
        <w:tc>
          <w:tcPr>
            <w:tcW w:w="410" w:type="pct"/>
            <w:shd w:val="clear" w:color="auto" w:fill="000000"/>
            <w:vAlign w:val="center"/>
          </w:tcPr>
          <w:p w:rsidR="00ED2738" w:rsidRPr="002B7E42" w:rsidRDefault="00ED2738" w:rsidP="00713790">
            <w:pPr>
              <w:pStyle w:val="Header"/>
              <w:numPr>
                <w:ilvl w:val="12"/>
                <w:numId w:val="0"/>
              </w:numPr>
              <w:tabs>
                <w:tab w:val="clear" w:pos="4320"/>
                <w:tab w:val="clear" w:pos="8640"/>
              </w:tabs>
              <w:spacing w:before="60" w:after="60"/>
              <w:rPr>
                <w:b/>
              </w:rPr>
            </w:pPr>
            <w:r>
              <w:rPr>
                <w:b/>
              </w:rPr>
              <w:t>Level</w:t>
            </w:r>
          </w:p>
        </w:tc>
        <w:tc>
          <w:tcPr>
            <w:tcW w:w="2425" w:type="pct"/>
            <w:shd w:val="clear" w:color="auto" w:fill="000000"/>
            <w:vAlign w:val="center"/>
          </w:tcPr>
          <w:p w:rsidR="00ED2738" w:rsidRPr="002B7E42" w:rsidRDefault="00ED2738" w:rsidP="00713790">
            <w:pPr>
              <w:pStyle w:val="Header"/>
              <w:numPr>
                <w:ilvl w:val="12"/>
                <w:numId w:val="0"/>
              </w:numPr>
              <w:tabs>
                <w:tab w:val="clear" w:pos="4320"/>
                <w:tab w:val="clear" w:pos="8640"/>
              </w:tabs>
              <w:spacing w:before="60" w:after="60"/>
              <w:rPr>
                <w:b/>
              </w:rPr>
            </w:pPr>
            <w:r w:rsidRPr="002B7E42">
              <w:rPr>
                <w:b/>
              </w:rPr>
              <w:t>Review Item</w:t>
            </w:r>
          </w:p>
        </w:tc>
        <w:tc>
          <w:tcPr>
            <w:tcW w:w="1771" w:type="pct"/>
            <w:shd w:val="clear" w:color="auto" w:fill="000000"/>
            <w:vAlign w:val="center"/>
          </w:tcPr>
          <w:p w:rsidR="00ED2738" w:rsidRPr="002B7E42" w:rsidRDefault="00ED2738" w:rsidP="00713790">
            <w:pPr>
              <w:rPr>
                <w:b/>
              </w:rPr>
            </w:pPr>
            <w:r w:rsidRPr="002B7E42">
              <w:rPr>
                <w:b/>
              </w:rPr>
              <w:t>Comments</w:t>
            </w:r>
          </w:p>
        </w:tc>
      </w:tr>
      <w:tr w:rsidR="00ED2738" w:rsidRPr="002B7E42" w:rsidTr="00FD28FE">
        <w:trPr>
          <w:cantSplit/>
          <w:tblHeader/>
        </w:trPr>
        <w:tc>
          <w:tcPr>
            <w:tcW w:w="394" w:type="pct"/>
          </w:tcPr>
          <w:p w:rsidR="00ED2738" w:rsidRPr="002B7E42" w:rsidRDefault="00ED2738" w:rsidP="00713790">
            <w:pPr>
              <w:numPr>
                <w:ilvl w:val="0"/>
                <w:numId w:val="3"/>
              </w:numPr>
              <w:spacing w:before="60" w:after="60"/>
            </w:pPr>
          </w:p>
        </w:tc>
        <w:tc>
          <w:tcPr>
            <w:tcW w:w="410" w:type="pct"/>
            <w:shd w:val="clear" w:color="auto" w:fill="008000"/>
          </w:tcPr>
          <w:p w:rsidR="00ED2738" w:rsidRPr="00DA4BC4" w:rsidRDefault="00ED2738" w:rsidP="00441440">
            <w:pPr>
              <w:rPr>
                <w:b/>
                <w:color w:val="FFFFFF"/>
              </w:rPr>
            </w:pPr>
            <w:r w:rsidRPr="00DA4BC4">
              <w:rPr>
                <w:b/>
                <w:color w:val="FFFFFF"/>
              </w:rPr>
              <w:t>N/I</w:t>
            </w:r>
          </w:p>
        </w:tc>
        <w:tc>
          <w:tcPr>
            <w:tcW w:w="2425" w:type="pct"/>
          </w:tcPr>
          <w:p w:rsidR="00ED2738" w:rsidRPr="009B70DC" w:rsidRDefault="00ED2738" w:rsidP="00713790">
            <w:pPr>
              <w:pStyle w:val="Header"/>
              <w:numPr>
                <w:ilvl w:val="12"/>
                <w:numId w:val="0"/>
              </w:numPr>
              <w:tabs>
                <w:tab w:val="clear" w:pos="4320"/>
                <w:tab w:val="clear" w:pos="8640"/>
              </w:tabs>
              <w:spacing w:before="60" w:after="60"/>
            </w:pPr>
            <w:r>
              <w:t>Code Analysis from Visual Studio has been collected and all critical, high, and medium alerts have been remediated.</w:t>
            </w:r>
          </w:p>
        </w:tc>
        <w:tc>
          <w:tcPr>
            <w:tcW w:w="1771" w:type="pct"/>
          </w:tcPr>
          <w:p w:rsidR="00ED2738" w:rsidRDefault="00ED2738" w:rsidP="001B0AB7"/>
          <w:p w:rsidR="00ED2738" w:rsidRPr="000C4E01" w:rsidRDefault="00ED2738" w:rsidP="001B0AB7">
            <w:r>
              <w:t>In progress</w:t>
            </w:r>
          </w:p>
        </w:tc>
      </w:tr>
    </w:tbl>
    <w:p w:rsidR="00ED2738" w:rsidRDefault="00ED2738" w:rsidP="000A07EB"/>
    <w:p w:rsidR="00ED2738" w:rsidRDefault="00ED2738" w:rsidP="000A07EB"/>
    <w:p w:rsidR="00ED2738" w:rsidRPr="00C1571F" w:rsidRDefault="00ED2738" w:rsidP="000A07EB"/>
    <w:p w:rsidR="00ED2738" w:rsidRDefault="00ED2738" w:rsidP="0082466B">
      <w:pPr>
        <w:pStyle w:val="Heading1"/>
      </w:pPr>
      <w:bookmarkStart w:id="3" w:name="_Ref100655874"/>
      <w:r>
        <w:t>PCI Analysis</w:t>
      </w:r>
      <w:bookmarkEnd w:id="3"/>
    </w:p>
    <w:p w:rsidR="00ED2738" w:rsidRDefault="00ED2738" w:rsidP="0082466B">
      <w:r>
        <w:t xml:space="preserve">PCI Requirement #6 states “Develop and maintain secure systems and application.”  For custom developed applications, numerous vulnerabilities can be avoided by using standard system development processes and secure coding techniques.  Below is a list of common coding vulnerabilities present in web based applications (taken from the </w:t>
      </w:r>
      <w:hyperlink r:id="rId14" w:history="1">
        <w:r w:rsidRPr="00D20F47">
          <w:rPr>
            <w:rStyle w:val="Hyperlink"/>
            <w:rFonts w:cs="Arial"/>
          </w:rPr>
          <w:t>OWASP Top 10 2007</w:t>
        </w:r>
      </w:hyperlink>
      <w:r>
        <w:t>).  Appendix A lists the details associated with this PCI Analysis section.</w:t>
      </w:r>
    </w:p>
    <w:p w:rsidR="00ED2738" w:rsidRPr="0082466B" w:rsidRDefault="00ED2738" w:rsidP="008246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
        <w:gridCol w:w="783"/>
        <w:gridCol w:w="5410"/>
        <w:gridCol w:w="2628"/>
      </w:tblGrid>
      <w:tr w:rsidR="00ED2738" w:rsidRPr="002B7E42" w:rsidTr="00D20F47">
        <w:trPr>
          <w:cantSplit/>
          <w:tblHeader/>
        </w:trPr>
        <w:tc>
          <w:tcPr>
            <w:tcW w:w="394" w:type="pct"/>
            <w:shd w:val="clear" w:color="auto" w:fill="000000"/>
            <w:vAlign w:val="center"/>
          </w:tcPr>
          <w:p w:rsidR="00ED2738" w:rsidRPr="002B7E42" w:rsidRDefault="00ED2738" w:rsidP="00713790">
            <w:pPr>
              <w:spacing w:before="60" w:after="60"/>
              <w:ind w:left="360"/>
              <w:rPr>
                <w:b/>
              </w:rPr>
            </w:pPr>
            <w:r w:rsidRPr="002B7E42">
              <w:rPr>
                <w:b/>
              </w:rPr>
              <w:t>Id</w:t>
            </w:r>
          </w:p>
        </w:tc>
        <w:tc>
          <w:tcPr>
            <w:tcW w:w="409" w:type="pct"/>
            <w:shd w:val="clear" w:color="auto" w:fill="000000"/>
            <w:vAlign w:val="center"/>
          </w:tcPr>
          <w:p w:rsidR="00ED2738" w:rsidRPr="002B7E42" w:rsidRDefault="00ED2738" w:rsidP="00713790">
            <w:pPr>
              <w:pStyle w:val="Header"/>
              <w:numPr>
                <w:ilvl w:val="12"/>
                <w:numId w:val="0"/>
              </w:numPr>
              <w:tabs>
                <w:tab w:val="clear" w:pos="4320"/>
                <w:tab w:val="clear" w:pos="8640"/>
              </w:tabs>
              <w:spacing w:before="60" w:after="60"/>
              <w:rPr>
                <w:b/>
              </w:rPr>
            </w:pPr>
            <w:r>
              <w:rPr>
                <w:b/>
              </w:rPr>
              <w:t>Level</w:t>
            </w:r>
          </w:p>
        </w:tc>
        <w:tc>
          <w:tcPr>
            <w:tcW w:w="2825" w:type="pct"/>
            <w:shd w:val="clear" w:color="auto" w:fill="000000"/>
            <w:vAlign w:val="center"/>
          </w:tcPr>
          <w:p w:rsidR="00ED2738" w:rsidRPr="002B7E42" w:rsidRDefault="00ED2738" w:rsidP="00713790">
            <w:pPr>
              <w:pStyle w:val="Header"/>
              <w:numPr>
                <w:ilvl w:val="12"/>
                <w:numId w:val="0"/>
              </w:numPr>
              <w:tabs>
                <w:tab w:val="clear" w:pos="4320"/>
                <w:tab w:val="clear" w:pos="8640"/>
              </w:tabs>
              <w:spacing w:before="60" w:after="60"/>
              <w:rPr>
                <w:b/>
              </w:rPr>
            </w:pPr>
            <w:r w:rsidRPr="002B7E42">
              <w:rPr>
                <w:b/>
              </w:rPr>
              <w:t>Review Item</w:t>
            </w:r>
          </w:p>
        </w:tc>
        <w:tc>
          <w:tcPr>
            <w:tcW w:w="1372" w:type="pct"/>
            <w:shd w:val="clear" w:color="auto" w:fill="000000"/>
            <w:vAlign w:val="center"/>
          </w:tcPr>
          <w:p w:rsidR="00ED2738" w:rsidRPr="002B7E42" w:rsidRDefault="00ED2738" w:rsidP="00713790">
            <w:pPr>
              <w:rPr>
                <w:b/>
              </w:rPr>
            </w:pPr>
            <w:r w:rsidRPr="002B7E42">
              <w:rPr>
                <w:b/>
              </w:rPr>
              <w:t>Comments</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A1 – Cross Site Scripting (XSS)</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XSS flaws occur whenever an application takes user supplied data and sends it to a web browser without first validating or encoding that content. XSS allows attackers to execute script in the victim's browser which can hijack user sessions, deface web sites, possibly introduce worms, etc.</w:t>
            </w:r>
          </w:p>
        </w:tc>
        <w:tc>
          <w:tcPr>
            <w:tcW w:w="1372" w:type="pct"/>
          </w:tcPr>
          <w:p w:rsidR="00ED2738" w:rsidRPr="000C4E01" w:rsidRDefault="00ED2738" w:rsidP="00713790">
            <w:r>
              <w:t>Verified and used Server.HTMLEncode for textbox inputs</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A2 – Injection Flaws</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c>
          <w:tcPr>
            <w:tcW w:w="1372" w:type="pct"/>
          </w:tcPr>
          <w:p w:rsidR="00ED2738" w:rsidRPr="000C4E01" w:rsidRDefault="00ED2738" w:rsidP="002D71D8">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A3 – Malicious File Execution</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Code vulnerable to remote file inclusion (RFI) allows attackers to include hostile code and data, resulting in devastating attacks, such as total server compromise. Malicious file execution attacks affect PHP, XML and any framework which accepts filenames or files from users.</w:t>
            </w:r>
          </w:p>
        </w:tc>
        <w:tc>
          <w:tcPr>
            <w:tcW w:w="1372" w:type="pct"/>
          </w:tcPr>
          <w:p w:rsidR="00ED2738" w:rsidRPr="000C4E01" w:rsidRDefault="00ED2738" w:rsidP="00713790">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A4 – Insecure Direct Object Reference</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c>
          <w:tcPr>
            <w:tcW w:w="1372" w:type="pct"/>
          </w:tcPr>
          <w:p w:rsidR="00ED2738" w:rsidRPr="000C4E01" w:rsidRDefault="00ED2738" w:rsidP="00EC667A">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A5 – Cross Site Request Forgery (CSRF)</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A CSRF attack forces a logged-on victim's browser to send a pre-authenticated request to a vulnerable web application, which then forces the victim's browser to perform a hostile action to the benefit of the attacker. CSRF can be as powerful as the web application that it attacks.</w:t>
            </w:r>
          </w:p>
        </w:tc>
        <w:tc>
          <w:tcPr>
            <w:tcW w:w="1372" w:type="pct"/>
          </w:tcPr>
          <w:p w:rsidR="00ED2738" w:rsidRPr="000C4E01" w:rsidRDefault="00ED2738" w:rsidP="00713790">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 xml:space="preserve">A6 – Information Leakage and Improper Error Handling </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Applications can unintentionally leak information about their configuration, internal workings, or violate privacy through a variety of application problems. Attackers use this weakness to steal sensitive data, or conduct more serious attacks.</w:t>
            </w:r>
          </w:p>
        </w:tc>
        <w:tc>
          <w:tcPr>
            <w:tcW w:w="1372" w:type="pct"/>
          </w:tcPr>
          <w:p w:rsidR="00ED2738" w:rsidRPr="000C4E01" w:rsidRDefault="00ED2738" w:rsidP="00713790">
            <w:r>
              <w:t>Error Handling done as per Vault standards</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A7 – Broken Authentication and Session Management</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Account credentials and session tokens are often not properly protected. Attackers compromise passwords, keys, or authentication tokens to assume other users' identities.</w:t>
            </w:r>
          </w:p>
        </w:tc>
        <w:tc>
          <w:tcPr>
            <w:tcW w:w="1372" w:type="pct"/>
          </w:tcPr>
          <w:p w:rsidR="00ED2738" w:rsidRPr="000C4E01" w:rsidRDefault="00ED2738" w:rsidP="00713790">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A8 – Insecure Cryptographic Storage</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Web applications rarely use cryptographic functions properly to protect data and credentials. Attackers use weakly protected data to conduct identity theft and other crimes, such as credit card fraud.</w:t>
            </w:r>
          </w:p>
        </w:tc>
        <w:tc>
          <w:tcPr>
            <w:tcW w:w="1372" w:type="pct"/>
          </w:tcPr>
          <w:p w:rsidR="00ED2738" w:rsidRPr="000C4E01" w:rsidRDefault="00ED2738" w:rsidP="00713790">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A9 – Insecure Communications</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Applications frequently fail to encrypt network traffic when it is necessary to protect sensitive communications.</w:t>
            </w:r>
          </w:p>
        </w:tc>
        <w:tc>
          <w:tcPr>
            <w:tcW w:w="1372" w:type="pct"/>
          </w:tcPr>
          <w:p w:rsidR="00ED2738" w:rsidRPr="000C4E01" w:rsidRDefault="00ED2738" w:rsidP="00EC667A">
            <w:r>
              <w:t>Not applicable</w:t>
            </w:r>
          </w:p>
        </w:tc>
      </w:tr>
      <w:tr w:rsidR="00ED2738" w:rsidRPr="002B7E42" w:rsidTr="00D20F47">
        <w:trPr>
          <w:cantSplit/>
          <w:tblHeader/>
        </w:trPr>
        <w:tc>
          <w:tcPr>
            <w:tcW w:w="394" w:type="pct"/>
          </w:tcPr>
          <w:p w:rsidR="00ED2738" w:rsidRPr="002B7E42" w:rsidRDefault="00ED2738" w:rsidP="00713790">
            <w:pPr>
              <w:numPr>
                <w:ilvl w:val="0"/>
                <w:numId w:val="3"/>
              </w:numPr>
              <w:spacing w:before="60" w:after="60"/>
            </w:pPr>
          </w:p>
        </w:tc>
        <w:tc>
          <w:tcPr>
            <w:tcW w:w="409" w:type="pct"/>
            <w:shd w:val="clear" w:color="auto" w:fill="008000"/>
          </w:tcPr>
          <w:p w:rsidR="00ED2738" w:rsidRDefault="00ED2738">
            <w:r w:rsidRPr="00ED3932">
              <w:rPr>
                <w:b/>
                <w:color w:val="FFFFFF"/>
              </w:rPr>
              <w:t>N/I</w:t>
            </w:r>
          </w:p>
        </w:tc>
        <w:tc>
          <w:tcPr>
            <w:tcW w:w="2825" w:type="pct"/>
          </w:tcPr>
          <w:p w:rsidR="00ED2738" w:rsidRDefault="00ED2738" w:rsidP="00713790">
            <w:pPr>
              <w:pStyle w:val="Header"/>
              <w:numPr>
                <w:ilvl w:val="12"/>
                <w:numId w:val="0"/>
              </w:numPr>
              <w:tabs>
                <w:tab w:val="clear" w:pos="4320"/>
                <w:tab w:val="clear" w:pos="8640"/>
              </w:tabs>
              <w:spacing w:before="60" w:after="60"/>
            </w:pPr>
            <w:r>
              <w:t>A10 – Failure to Restrict URL Access</w:t>
            </w:r>
          </w:p>
          <w:p w:rsidR="00ED2738" w:rsidRPr="00D20F47" w:rsidRDefault="00ED2738" w:rsidP="00713790">
            <w:pPr>
              <w:pStyle w:val="Header"/>
              <w:numPr>
                <w:ilvl w:val="12"/>
                <w:numId w:val="0"/>
              </w:numPr>
              <w:tabs>
                <w:tab w:val="clear" w:pos="4320"/>
                <w:tab w:val="clear" w:pos="8640"/>
              </w:tabs>
              <w:spacing w:before="60" w:after="60"/>
              <w:rPr>
                <w:sz w:val="16"/>
                <w:szCs w:val="16"/>
              </w:rPr>
            </w:pPr>
            <w:r w:rsidRPr="00D20F47">
              <w:rPr>
                <w:color w:val="000000"/>
                <w:sz w:val="16"/>
                <w:szCs w:val="16"/>
              </w:rPr>
              <w:t>Frequently, an application only protects sensitive functionality by preventing the display of links or URLs to unauthorized users. Attackers can use this weakness to access and perform unauthorized operations by accessing those URLs directly.</w:t>
            </w:r>
          </w:p>
        </w:tc>
        <w:tc>
          <w:tcPr>
            <w:tcW w:w="1372" w:type="pct"/>
          </w:tcPr>
          <w:p w:rsidR="00ED2738" w:rsidRPr="000C4E01" w:rsidRDefault="00ED2738" w:rsidP="00EC667A">
            <w:r>
              <w:t>Not applicable</w:t>
            </w:r>
          </w:p>
        </w:tc>
      </w:tr>
    </w:tbl>
    <w:p w:rsidR="00ED2738" w:rsidRDefault="00ED2738" w:rsidP="0082466B"/>
    <w:p w:rsidR="00ED2738" w:rsidRDefault="00ED2738" w:rsidP="00174849">
      <w:pPr>
        <w:pStyle w:val="Heading1"/>
      </w:pPr>
      <w:r>
        <w:t>File Details</w:t>
      </w:r>
    </w:p>
    <w:p w:rsidR="00ED2738" w:rsidRDefault="00ED2738" w:rsidP="00174849">
      <w:r>
        <w:t>The following comments by file are intended to help identify patterns of coding issues and help with specific problems.  It is not necessarily comprehensive coverage of all files, but should contain detailed comments about representative issues.</w:t>
      </w:r>
    </w:p>
    <w:p w:rsidR="00ED2738" w:rsidRDefault="00ED2738" w:rsidP="00174849"/>
    <w:p w:rsidR="00ED2738" w:rsidRDefault="00ED2738" w:rsidP="00910B6E">
      <w:r w:rsidRPr="00910B6E">
        <w:rPr>
          <w:b/>
        </w:rPr>
        <w:t>General Notes</w:t>
      </w:r>
      <w:r>
        <w:t xml:space="preserve"> – </w:t>
      </w:r>
    </w:p>
    <w:p w:rsidR="00ED2738" w:rsidRDefault="00ED2738" w:rsidP="00E7792B">
      <w:pPr>
        <w:numPr>
          <w:ilvl w:val="0"/>
          <w:numId w:val="14"/>
        </w:numPr>
      </w:pPr>
      <w:r>
        <w:t>Below is the list of modified objects as a part of Gift Portal project</w:t>
      </w:r>
    </w:p>
    <w:p w:rsidR="00ED2738" w:rsidRDefault="00ED2738" w:rsidP="00F31F6F">
      <w:pPr>
        <w:ind w:left="720"/>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DDL and Data:</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$/MLM_Suntrust/SunTrust/Database/Dev/4.0.3/Database/DDL/SunTrust_GiftPortal_DDL.sql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$/MLM_Suntrust/SunTrust/Database/Dev/4.0.3/Database/DDL/SunTrust_GiftPortal_DDL_Rollback.sql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$/MLM_Suntrust/SunTrust/Database/Dev/4.0.3/Database/Data Scripts/SunTrust_GiftPortal_Data.sql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$/MLM_Suntrust/SunTrust/Database/Dev/4.0.3/Database/Data Scripts/SunTrust_GiftPortal_Data_Rollback.sql</w:t>
      </w:r>
    </w:p>
    <w:p w:rsidR="00ED2738" w:rsidRPr="00377ECF" w:rsidRDefault="00ED2738" w:rsidP="00377ECF">
      <w:pPr>
        <w:rPr>
          <w:rFonts w:ascii="Calibri" w:hAnsi="Calibri"/>
          <w:color w:val="800000"/>
          <w:sz w:val="22"/>
          <w:szCs w:val="22"/>
        </w:rPr>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Stored Procedures: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$/MLM_Suntrust/SunTrust/Database/Dev/4.0.3/Database/Sprocs/Vault.SaveNewGiftCode.sql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$/MLM_Suntrust/SunTrust/Database/Dev/4.0.3/Database/Sprocs/Vault.SaveExistingGiftCode.sql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$/MLM_Suntrust/SunTrust/Database/Dev/4.0.3/Database/Sprocs/Vault.DeleteGiftCode.sql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$/MLM_Suntrust/SunTrust/Database/Dev/4.0.3/Database/Sprocs/Vault.GetCustomerGiftCodeByGiftCode.sql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$/MLM_Suntrust/SunTrust/Database/Dev/4.0.3/Database/Sprocs/Vault.GetCustomerGiftCodeListByGiftCode.sql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$/MLM_Suntrust/SunTrust/Database/Dev/4.0.3/Database/Sprocs/Vault.GetCustomerGiftCodeListByExternalAccount.sql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$/MLM_Suntrust/SunTrust/Database/Dev/4.0.3/Database/Sprocs/Vault.GetCustomerGiftCodesAll.sql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$/MLM_Suntrust/SunTrust/Database/Dev/4.0.3/Database/Sprocs/Vault.GetCustomerByGiftCode.sql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$/MLM_Suntrust/SunTrust/Database/Dev/4.0.3/Database/Sprocs/Vault.GetAwardGiftCodeListBySegmentValueCode.sql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$/MLM_Suntrust/SunTrust/Database/Dev/4.0.3/Database/Sprocs/Vault.GetCustomerGiftCodeListByLastFirstPostal.sql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$/MLM_Suntrust/SunTrust/Database/Dev/4.0.3/Database/Sprocs/Vault.GetCustomerGiftCodeListByPhoneNumber.sql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$/MLM_Suntrust/SunTrust/Database/Dev/4.0.3/Database/Sprocs/Vault.Unload_ZustekHourlyEvent5.sql</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$/MLM_Suntrust/SunTrust/Database/Dev/4.0.3/Database/Sprocs/Vault.Unload_ZustekHourlyEvent6.sql</w:t>
      </w:r>
    </w:p>
    <w:p w:rsidR="00ED2738"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$/MLM_Suntrust/SunTrust/Database/Dev/4.0.3/Database/Sprocs/Vault.Batch_EventDrivenEMailCampaignUnload.sql</w:t>
      </w:r>
    </w:p>
    <w:p w:rsidR="00ED2738" w:rsidRDefault="00ED2738" w:rsidP="00377ECF">
      <w:pPr>
        <w:rPr>
          <w:rFonts w:ascii="Calibri" w:hAnsi="Calibri"/>
          <w:color w:val="800000"/>
          <w:sz w:val="22"/>
          <w:szCs w:val="22"/>
        </w:rPr>
      </w:pPr>
    </w:p>
    <w:p w:rsidR="00ED2738" w:rsidRPr="00CA6166" w:rsidRDefault="00ED2738" w:rsidP="00377ECF">
      <w:pPr>
        <w:rPr>
          <w:rFonts w:ascii="Calibri" w:hAnsi="Calibri"/>
          <w:color w:val="800000"/>
          <w:sz w:val="22"/>
          <w:szCs w:val="22"/>
          <w:u w:val="single"/>
        </w:rPr>
      </w:pPr>
      <w:r w:rsidRPr="00CA6166">
        <w:rPr>
          <w:rFonts w:ascii="Calibri" w:hAnsi="Calibri"/>
          <w:color w:val="800000"/>
          <w:sz w:val="22"/>
          <w:szCs w:val="22"/>
          <w:u w:val="single"/>
        </w:rPr>
        <w:t>Batch processing:</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$/MLM_Suntrust/SunTrust/Database/Dev/4.0.3/Database/Sprocs/Vault.GetCustomerGiftCodeByGiftCode.sql</w:t>
      </w:r>
    </w:p>
    <w:p w:rsidR="00ED2738" w:rsidRPr="00BF5FDF" w:rsidRDefault="00ED2738" w:rsidP="00DC72FE">
      <w:pPr>
        <w:rPr>
          <w:rFonts w:ascii="Calibri" w:hAnsi="Calibri"/>
          <w:color w:val="800000"/>
          <w:sz w:val="22"/>
          <w:szCs w:val="22"/>
        </w:rPr>
      </w:pPr>
      <w:r w:rsidRPr="00BF5FDF">
        <w:rPr>
          <w:rFonts w:ascii="Calibri" w:hAnsi="Calibri"/>
          <w:color w:val="800000"/>
          <w:sz w:val="22"/>
          <w:szCs w:val="22"/>
        </w:rPr>
        <w:t>$/MLM_Suntrust/SunTrust/Database/Dev/4.0.3/Database/Sprocs/Vault.SaveExistingGiftCode.sql</w:t>
      </w:r>
    </w:p>
    <w:p w:rsidR="00ED2738" w:rsidRPr="00BF5FDF" w:rsidRDefault="00ED2738" w:rsidP="00DC72FE">
      <w:pPr>
        <w:rPr>
          <w:rFonts w:ascii="Calibri" w:hAnsi="Calibri"/>
          <w:color w:val="800000"/>
          <w:sz w:val="22"/>
          <w:szCs w:val="22"/>
        </w:rPr>
      </w:pPr>
      <w:r w:rsidRPr="00BF5FDF">
        <w:rPr>
          <w:rFonts w:ascii="Calibri" w:hAnsi="Calibri"/>
          <w:color w:val="800000"/>
          <w:sz w:val="22"/>
          <w:szCs w:val="22"/>
        </w:rPr>
        <w:t>$/MLM_Suntrust/SunTrust/Database/Dev/4.0.3/Database/Sprocs/Vault.GetCustomerGiftCodeListByGiftCode.sql</w:t>
      </w:r>
    </w:p>
    <w:p w:rsidR="00ED2738" w:rsidRPr="00BF5FDF" w:rsidRDefault="00ED2738" w:rsidP="00DC72FE">
      <w:pPr>
        <w:rPr>
          <w:rFonts w:ascii="Calibri" w:hAnsi="Calibri"/>
          <w:color w:val="800000"/>
          <w:sz w:val="22"/>
          <w:szCs w:val="22"/>
        </w:rPr>
      </w:pPr>
      <w:r w:rsidRPr="00BF5FDF">
        <w:rPr>
          <w:rFonts w:ascii="Calibri" w:hAnsi="Calibri"/>
          <w:color w:val="800000"/>
          <w:sz w:val="22"/>
          <w:szCs w:val="22"/>
        </w:rPr>
        <w:t>$/MLM_Suntrust/SunTrust/Database/Dev/4.0.3/Database/Sprocs/Vault.LoginGiftCodeUser.sql</w:t>
      </w:r>
    </w:p>
    <w:p w:rsidR="00ED2738" w:rsidRPr="00BF5FDF" w:rsidRDefault="00ED2738" w:rsidP="00DC72FE">
      <w:pPr>
        <w:rPr>
          <w:rFonts w:ascii="Calibri" w:hAnsi="Calibri"/>
          <w:color w:val="800000"/>
          <w:sz w:val="22"/>
          <w:szCs w:val="22"/>
        </w:rPr>
      </w:pPr>
      <w:r w:rsidRPr="00BF5FDF">
        <w:rPr>
          <w:rFonts w:ascii="Calibri" w:hAnsi="Calibri"/>
          <w:color w:val="800000"/>
          <w:sz w:val="22"/>
          <w:szCs w:val="22"/>
        </w:rPr>
        <w:t>$/MLM_Suntrust/SunTrust/Database/Dev/4.0.3/Database/Sprocs/Vault.LoginGiftCodeUserGetCustomerInfo.sql</w:t>
      </w:r>
    </w:p>
    <w:p w:rsidR="00ED2738" w:rsidRPr="00BF5FDF" w:rsidRDefault="00ED2738" w:rsidP="00DC72FE">
      <w:pPr>
        <w:rPr>
          <w:rFonts w:ascii="Calibri" w:hAnsi="Calibri"/>
          <w:color w:val="800000"/>
          <w:sz w:val="22"/>
          <w:szCs w:val="22"/>
        </w:rPr>
      </w:pPr>
      <w:r w:rsidRPr="00BF5FDF">
        <w:rPr>
          <w:rFonts w:ascii="Calibri" w:hAnsi="Calibri"/>
          <w:color w:val="800000"/>
          <w:sz w:val="22"/>
          <w:szCs w:val="22"/>
        </w:rPr>
        <w:t>$/MLM_Suntrust/SunTrust/Database/Dev/4.0.3/Database/Sprocs/Vault.FetchAccountSegmentHistoryTAIntervalDates.sql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$/MLM_Suntrust/SunTrust/Database/Dev/4.0.3/Database/Sprocs/Vault.Batch_GiftPortalCCGUnload_Job.sql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$/MLM_Suntrust/SunTrust/Database/Dev/4.0.3/Database/Sprocs/CmpMgr.GenerateOfferCodesForGiftPortal.sql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$/MLM_Suntrust/SunTrust/Database/Dev/4.0.3/Database/Sprocs/CmpMgr.GenerateOneGiftPortalSegmentTA.sql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$/MLM_Suntrust/SunTrust/Database/Dev/4.0.3/Database/Sprocs/CmpMgr.QualificationAllTargetQualifyGP.sql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$/MLM_Suntrust/SunTrust/Database/Dev/4.0.3/Database/Sprocs/Vault.Batch_ProcessGiftPortalEnrollment_RunDate.sql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$/MLM_Suntrust/SunTrust/Database/Dev/4.0.3/Database/Sprocs/Vault.Batch_Select_GiftPortalRedeemCodeFile.sql</w:t>
      </w:r>
    </w:p>
    <w:p w:rsidR="00ED2738" w:rsidRPr="00BF5FDF" w:rsidRDefault="00ED2738" w:rsidP="00377ECF">
      <w:pPr>
        <w:rPr>
          <w:rFonts w:ascii="Calibri" w:hAnsi="Calibri"/>
          <w:color w:val="800000"/>
          <w:sz w:val="22"/>
          <w:szCs w:val="22"/>
        </w:rPr>
      </w:pPr>
      <w:r w:rsidRPr="00BF5FDF">
        <w:rPr>
          <w:rFonts w:ascii="Calibri" w:hAnsi="Calibri"/>
          <w:color w:val="800000"/>
          <w:sz w:val="22"/>
          <w:szCs w:val="22"/>
        </w:rPr>
        <w:t>$/MLM_Suntrust/SunTrust/Database/Dev/4.0.3/Database/Sprocs/Vault.Batch_Unload_GiftPortalRedeemCodeFile.sql</w:t>
      </w:r>
    </w:p>
    <w:p w:rsidR="00ED2738" w:rsidRPr="00377ECF" w:rsidRDefault="00ED2738" w:rsidP="00377ECF">
      <w:pPr>
        <w:rPr>
          <w:rFonts w:ascii="Calibri" w:hAnsi="Calibri"/>
          <w:color w:val="800000"/>
          <w:sz w:val="22"/>
          <w:szCs w:val="22"/>
        </w:rPr>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Triggers: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$/MLM_Suntrust/SunTrust/Database/Dev/4.0.3/Database/Triggers/Vault.trgManageAccountSegmentDeletes.sql</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$/MLM_Suntrust/SunTrust/Database/Dev/4.0.3/Database/Triggers/Vault.trgManageAccountSegments.sql</w:t>
      </w:r>
    </w:p>
    <w:p w:rsidR="00ED2738" w:rsidRPr="00377ECF" w:rsidRDefault="00ED2738" w:rsidP="00377ECF">
      <w:pPr>
        <w:rPr>
          <w:rFonts w:ascii="Calibri" w:hAnsi="Calibri"/>
          <w:color w:val="800000"/>
          <w:sz w:val="22"/>
          <w:szCs w:val="22"/>
        </w:rPr>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Business Objects: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$/MLM_Suntrust/SunTrust/Web/Dev/4.0.3/Business/Membership/Customer.cs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$/MLM_Suntrust/SunTrust/Web/Dev/4.0.3/Business/Membership/Customers.cs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$/MLM_Suntrust/SunTrust/Web/Dev/4.0.3/Business/Membership/Factory.cs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$/MLM_Suntrust/SunTrust/Web/Dev/4.0.3/Business/Membership/GiftCode.cs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$/MLM_Suntrust/SunTrust/Web/Dev/4.0.3/Business/Membership/GiftCodes.cs</w:t>
      </w:r>
    </w:p>
    <w:p w:rsidR="00ED2738" w:rsidRDefault="00ED2738" w:rsidP="00377ECF">
      <w:pPr>
        <w:rPr>
          <w:rFonts w:ascii="Calibri" w:hAnsi="Calibri"/>
          <w:color w:val="800000"/>
          <w:sz w:val="22"/>
          <w:szCs w:val="22"/>
        </w:rPr>
      </w:pPr>
      <w:r w:rsidRPr="00377ECF">
        <w:rPr>
          <w:rFonts w:ascii="Calibri" w:hAnsi="Calibri"/>
          <w:color w:val="800000"/>
          <w:sz w:val="22"/>
          <w:szCs w:val="22"/>
        </w:rPr>
        <w:t>$/MLM_Suntrust/SunTrust/Web/Dev/4.0.3/Business/TOOLKIT/EnumHelper.cs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$/MLM_Suntrust/SunTrust/Web/Dev/4.0.3/Business/Commerce/Catalog/Rewards.cs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$/MLM_Suntrust/SunTrust/Web/Dev/4.0.3/Business/Commerce/Order.cs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$/MLM_Suntrust/SunTrust/Web/Dev/4.0.3/Business/Membership/Account.cs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$/MLM_Suntrust/SunTrust/Web/Dev/4.0.3/Business/Membership/Customer.cs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$/MLM_Suntrust/SunTrust/Web/Dev/4.0.3/Business/Membership/Customers.cs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$/MLM_Suntrust/SunTrust/Web/Dev/4.0.3/Business/Membership/GiftCode.cs</w:t>
      </w:r>
    </w:p>
    <w:p w:rsidR="00ED2738" w:rsidRPr="00377ECF" w:rsidRDefault="00ED2738" w:rsidP="00377ECF">
      <w:pPr>
        <w:rPr>
          <w:rFonts w:ascii="Calibri" w:hAnsi="Calibri"/>
          <w:color w:val="800000"/>
          <w:sz w:val="22"/>
          <w:szCs w:val="22"/>
        </w:rPr>
      </w:pPr>
    </w:p>
    <w:p w:rsidR="00ED2738"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Call Center:</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$/MLM_Suntrust/SunTrust/Web/Dev/4.0.3/Inetpub/wwwroot/SunTrustCallCenter/Javascript/FormValidation.js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$/MLM_Suntrust/SunTrust/Web/Dev/4.0.3/Inetpub/wwwroot/SunTrustCallCenter/UserControls/DeclineGift.ascx</w:t>
      </w:r>
    </w:p>
    <w:p w:rsidR="00ED2738" w:rsidRDefault="00ED2738" w:rsidP="00377ECF">
      <w:pPr>
        <w:rPr>
          <w:rFonts w:ascii="Calibri" w:hAnsi="Calibri"/>
          <w:color w:val="800000"/>
          <w:sz w:val="22"/>
          <w:szCs w:val="22"/>
        </w:rPr>
      </w:pPr>
      <w:r w:rsidRPr="00377ECF">
        <w:rPr>
          <w:rFonts w:ascii="Calibri" w:hAnsi="Calibri"/>
          <w:color w:val="800000"/>
          <w:sz w:val="22"/>
          <w:szCs w:val="22"/>
        </w:rPr>
        <w:t>$/MLM_Suntrust/SunTrust/Web/Dev/4.0.3/Inetpub/wwwroot/SunTrustCallCenter/UserControls/DeclineGift.ascx.cs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$/MLM_Suntrust/SunTrust/Web/Dev/4.0.3/Inetpub/wwwroot/SunTrustCallCenter/UserControls/SideMenu.ascx.cs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$/MLM_Suntrust/SunTrust/Web/Dev/4.0.3/Inetpub/wwwroot/SunTrustCallCenter/UserControls/TopBar.ascx</w:t>
      </w:r>
    </w:p>
    <w:p w:rsidR="00ED2738" w:rsidRDefault="00ED2738" w:rsidP="00377ECF">
      <w:pPr>
        <w:rPr>
          <w:rFonts w:ascii="Calibri" w:hAnsi="Calibri"/>
          <w:color w:val="800000"/>
          <w:sz w:val="22"/>
          <w:szCs w:val="22"/>
        </w:rPr>
      </w:pPr>
      <w:r w:rsidRPr="00A90DF8">
        <w:rPr>
          <w:rFonts w:ascii="Calibri" w:hAnsi="Calibri"/>
          <w:color w:val="800000"/>
          <w:sz w:val="22"/>
          <w:szCs w:val="22"/>
        </w:rPr>
        <w:t>$/MLM_Suntrust/SunTrust/Web/Dev/4.0.3/Inetpub/wwwroot/SunTrustCallCenter/UserControls/TopBar.ascx.c</w:t>
      </w:r>
      <w:r>
        <w:rPr>
          <w:rFonts w:ascii="Calibri" w:hAnsi="Calibri"/>
          <w:color w:val="800000"/>
          <w:sz w:val="22"/>
          <w:szCs w:val="22"/>
        </w:rPr>
        <w:t>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$/MLM_Suntrust/SunTrust/Web/Dev/4.0.3/Inetpub/wwwroot/SunTrustCallCenter/basePage.cs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$/MLM_Suntrust/SunTrust/Web/Dev/4.0.3/Inetpub/wwwroot/SunTrustCallCenter/CommonUtility.cs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$/MLM_Suntrust/SunTrust/Web/Dev/4.0.3/Inetpub/wwwroot/SunTrustCallCenter/Global.asax.cs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$/MLM_Suntrust/SunTrust/Web/Dev/4.0.3/Inetpub/wwwroot/SunTrustCallCenter/Search.aspx</w:t>
      </w:r>
    </w:p>
    <w:p w:rsidR="00ED2738" w:rsidRDefault="00ED2738" w:rsidP="00377ECF">
      <w:pPr>
        <w:rPr>
          <w:rFonts w:ascii="Calibri" w:hAnsi="Calibri"/>
          <w:color w:val="800000"/>
          <w:sz w:val="22"/>
          <w:szCs w:val="22"/>
        </w:rPr>
      </w:pPr>
      <w:r w:rsidRPr="00377ECF">
        <w:rPr>
          <w:rFonts w:ascii="Calibri" w:hAnsi="Calibri"/>
          <w:color w:val="800000"/>
          <w:sz w:val="22"/>
          <w:szCs w:val="22"/>
        </w:rPr>
        <w:t>$/MLM_Suntrust/SunTrust/Web/Dev/4.0.3/Inetpub/wwwroot/SunTrustCallCenter/Search.aspx.cs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$/MLM_Suntrust/SunTrust/Web/Dev/4.0.3/Inetpub/wwwroot/SunTrustCallCenter/BrowseRewards.aspx.cs</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$/MLM_Suntrust/SunTrust/Web/Dev/4.0.3/Inetpub/wwwroot/SunTrustCallCenter/CheckOut.aspx</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 xml:space="preserve">$/MLM_Suntrust/SunTrust/Web/Dev/4.0.3/Inetpub/wwwroot/SunTrustCallCenter/CheckOut.aspx.cs </w:t>
      </w:r>
    </w:p>
    <w:p w:rsidR="00ED2738" w:rsidRPr="00A90DF8" w:rsidRDefault="00ED2738" w:rsidP="00A90DF8">
      <w:pPr>
        <w:rPr>
          <w:rFonts w:ascii="Calibri" w:hAnsi="Calibri"/>
          <w:color w:val="800000"/>
          <w:sz w:val="22"/>
          <w:szCs w:val="22"/>
        </w:rPr>
      </w:pPr>
      <w:r w:rsidRPr="00A90DF8">
        <w:rPr>
          <w:rFonts w:ascii="Calibri" w:hAnsi="Calibri"/>
          <w:color w:val="800000"/>
          <w:sz w:val="22"/>
          <w:szCs w:val="22"/>
        </w:rPr>
        <w:t>$/MLM_Suntrust/SunTrust/Web/Dev/4.0.3/Inetpub/wwwroot/SunTrustCallCenter/ViewCart.aspx.cs</w:t>
      </w:r>
    </w:p>
    <w:p w:rsidR="00ED2738" w:rsidRPr="00377ECF" w:rsidRDefault="00ED2738" w:rsidP="00377ECF">
      <w:pPr>
        <w:rPr>
          <w:rFonts w:ascii="Calibri" w:hAnsi="Calibri"/>
          <w:color w:val="800000"/>
          <w:sz w:val="22"/>
          <w:szCs w:val="22"/>
        </w:rPr>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Gift Portal:</w:t>
      </w:r>
    </w:p>
    <w:p w:rsidR="00ED2738" w:rsidRPr="00377ECF" w:rsidRDefault="00ED2738" w:rsidP="00377ECF">
      <w:pPr>
        <w:rPr>
          <w:rFonts w:ascii="Calibri" w:hAnsi="Calibri"/>
          <w:color w:val="800000"/>
          <w:sz w:val="22"/>
          <w:szCs w:val="22"/>
        </w:rPr>
      </w:pPr>
    </w:p>
    <w:p w:rsidR="00ED2738" w:rsidRPr="008443D2" w:rsidRDefault="00ED2738" w:rsidP="00377ECF">
      <w:pPr>
        <w:rPr>
          <w:rFonts w:ascii="Calibri" w:hAnsi="Calibri"/>
          <w:color w:val="800000"/>
          <w:sz w:val="22"/>
          <w:szCs w:val="22"/>
        </w:rPr>
      </w:pPr>
      <w:r w:rsidRPr="00377ECF">
        <w:rPr>
          <w:rFonts w:ascii="Calibri" w:hAnsi="Calibri"/>
          <w:color w:val="800000"/>
          <w:sz w:val="22"/>
          <w:szCs w:val="22"/>
        </w:rPr>
        <w:t>All objects under the project</w:t>
      </w:r>
      <w:r>
        <w:rPr>
          <w:rFonts w:ascii="Calibri" w:hAnsi="Calibri"/>
          <w:color w:val="800000"/>
          <w:sz w:val="22"/>
          <w:szCs w:val="22"/>
        </w:rPr>
        <w:t xml:space="preserve"> </w:t>
      </w:r>
      <w:r w:rsidRPr="008443D2">
        <w:rPr>
          <w:rFonts w:ascii="Calibri" w:hAnsi="Calibri"/>
          <w:color w:val="800000"/>
          <w:sz w:val="22"/>
          <w:szCs w:val="22"/>
        </w:rPr>
        <w:t>$/MLM_Suntrust/SunTrust/Web/Dev/4.0.3/Inetpub/wwwroot/SunTrustGiftPortal</w:t>
      </w:r>
    </w:p>
    <w:p w:rsidR="00ED2738" w:rsidRPr="00377ECF" w:rsidRDefault="00ED2738" w:rsidP="00377ECF">
      <w:pPr>
        <w:rPr>
          <w:rFonts w:ascii="Calibri" w:hAnsi="Calibri"/>
          <w:color w:val="800000"/>
          <w:sz w:val="22"/>
          <w:szCs w:val="22"/>
        </w:rPr>
      </w:pPr>
    </w:p>
    <w:p w:rsidR="00ED2738" w:rsidRPr="00377ECF" w:rsidRDefault="00ED2738" w:rsidP="00377ECF">
      <w:pPr>
        <w:rPr>
          <w:rFonts w:ascii="Calibri" w:hAnsi="Calibri"/>
          <w:b/>
          <w:color w:val="800000"/>
          <w:sz w:val="22"/>
          <w:szCs w:val="22"/>
          <w:u w:val="single"/>
        </w:rPr>
      </w:pPr>
      <w:r w:rsidRPr="00377ECF">
        <w:rPr>
          <w:rFonts w:ascii="Calibri" w:hAnsi="Calibri"/>
          <w:b/>
          <w:color w:val="800000"/>
          <w:sz w:val="22"/>
          <w:szCs w:val="22"/>
          <w:u w:val="single"/>
        </w:rPr>
        <w:t>Unit Tests: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$/MLM_Suntrust/SunTrust/Web/Dev/4.0.3/SunTrustGiftPortalTest/GiftCode</w:t>
      </w:r>
      <w:r>
        <w:rPr>
          <w:rFonts w:ascii="Calibri" w:hAnsi="Calibri"/>
          <w:color w:val="800000"/>
          <w:sz w:val="22"/>
          <w:szCs w:val="22"/>
        </w:rPr>
        <w:t>Test</w:t>
      </w:r>
      <w:r w:rsidRPr="00377ECF">
        <w:rPr>
          <w:rFonts w:ascii="Calibri" w:hAnsi="Calibri"/>
          <w:color w:val="800000"/>
          <w:sz w:val="22"/>
          <w:szCs w:val="22"/>
        </w:rPr>
        <w:t>.cs</w:t>
      </w:r>
    </w:p>
    <w:p w:rsidR="00ED2738" w:rsidRPr="00377ECF" w:rsidRDefault="00ED2738" w:rsidP="00377ECF">
      <w:pPr>
        <w:rPr>
          <w:rFonts w:ascii="Calibri" w:hAnsi="Calibri"/>
          <w:color w:val="800000"/>
          <w:sz w:val="22"/>
          <w:szCs w:val="22"/>
        </w:rPr>
      </w:pPr>
      <w:r w:rsidRPr="00377ECF">
        <w:rPr>
          <w:rFonts w:ascii="Calibri" w:hAnsi="Calibri"/>
          <w:color w:val="800000"/>
          <w:sz w:val="22"/>
          <w:szCs w:val="22"/>
        </w:rPr>
        <w:t>$/MLM_Suntrust/SunTrust/Web/Dev/4.0.3/SunTrustGiftPortalTest/GiftCodes</w:t>
      </w:r>
      <w:r>
        <w:rPr>
          <w:rFonts w:ascii="Calibri" w:hAnsi="Calibri"/>
          <w:color w:val="800000"/>
          <w:sz w:val="22"/>
          <w:szCs w:val="22"/>
        </w:rPr>
        <w:t>Test</w:t>
      </w:r>
      <w:r w:rsidRPr="00377ECF">
        <w:rPr>
          <w:rFonts w:ascii="Calibri" w:hAnsi="Calibri"/>
          <w:color w:val="800000"/>
          <w:sz w:val="22"/>
          <w:szCs w:val="22"/>
        </w:rPr>
        <w:t>.cs</w:t>
      </w:r>
    </w:p>
    <w:p w:rsidR="00ED2738" w:rsidRDefault="00ED2738" w:rsidP="00377ECF">
      <w:pPr>
        <w:rPr>
          <w:rFonts w:ascii="Calibri" w:hAnsi="Calibri"/>
          <w:color w:val="800000"/>
          <w:sz w:val="22"/>
          <w:szCs w:val="22"/>
        </w:rPr>
      </w:pPr>
      <w:r w:rsidRPr="00377ECF">
        <w:rPr>
          <w:rFonts w:ascii="Calibri" w:hAnsi="Calibri"/>
          <w:color w:val="800000"/>
          <w:sz w:val="22"/>
          <w:szCs w:val="22"/>
        </w:rPr>
        <w:t>$/MLM_Suntrust/SunTrust/Web/Dev/4.0.3/SunTrustGiftPortalTest/Customers</w:t>
      </w:r>
      <w:r>
        <w:rPr>
          <w:rFonts w:ascii="Calibri" w:hAnsi="Calibri"/>
          <w:color w:val="800000"/>
          <w:sz w:val="22"/>
          <w:szCs w:val="22"/>
        </w:rPr>
        <w:t>Test</w:t>
      </w:r>
      <w:r w:rsidRPr="00377ECF">
        <w:rPr>
          <w:rFonts w:ascii="Calibri" w:hAnsi="Calibri"/>
          <w:color w:val="800000"/>
          <w:sz w:val="22"/>
          <w:szCs w:val="22"/>
        </w:rPr>
        <w:t>.cs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$/MLM_Suntrust/SunTrust/Web/Dev/4.0.3/Inetpub/wwwroot/SunTrustGiftPortalTest/AccountTest.cs</w:t>
      </w:r>
    </w:p>
    <w:p w:rsidR="00ED2738" w:rsidRPr="00CA6166" w:rsidRDefault="00ED2738" w:rsidP="00CA6166">
      <w:pPr>
        <w:rPr>
          <w:rFonts w:ascii="Calibri" w:hAnsi="Calibri"/>
          <w:color w:val="800000"/>
          <w:sz w:val="22"/>
          <w:szCs w:val="22"/>
        </w:rPr>
      </w:pPr>
      <w:r w:rsidRPr="00CA6166">
        <w:rPr>
          <w:rFonts w:ascii="Calibri" w:hAnsi="Calibri"/>
          <w:color w:val="800000"/>
          <w:sz w:val="22"/>
          <w:szCs w:val="22"/>
        </w:rPr>
        <w:t>$/MLM_Suntrust/SunTrust/Web/Dev/4.0.3/Inetpub/wwwroot/SunTrustGiftPortalTest/RewardsTest.cs</w:t>
      </w:r>
    </w:p>
    <w:p w:rsidR="00ED2738" w:rsidRDefault="00ED2738" w:rsidP="00377ECF">
      <w:pPr>
        <w:rPr>
          <w:rFonts w:ascii="Calibri" w:hAnsi="Calibri"/>
          <w:color w:val="800000"/>
          <w:sz w:val="22"/>
          <w:szCs w:val="22"/>
        </w:rPr>
      </w:pPr>
    </w:p>
    <w:p w:rsidR="00ED2738" w:rsidRDefault="00ED2738" w:rsidP="00377ECF">
      <w:pPr>
        <w:rPr>
          <w:rFonts w:ascii="Calibri" w:hAnsi="Calibri"/>
          <w:b/>
          <w:color w:val="800000"/>
          <w:sz w:val="22"/>
          <w:szCs w:val="22"/>
          <w:u w:val="single"/>
        </w:rPr>
      </w:pPr>
    </w:p>
    <w:p w:rsidR="00ED2738" w:rsidRDefault="00ED2738" w:rsidP="00377ECF">
      <w:pPr>
        <w:rPr>
          <w:rFonts w:ascii="Calibri" w:hAnsi="Calibri"/>
          <w:b/>
          <w:color w:val="800000"/>
          <w:sz w:val="22"/>
          <w:szCs w:val="22"/>
          <w:u w:val="single"/>
        </w:rPr>
      </w:pPr>
    </w:p>
    <w:p w:rsidR="00ED2738" w:rsidRDefault="00ED2738" w:rsidP="00377ECF">
      <w:pPr>
        <w:rPr>
          <w:rFonts w:ascii="Calibri" w:hAnsi="Calibri"/>
          <w:b/>
          <w:color w:val="800000"/>
          <w:sz w:val="22"/>
          <w:szCs w:val="22"/>
          <w:u w:val="single"/>
        </w:rPr>
      </w:pPr>
    </w:p>
    <w:p w:rsidR="00ED2738" w:rsidRPr="00F820C1" w:rsidRDefault="00ED2738" w:rsidP="00377ECF">
      <w:pPr>
        <w:rPr>
          <w:rFonts w:ascii="Calibri" w:hAnsi="Calibri"/>
          <w:b/>
          <w:color w:val="800000"/>
          <w:sz w:val="22"/>
          <w:szCs w:val="22"/>
          <w:u w:val="single"/>
        </w:rPr>
      </w:pPr>
      <w:r w:rsidRPr="00F820C1">
        <w:rPr>
          <w:rFonts w:ascii="Calibri" w:hAnsi="Calibri"/>
          <w:b/>
          <w:color w:val="800000"/>
          <w:sz w:val="22"/>
          <w:szCs w:val="22"/>
          <w:u w:val="single"/>
        </w:rPr>
        <w:t>Site Core:</w:t>
      </w:r>
    </w:p>
    <w:p w:rsidR="00ED2738" w:rsidRDefault="00ED2738" w:rsidP="00377ECF">
      <w:pPr>
        <w:rPr>
          <w:rFonts w:ascii="Calibri" w:hAnsi="Calibri"/>
          <w:color w:val="800000"/>
          <w:sz w:val="22"/>
          <w:szCs w:val="22"/>
        </w:rPr>
      </w:pPr>
    </w:p>
    <w:p w:rsidR="00ED2738" w:rsidRDefault="00ED2738" w:rsidP="00377ECF">
      <w:pPr>
        <w:rPr>
          <w:rFonts w:ascii="Calibri" w:hAnsi="Calibri"/>
          <w:color w:val="800000"/>
          <w:sz w:val="22"/>
          <w:szCs w:val="22"/>
        </w:rPr>
      </w:pPr>
      <w:r>
        <w:rPr>
          <w:rFonts w:ascii="Calibri" w:hAnsi="Calibri"/>
          <w:color w:val="800000"/>
          <w:sz w:val="22"/>
          <w:szCs w:val="22"/>
        </w:rPr>
        <w:t xml:space="preserve">All content under </w:t>
      </w:r>
    </w:p>
    <w:p w:rsidR="00ED2738" w:rsidRDefault="00ED2738" w:rsidP="00377ECF">
      <w:pPr>
        <w:rPr>
          <w:rFonts w:ascii="Calibri" w:hAnsi="Calibri"/>
          <w:color w:val="800000"/>
          <w:sz w:val="22"/>
          <w:szCs w:val="22"/>
        </w:rPr>
      </w:pPr>
    </w:p>
    <w:p w:rsidR="00ED2738" w:rsidRDefault="00ED2738" w:rsidP="00377ECF">
      <w:pPr>
        <w:rPr>
          <w:rFonts w:ascii="Calibri" w:hAnsi="Calibri"/>
          <w:color w:val="800000"/>
          <w:sz w:val="22"/>
          <w:szCs w:val="22"/>
        </w:rPr>
      </w:pPr>
      <w:r>
        <w:rPr>
          <w:rFonts w:ascii="Calibri" w:hAnsi="Calibri"/>
          <w:color w:val="800000"/>
          <w:sz w:val="22"/>
          <w:szCs w:val="22"/>
        </w:rPr>
        <w:t>SiteCore/Content/SUNTRUSTREWARDS/GIFTPORTAL/ApplicationConfiguration/ParticipantWebConfig/LayoutInstances</w:t>
      </w:r>
    </w:p>
    <w:p w:rsidR="00ED2738" w:rsidRDefault="00ED2738" w:rsidP="00377ECF">
      <w:pPr>
        <w:rPr>
          <w:rFonts w:ascii="Calibri" w:hAnsi="Calibri"/>
          <w:color w:val="800000"/>
          <w:sz w:val="22"/>
          <w:szCs w:val="22"/>
        </w:rPr>
      </w:pPr>
    </w:p>
    <w:p w:rsidR="00ED2738" w:rsidRDefault="00ED2738" w:rsidP="000C3419">
      <w:pPr>
        <w:rPr>
          <w:rFonts w:ascii="Calibri" w:hAnsi="Calibri"/>
          <w:color w:val="800000"/>
          <w:sz w:val="22"/>
          <w:szCs w:val="22"/>
        </w:rPr>
      </w:pPr>
      <w:r>
        <w:rPr>
          <w:rFonts w:ascii="Calibri" w:hAnsi="Calibri"/>
          <w:color w:val="800000"/>
          <w:sz w:val="22"/>
          <w:szCs w:val="22"/>
        </w:rPr>
        <w:t>SiteCore/Content/SUNTRUSTREWARDS/GIFTPORTAL/Content/ParticipantWeb/Pages</w:t>
      </w:r>
    </w:p>
    <w:p w:rsidR="00ED2738" w:rsidRPr="00377ECF" w:rsidRDefault="00ED2738" w:rsidP="00377ECF">
      <w:pPr>
        <w:rPr>
          <w:rFonts w:ascii="Calibri" w:hAnsi="Calibri"/>
          <w:color w:val="800000"/>
          <w:sz w:val="22"/>
          <w:szCs w:val="22"/>
        </w:rPr>
      </w:pPr>
    </w:p>
    <w:p w:rsidR="00ED2738" w:rsidRDefault="00ED2738" w:rsidP="00166C00">
      <w:r>
        <w:rPr>
          <w:b/>
        </w:rPr>
        <w:t xml:space="preserve">Detailed notes by file </w:t>
      </w:r>
      <w:r>
        <w:t xml:space="preserve">– </w:t>
      </w:r>
    </w:p>
    <w:p w:rsidR="00ED2738" w:rsidRDefault="00ED2738" w:rsidP="00166C00">
      <w:pPr>
        <w:numPr>
          <w:ilvl w:val="0"/>
          <w:numId w:val="14"/>
        </w:numPr>
      </w:pPr>
      <w:r>
        <w:t xml:space="preserve">Add notes here </w:t>
      </w:r>
    </w:p>
    <w:p w:rsidR="00ED2738" w:rsidRPr="003D5090" w:rsidRDefault="00ED2738" w:rsidP="00C16612"/>
    <w:p w:rsidR="00ED2738" w:rsidRDefault="00ED2738" w:rsidP="008E77AE">
      <w:pPr>
        <w:pStyle w:val="Heading1"/>
      </w:pPr>
      <w:r>
        <w:t>Code Review Disposition</w:t>
      </w:r>
    </w:p>
    <w:p w:rsidR="00ED2738" w:rsidRDefault="00ED2738" w:rsidP="0002121B">
      <w:pPr>
        <w:pStyle w:val="Heading2"/>
      </w:pPr>
      <w:r>
        <w:t>Follow Up Items</w:t>
      </w:r>
    </w:p>
    <w:p w:rsidR="00ED2738" w:rsidRDefault="00ED2738" w:rsidP="008E77AE">
      <w:r>
        <w:t>List here any items that require a post review follow-up.  Always assign a follow up item to an individual and determine a due date.</w:t>
      </w:r>
    </w:p>
    <w:p w:rsidR="00ED2738" w:rsidRDefault="00ED2738" w:rsidP="008E77AE"/>
    <w:p w:rsidR="00ED2738" w:rsidRDefault="00ED2738" w:rsidP="008E77AE">
      <w:r>
        <w:t xml:space="preserve">Note:  It is assumed that all S1 documented issues are to be remediated in the application code.  </w:t>
      </w:r>
    </w:p>
    <w:p w:rsidR="00ED2738" w:rsidRPr="00174849" w:rsidRDefault="00ED2738" w:rsidP="008E77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6"/>
        <w:gridCol w:w="5328"/>
        <w:gridCol w:w="1117"/>
        <w:gridCol w:w="1105"/>
      </w:tblGrid>
      <w:tr w:rsidR="00ED2738" w:rsidRPr="00A414C4" w:rsidTr="005E4224">
        <w:tc>
          <w:tcPr>
            <w:tcW w:w="2026" w:type="dxa"/>
            <w:shd w:val="clear" w:color="auto" w:fill="4C4C4C"/>
          </w:tcPr>
          <w:p w:rsidR="00ED2738" w:rsidRPr="00A414C4" w:rsidRDefault="00ED2738" w:rsidP="00441440">
            <w:pPr>
              <w:rPr>
                <w:b/>
                <w:color w:val="FFFFFF"/>
              </w:rPr>
            </w:pPr>
            <w:r w:rsidRPr="00A414C4">
              <w:rPr>
                <w:b/>
                <w:color w:val="FFFFFF"/>
              </w:rPr>
              <w:t>Topic</w:t>
            </w:r>
          </w:p>
        </w:tc>
        <w:tc>
          <w:tcPr>
            <w:tcW w:w="5328" w:type="dxa"/>
            <w:shd w:val="clear" w:color="auto" w:fill="4C4C4C"/>
          </w:tcPr>
          <w:p w:rsidR="00ED2738" w:rsidRPr="00A414C4" w:rsidRDefault="00ED2738" w:rsidP="00441440">
            <w:pPr>
              <w:rPr>
                <w:b/>
                <w:color w:val="FFFFFF"/>
              </w:rPr>
            </w:pPr>
            <w:r w:rsidRPr="00A414C4">
              <w:rPr>
                <w:b/>
                <w:color w:val="FFFFFF"/>
              </w:rPr>
              <w:t>Comments</w:t>
            </w:r>
          </w:p>
        </w:tc>
        <w:tc>
          <w:tcPr>
            <w:tcW w:w="1117" w:type="dxa"/>
            <w:shd w:val="clear" w:color="auto" w:fill="4C4C4C"/>
          </w:tcPr>
          <w:p w:rsidR="00ED2738" w:rsidRPr="00A414C4" w:rsidRDefault="00ED2738" w:rsidP="00441440">
            <w:pPr>
              <w:rPr>
                <w:b/>
                <w:color w:val="FFFFFF"/>
              </w:rPr>
            </w:pPr>
            <w:r w:rsidRPr="00A414C4">
              <w:rPr>
                <w:b/>
                <w:color w:val="FFFFFF"/>
              </w:rPr>
              <w:t>Assigned To</w:t>
            </w:r>
          </w:p>
        </w:tc>
        <w:tc>
          <w:tcPr>
            <w:tcW w:w="1105" w:type="dxa"/>
            <w:shd w:val="clear" w:color="auto" w:fill="4C4C4C"/>
          </w:tcPr>
          <w:p w:rsidR="00ED2738" w:rsidRPr="00A414C4" w:rsidRDefault="00ED2738" w:rsidP="00441440">
            <w:pPr>
              <w:rPr>
                <w:b/>
                <w:color w:val="FFFFFF"/>
              </w:rPr>
            </w:pPr>
            <w:r w:rsidRPr="00A414C4">
              <w:rPr>
                <w:b/>
                <w:color w:val="FFFFFF"/>
              </w:rPr>
              <w:t>Due Date</w:t>
            </w:r>
          </w:p>
        </w:tc>
      </w:tr>
      <w:tr w:rsidR="00ED2738" w:rsidRPr="00146F96" w:rsidTr="005E4224">
        <w:tc>
          <w:tcPr>
            <w:tcW w:w="2026" w:type="dxa"/>
          </w:tcPr>
          <w:p w:rsidR="00ED2738" w:rsidRPr="00146F96" w:rsidRDefault="00ED2738" w:rsidP="00441440"/>
        </w:tc>
        <w:tc>
          <w:tcPr>
            <w:tcW w:w="5328" w:type="dxa"/>
          </w:tcPr>
          <w:p w:rsidR="00ED2738" w:rsidRPr="00146F96" w:rsidRDefault="00ED2738" w:rsidP="005E4224"/>
        </w:tc>
        <w:tc>
          <w:tcPr>
            <w:tcW w:w="1117" w:type="dxa"/>
          </w:tcPr>
          <w:p w:rsidR="00ED2738" w:rsidRPr="00146F96" w:rsidRDefault="00ED2738" w:rsidP="00441440"/>
        </w:tc>
        <w:tc>
          <w:tcPr>
            <w:tcW w:w="1105" w:type="dxa"/>
          </w:tcPr>
          <w:p w:rsidR="00ED2738" w:rsidRPr="00146F96" w:rsidRDefault="00ED2738" w:rsidP="00441440"/>
        </w:tc>
      </w:tr>
      <w:tr w:rsidR="00ED2738" w:rsidRPr="00146F96" w:rsidTr="005E4224">
        <w:tc>
          <w:tcPr>
            <w:tcW w:w="2026" w:type="dxa"/>
          </w:tcPr>
          <w:p w:rsidR="00ED2738" w:rsidRPr="00146F96" w:rsidRDefault="00ED2738" w:rsidP="00441440"/>
        </w:tc>
        <w:tc>
          <w:tcPr>
            <w:tcW w:w="5328" w:type="dxa"/>
          </w:tcPr>
          <w:p w:rsidR="00ED2738" w:rsidRPr="00146F96" w:rsidRDefault="00ED2738" w:rsidP="00441440"/>
        </w:tc>
        <w:tc>
          <w:tcPr>
            <w:tcW w:w="1117" w:type="dxa"/>
          </w:tcPr>
          <w:p w:rsidR="00ED2738" w:rsidRPr="00146F96" w:rsidRDefault="00ED2738" w:rsidP="00441440"/>
        </w:tc>
        <w:tc>
          <w:tcPr>
            <w:tcW w:w="1105" w:type="dxa"/>
          </w:tcPr>
          <w:p w:rsidR="00ED2738" w:rsidRPr="00146F96" w:rsidRDefault="00ED2738" w:rsidP="005E4224"/>
        </w:tc>
      </w:tr>
      <w:tr w:rsidR="00ED2738" w:rsidRPr="00146F96" w:rsidTr="005E4224">
        <w:tc>
          <w:tcPr>
            <w:tcW w:w="2026" w:type="dxa"/>
          </w:tcPr>
          <w:p w:rsidR="00ED2738" w:rsidRPr="00146F96" w:rsidRDefault="00ED2738" w:rsidP="00441440"/>
        </w:tc>
        <w:tc>
          <w:tcPr>
            <w:tcW w:w="5328" w:type="dxa"/>
          </w:tcPr>
          <w:p w:rsidR="00ED2738" w:rsidRPr="00146F96" w:rsidRDefault="00ED2738" w:rsidP="00441440"/>
        </w:tc>
        <w:tc>
          <w:tcPr>
            <w:tcW w:w="1117" w:type="dxa"/>
          </w:tcPr>
          <w:p w:rsidR="00ED2738" w:rsidRPr="00146F96" w:rsidRDefault="00ED2738" w:rsidP="00441440"/>
        </w:tc>
        <w:tc>
          <w:tcPr>
            <w:tcW w:w="1105" w:type="dxa"/>
          </w:tcPr>
          <w:p w:rsidR="00ED2738" w:rsidRPr="00146F96" w:rsidRDefault="00ED2738" w:rsidP="00441440"/>
        </w:tc>
      </w:tr>
      <w:tr w:rsidR="00ED2738" w:rsidRPr="00146F96" w:rsidTr="005E4224">
        <w:tc>
          <w:tcPr>
            <w:tcW w:w="2026" w:type="dxa"/>
          </w:tcPr>
          <w:p w:rsidR="00ED2738" w:rsidRDefault="00ED2738" w:rsidP="00441440"/>
        </w:tc>
        <w:tc>
          <w:tcPr>
            <w:tcW w:w="5328" w:type="dxa"/>
          </w:tcPr>
          <w:p w:rsidR="00ED2738" w:rsidRDefault="00ED2738" w:rsidP="00441440"/>
        </w:tc>
        <w:tc>
          <w:tcPr>
            <w:tcW w:w="1117" w:type="dxa"/>
          </w:tcPr>
          <w:p w:rsidR="00ED2738" w:rsidRDefault="00ED2738" w:rsidP="00441440"/>
        </w:tc>
        <w:tc>
          <w:tcPr>
            <w:tcW w:w="1105" w:type="dxa"/>
          </w:tcPr>
          <w:p w:rsidR="00ED2738" w:rsidRDefault="00ED2738" w:rsidP="00441440"/>
        </w:tc>
      </w:tr>
    </w:tbl>
    <w:p w:rsidR="00ED2738" w:rsidRDefault="00ED2738" w:rsidP="008E77AE"/>
    <w:p w:rsidR="00ED2738" w:rsidRDefault="00ED2738" w:rsidP="00AD5F4B">
      <w:pPr>
        <w:pStyle w:val="Heading2"/>
      </w:pPr>
      <w:r>
        <w:t xml:space="preserve"> Mandatory Follow Up Code Review</w:t>
      </w:r>
    </w:p>
    <w:p w:rsidR="00ED2738" w:rsidRDefault="00ED2738" w:rsidP="00AD5F4B">
      <w:r>
        <w:t>Based on the findings of this code review, taking into consideration any severe issues, determine if another code review is required after application changes are completed.  Check one of the boxes below:</w:t>
      </w:r>
    </w:p>
    <w:p w:rsidR="00ED2738" w:rsidRDefault="00ED2738" w:rsidP="00E9543E"/>
    <w:p w:rsidR="00ED2738" w:rsidRDefault="00ED2738" w:rsidP="00E9543E">
      <w:bookmarkStart w:id="4" w:name="_GoBack"/>
      <w:bookmarkEnd w:id="4"/>
    </w:p>
    <w:bookmarkStart w:id="5" w:name="Check1"/>
    <w:p w:rsidR="00ED2738" w:rsidRDefault="00ED2738" w:rsidP="00E9543E">
      <w:pPr>
        <w:rPr>
          <w:sz w:val="28"/>
          <w:szCs w:val="28"/>
        </w:rPr>
      </w:pPr>
      <w:r>
        <w:rPr>
          <w:sz w:val="28"/>
          <w:szCs w:val="28"/>
        </w:rPr>
        <w:fldChar w:fldCharType="begin">
          <w:ffData>
            <w:name w:val="Check1"/>
            <w:enabled/>
            <w:calcOnExit w:val="0"/>
            <w:checkBox>
              <w:sizeAuto/>
              <w:default w:val="0"/>
            </w:checkBox>
          </w:ffData>
        </w:fldChar>
      </w:r>
      <w:r>
        <w:rPr>
          <w:sz w:val="28"/>
          <w:szCs w:val="28"/>
        </w:rPr>
        <w:instrText xml:space="preserve"> FORMCHECKBOX </w:instrText>
      </w:r>
      <w:r>
        <w:rPr>
          <w:sz w:val="28"/>
          <w:szCs w:val="28"/>
        </w:rPr>
      </w:r>
      <w:r>
        <w:rPr>
          <w:sz w:val="28"/>
          <w:szCs w:val="28"/>
        </w:rPr>
        <w:fldChar w:fldCharType="end"/>
      </w:r>
      <w:bookmarkEnd w:id="5"/>
      <w:r w:rsidRPr="00AD5F4B">
        <w:rPr>
          <w:sz w:val="28"/>
          <w:szCs w:val="28"/>
        </w:rPr>
        <w:tab/>
        <w:t>Follow Up Code Review Required</w:t>
      </w:r>
      <w:r w:rsidRPr="00AD5F4B">
        <w:rPr>
          <w:sz w:val="28"/>
          <w:szCs w:val="28"/>
        </w:rPr>
        <w:tab/>
      </w:r>
    </w:p>
    <w:p w:rsidR="00ED2738" w:rsidRDefault="00ED2738" w:rsidP="00E9543E">
      <w:pPr>
        <w:rPr>
          <w:sz w:val="28"/>
          <w:szCs w:val="28"/>
        </w:rPr>
      </w:pPr>
      <w:r w:rsidRPr="00AD5F4B">
        <w:rPr>
          <w:sz w:val="28"/>
          <w:szCs w:val="28"/>
        </w:rPr>
        <w:tab/>
      </w:r>
    </w:p>
    <w:bookmarkStart w:id="6" w:name="Check2"/>
    <w:p w:rsidR="00ED2738" w:rsidRPr="00AD5F4B" w:rsidRDefault="00ED2738" w:rsidP="00E9543E">
      <w:pPr>
        <w:rPr>
          <w:sz w:val="28"/>
          <w:szCs w:val="28"/>
        </w:rPr>
      </w:pPr>
      <w:r>
        <w:rPr>
          <w:sz w:val="28"/>
          <w:szCs w:val="28"/>
        </w:rPr>
        <w:fldChar w:fldCharType="begin">
          <w:ffData>
            <w:name w:val="Check2"/>
            <w:enabled/>
            <w:calcOnExit w:val="0"/>
            <w:checkBox>
              <w:sizeAuto/>
              <w:default w:val="0"/>
            </w:checkBox>
          </w:ffData>
        </w:fldChar>
      </w:r>
      <w:r>
        <w:rPr>
          <w:sz w:val="28"/>
          <w:szCs w:val="28"/>
        </w:rPr>
        <w:instrText xml:space="preserve"> FORMCHECKBOX </w:instrText>
      </w:r>
      <w:r>
        <w:rPr>
          <w:sz w:val="28"/>
          <w:szCs w:val="28"/>
        </w:rPr>
      </w:r>
      <w:r>
        <w:rPr>
          <w:sz w:val="28"/>
          <w:szCs w:val="28"/>
        </w:rPr>
        <w:fldChar w:fldCharType="end"/>
      </w:r>
      <w:bookmarkEnd w:id="6"/>
      <w:r w:rsidRPr="00AD5F4B">
        <w:rPr>
          <w:sz w:val="28"/>
          <w:szCs w:val="28"/>
        </w:rPr>
        <w:tab/>
        <w:t>Follow Up Code Review NOT Required</w:t>
      </w:r>
    </w:p>
    <w:p w:rsidR="00ED2738" w:rsidRDefault="00ED2738" w:rsidP="00E9543E"/>
    <w:p w:rsidR="00ED2738" w:rsidRDefault="00ED2738" w:rsidP="00D20F47">
      <w:pPr>
        <w:pStyle w:val="Heading2"/>
        <w:numPr>
          <w:ilvl w:val="0"/>
          <w:numId w:val="0"/>
        </w:numPr>
      </w:pPr>
      <w:r>
        <w:t>Appendix A – Detailed PCI Analysis</w:t>
      </w:r>
    </w:p>
    <w:p w:rsidR="00ED2738" w:rsidRDefault="00ED2738" w:rsidP="0012438F">
      <w:r>
        <w:t>Example: A2 – Injection Flaw --  Application uses Stored Procedures for data access and the database user has no rights () to the underlying database tables.</w:t>
      </w:r>
    </w:p>
    <w:sectPr w:rsidR="00ED2738" w:rsidSect="002D6D24">
      <w:headerReference w:type="default" r:id="rId15"/>
      <w:footerReference w:type="default" r:id="rId16"/>
      <w:pgSz w:w="12240" w:h="15840" w:code="1"/>
      <w:pgMar w:top="1008" w:right="1440" w:bottom="72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738" w:rsidRDefault="00ED2738">
      <w:r>
        <w:separator/>
      </w:r>
    </w:p>
  </w:endnote>
  <w:endnote w:type="continuationSeparator" w:id="0">
    <w:p w:rsidR="00ED2738" w:rsidRDefault="00ED27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738" w:rsidRDefault="00ED2738">
    <w:pPr>
      <w:pStyle w:val="Footer"/>
    </w:pPr>
    <w:r>
      <w:t>[Type text]</w:t>
    </w:r>
  </w:p>
  <w:p w:rsidR="00ED2738" w:rsidRPr="000E15DD" w:rsidRDefault="00ED2738" w:rsidP="000E1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738" w:rsidRDefault="00ED2738">
      <w:r>
        <w:separator/>
      </w:r>
    </w:p>
  </w:footnote>
  <w:footnote w:type="continuationSeparator" w:id="0">
    <w:p w:rsidR="00ED2738" w:rsidRDefault="00ED27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72" w:type="dxa"/>
      <w:tblBorders>
        <w:top w:val="single" w:sz="8" w:space="0" w:color="333399"/>
        <w:left w:val="single" w:sz="8" w:space="0" w:color="333399"/>
        <w:bottom w:val="single" w:sz="8" w:space="0" w:color="333399"/>
        <w:right w:val="single" w:sz="8" w:space="0" w:color="333399"/>
      </w:tblBorders>
      <w:tblLayout w:type="fixed"/>
      <w:tblLook w:val="0000"/>
    </w:tblPr>
    <w:tblGrid>
      <w:gridCol w:w="7920"/>
      <w:gridCol w:w="1620"/>
    </w:tblGrid>
    <w:tr w:rsidR="00ED2738">
      <w:tc>
        <w:tcPr>
          <w:tcW w:w="8100" w:type="dxa"/>
          <w:tcBorders>
            <w:top w:val="single" w:sz="8" w:space="0" w:color="333399"/>
            <w:bottom w:val="single" w:sz="8" w:space="0" w:color="333399"/>
          </w:tcBorders>
        </w:tcPr>
        <w:p w:rsidR="00ED2738" w:rsidRDefault="00ED2738" w:rsidP="00DE22DE">
          <w:pPr>
            <w:pStyle w:val="Header"/>
            <w:rPr>
              <w:b/>
              <w:sz w:val="28"/>
            </w:rPr>
          </w:pPr>
          <w:r>
            <w:rPr>
              <w:b/>
              <w:sz w:val="28"/>
            </w:rPr>
            <w:t>.NET Code Review Checklist</w:t>
          </w:r>
        </w:p>
        <w:p w:rsidR="00ED2738" w:rsidRPr="000E15DD" w:rsidRDefault="00ED2738" w:rsidP="00067769">
          <w:pPr>
            <w:rPr>
              <w:rFonts w:ascii="Verdana" w:hAnsi="Verdana"/>
              <w:sz w:val="28"/>
              <w:szCs w:val="28"/>
            </w:rPr>
          </w:pPr>
          <w:r>
            <w:rPr>
              <w:rFonts w:ascii="Verdana" w:hAnsi="Verdana"/>
              <w:sz w:val="16"/>
              <w:szCs w:val="16"/>
            </w:rPr>
            <w:br/>
          </w:r>
          <w:r>
            <w:rPr>
              <w:rFonts w:ascii="Verdana" w:hAnsi="Verdana"/>
              <w:sz w:val="28"/>
              <w:szCs w:val="28"/>
            </w:rPr>
            <w:t>&lt;SunTrust&gt;</w:t>
          </w:r>
        </w:p>
      </w:tc>
      <w:tc>
        <w:tcPr>
          <w:tcW w:w="1620" w:type="dxa"/>
          <w:tcBorders>
            <w:top w:val="single" w:sz="8" w:space="0" w:color="333399"/>
            <w:bottom w:val="single" w:sz="8" w:space="0" w:color="333399"/>
          </w:tcBorders>
        </w:tcPr>
        <w:p w:rsidR="00ED2738" w:rsidRDefault="00ED2738" w:rsidP="00DE22DE">
          <w:pPr>
            <w:pStyle w:val="Header"/>
            <w:jc w:val="right"/>
          </w:pPr>
        </w:p>
      </w:tc>
    </w:tr>
  </w:tbl>
  <w:p w:rsidR="00ED2738" w:rsidRDefault="00ED2738" w:rsidP="0037080E">
    <w:pPr>
      <w:pStyle w:val="Header"/>
    </w:pPr>
  </w:p>
  <w:p w:rsidR="00ED2738" w:rsidRDefault="00ED27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EE46A2C"/>
    <w:lvl w:ilvl="0">
      <w:numFmt w:val="decimal"/>
      <w:pStyle w:val="Bullet"/>
      <w:lvlText w:val="*"/>
      <w:lvlJc w:val="left"/>
      <w:rPr>
        <w:rFonts w:cs="Times New Roman"/>
      </w:rPr>
    </w:lvl>
  </w:abstractNum>
  <w:abstractNum w:abstractNumId="1">
    <w:nsid w:val="022F7951"/>
    <w:multiLevelType w:val="hybridMultilevel"/>
    <w:tmpl w:val="94E242A8"/>
    <w:lvl w:ilvl="0" w:tplc="30BAC52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A0D84"/>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05C4EE3"/>
    <w:multiLevelType w:val="hybridMultilevel"/>
    <w:tmpl w:val="D9C022B2"/>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7370A"/>
    <w:multiLevelType w:val="hybridMultilevel"/>
    <w:tmpl w:val="DCB469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8FD42868">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1AD1286"/>
    <w:multiLevelType w:val="hybridMultilevel"/>
    <w:tmpl w:val="E990F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0F1D58"/>
    <w:multiLevelType w:val="hybridMultilevel"/>
    <w:tmpl w:val="02A278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4080472"/>
    <w:multiLevelType w:val="hybridMultilevel"/>
    <w:tmpl w:val="46628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C12F3"/>
    <w:multiLevelType w:val="hybridMultilevel"/>
    <w:tmpl w:val="6060AC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9C40A11"/>
    <w:multiLevelType w:val="hybridMultilevel"/>
    <w:tmpl w:val="A7829DF4"/>
    <w:lvl w:ilvl="0" w:tplc="C998401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0">
    <w:nsid w:val="2E2211C2"/>
    <w:multiLevelType w:val="hybridMultilevel"/>
    <w:tmpl w:val="DD4C51F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30F96ABB"/>
    <w:multiLevelType w:val="hybridMultilevel"/>
    <w:tmpl w:val="B6625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0003B8"/>
    <w:multiLevelType w:val="hybridMultilevel"/>
    <w:tmpl w:val="AA7E4594"/>
    <w:lvl w:ilvl="0" w:tplc="E53E22CE">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30883"/>
    <w:multiLevelType w:val="hybridMultilevel"/>
    <w:tmpl w:val="2C46052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EC44D3"/>
    <w:multiLevelType w:val="hybridMultilevel"/>
    <w:tmpl w:val="9BACC14C"/>
    <w:lvl w:ilvl="0" w:tplc="321CE02C">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C953EB0"/>
    <w:multiLevelType w:val="hybridMultilevel"/>
    <w:tmpl w:val="50564F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B374BE"/>
    <w:multiLevelType w:val="hybridMultilevel"/>
    <w:tmpl w:val="CAACE0EA"/>
    <w:lvl w:ilvl="0" w:tplc="1F2AEB88">
      <w:start w:val="1"/>
      <w:numFmt w:val="decimal"/>
      <w:lvlText w:val="%1."/>
      <w:lvlJc w:val="left"/>
      <w:pPr>
        <w:ind w:left="360" w:hanging="360"/>
      </w:pPr>
      <w:rPr>
        <w:rFonts w:cs="Times New Roman"/>
        <w:color w:val="auto"/>
      </w:rPr>
    </w:lvl>
    <w:lvl w:ilvl="1" w:tplc="FFE0B91A">
      <w:start w:val="3"/>
      <w:numFmt w:val="lowerLetter"/>
      <w:lvlText w:val="%2."/>
      <w:lvlJc w:val="left"/>
      <w:pPr>
        <w:ind w:left="1080" w:hanging="360"/>
      </w:pPr>
      <w:rPr>
        <w:rFonts w:cs="Times New Roman" w:hint="default"/>
      </w:rPr>
    </w:lvl>
    <w:lvl w:ilvl="2" w:tplc="A2C0334E">
      <w:start w:val="1"/>
      <w:numFmt w:val="lowerRoman"/>
      <w:lvlText w:val="%3."/>
      <w:lvlJc w:val="right"/>
      <w:pPr>
        <w:ind w:left="1800" w:hanging="180"/>
      </w:pPr>
      <w:rPr>
        <w:rFonts w:cs="Times New Roman"/>
        <w:b w:val="0"/>
        <w:strike w:val="0"/>
        <w:color w:val="auto"/>
      </w:rPr>
    </w:lvl>
    <w:lvl w:ilvl="3" w:tplc="032C1E64">
      <w:start w:val="1"/>
      <w:numFmt w:val="decimal"/>
      <w:lvlText w:val="%4."/>
      <w:lvlJc w:val="left"/>
      <w:pPr>
        <w:ind w:left="2520" w:hanging="360"/>
      </w:pPr>
      <w:rPr>
        <w:rFonts w:cs="Times New Roman"/>
        <w:strike w:val="0"/>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55DD43EC"/>
    <w:multiLevelType w:val="hybridMultilevel"/>
    <w:tmpl w:val="DDD24E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3338DC"/>
    <w:multiLevelType w:val="hybridMultilevel"/>
    <w:tmpl w:val="1758EE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E11D73"/>
    <w:multiLevelType w:val="hybridMultilevel"/>
    <w:tmpl w:val="E910C4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540D03"/>
    <w:multiLevelType w:val="hybridMultilevel"/>
    <w:tmpl w:val="D1040E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23315D"/>
    <w:multiLevelType w:val="hybridMultilevel"/>
    <w:tmpl w:val="0804BE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761066"/>
    <w:multiLevelType w:val="hybridMultilevel"/>
    <w:tmpl w:val="7D76904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A95607"/>
    <w:multiLevelType w:val="hybridMultilevel"/>
    <w:tmpl w:val="43EAC0CE"/>
    <w:lvl w:ilvl="0" w:tplc="0409000F">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7F07B20"/>
    <w:multiLevelType w:val="hybridMultilevel"/>
    <w:tmpl w:val="7A7EA8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3769D3"/>
    <w:multiLevelType w:val="hybridMultilevel"/>
    <w:tmpl w:val="BA66634E"/>
    <w:lvl w:ilvl="0" w:tplc="A170D728">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94C10"/>
    <w:multiLevelType w:val="hybridMultilevel"/>
    <w:tmpl w:val="9E3020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F4E1546"/>
    <w:multiLevelType w:val="hybridMultilevel"/>
    <w:tmpl w:val="99EC68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Bullet"/>
        <w:lvlText w:val=""/>
        <w:legacy w:legacy="1" w:legacySpace="120" w:legacyIndent="360"/>
        <w:lvlJc w:val="left"/>
        <w:pPr>
          <w:ind w:left="1440" w:hanging="360"/>
        </w:pPr>
        <w:rPr>
          <w:rFonts w:ascii="Symbol" w:hAnsi="Symbol" w:hint="default"/>
        </w:rPr>
      </w:lvl>
    </w:lvlOverride>
  </w:num>
  <w:num w:numId="3">
    <w:abstractNumId w:val="4"/>
  </w:num>
  <w:num w:numId="4">
    <w:abstractNumId w:val="8"/>
  </w:num>
  <w:num w:numId="5">
    <w:abstractNumId w:val="9"/>
  </w:num>
  <w:num w:numId="6">
    <w:abstractNumId w:val="6"/>
  </w:num>
  <w:num w:numId="7">
    <w:abstractNumId w:val="26"/>
  </w:num>
  <w:num w:numId="8">
    <w:abstractNumId w:val="10"/>
  </w:num>
  <w:num w:numId="9">
    <w:abstractNumId w:val="23"/>
  </w:num>
  <w:num w:numId="10">
    <w:abstractNumId w:val="7"/>
  </w:num>
  <w:num w:numId="11">
    <w:abstractNumId w:val="27"/>
  </w:num>
  <w:num w:numId="12">
    <w:abstractNumId w:val="20"/>
  </w:num>
  <w:num w:numId="13">
    <w:abstractNumId w:val="18"/>
  </w:num>
  <w:num w:numId="14">
    <w:abstractNumId w:val="22"/>
  </w:num>
  <w:num w:numId="15">
    <w:abstractNumId w:val="17"/>
  </w:num>
  <w:num w:numId="16">
    <w:abstractNumId w:val="5"/>
  </w:num>
  <w:num w:numId="17">
    <w:abstractNumId w:val="21"/>
  </w:num>
  <w:num w:numId="18">
    <w:abstractNumId w:val="24"/>
  </w:num>
  <w:num w:numId="19">
    <w:abstractNumId w:val="19"/>
  </w:num>
  <w:num w:numId="20">
    <w:abstractNumId w:val="15"/>
  </w:num>
  <w:num w:numId="21">
    <w:abstractNumId w:val="13"/>
  </w:num>
  <w:num w:numId="22">
    <w:abstractNumId w:val="11"/>
  </w:num>
  <w:num w:numId="23">
    <w:abstractNumId w:val="2"/>
  </w:num>
  <w:num w:numId="24">
    <w:abstractNumId w:val="0"/>
    <w:lvlOverride w:ilvl="0">
      <w:lvl w:ilvl="0">
        <w:start w:val="1"/>
        <w:numFmt w:val="bullet"/>
        <w:pStyle w:val="Bullet"/>
        <w:lvlText w:val=""/>
        <w:legacy w:legacy="1" w:legacySpace="120" w:legacyIndent="360"/>
        <w:lvlJc w:val="left"/>
        <w:pPr>
          <w:ind w:left="1440" w:hanging="360"/>
        </w:pPr>
        <w:rPr>
          <w:rFonts w:ascii="Symbol" w:hAnsi="Symbol" w:hint="default"/>
        </w:rPr>
      </w:lvl>
    </w:lvlOverride>
  </w:num>
  <w:num w:numId="25">
    <w:abstractNumId w:val="25"/>
  </w:num>
  <w:num w:numId="26">
    <w:abstractNumId w:val="16"/>
  </w:num>
  <w:num w:numId="27">
    <w:abstractNumId w:val="12"/>
  </w:num>
  <w:num w:numId="28">
    <w:abstractNumId w:val="14"/>
  </w:num>
  <w:num w:numId="29">
    <w:abstractNumId w:val="1"/>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642A"/>
    <w:rsid w:val="00002BEC"/>
    <w:rsid w:val="000030E2"/>
    <w:rsid w:val="0000496A"/>
    <w:rsid w:val="00006C7C"/>
    <w:rsid w:val="0000770D"/>
    <w:rsid w:val="0001161F"/>
    <w:rsid w:val="0001204F"/>
    <w:rsid w:val="0002121B"/>
    <w:rsid w:val="00022444"/>
    <w:rsid w:val="00025619"/>
    <w:rsid w:val="00042091"/>
    <w:rsid w:val="000420E2"/>
    <w:rsid w:val="000448B7"/>
    <w:rsid w:val="0005260F"/>
    <w:rsid w:val="00053BA9"/>
    <w:rsid w:val="000568FE"/>
    <w:rsid w:val="00061B56"/>
    <w:rsid w:val="00061C27"/>
    <w:rsid w:val="000670F6"/>
    <w:rsid w:val="00067769"/>
    <w:rsid w:val="00073A4D"/>
    <w:rsid w:val="00074646"/>
    <w:rsid w:val="00082970"/>
    <w:rsid w:val="00086030"/>
    <w:rsid w:val="000A07EB"/>
    <w:rsid w:val="000A2632"/>
    <w:rsid w:val="000A3F8E"/>
    <w:rsid w:val="000B1DB1"/>
    <w:rsid w:val="000B4D36"/>
    <w:rsid w:val="000B6216"/>
    <w:rsid w:val="000C21DB"/>
    <w:rsid w:val="000C3419"/>
    <w:rsid w:val="000C4E01"/>
    <w:rsid w:val="000D02A6"/>
    <w:rsid w:val="000D3136"/>
    <w:rsid w:val="000D6A4B"/>
    <w:rsid w:val="000E15DD"/>
    <w:rsid w:val="000E7783"/>
    <w:rsid w:val="000F31C2"/>
    <w:rsid w:val="000F4643"/>
    <w:rsid w:val="001014E2"/>
    <w:rsid w:val="00110FDF"/>
    <w:rsid w:val="00123543"/>
    <w:rsid w:val="0012438F"/>
    <w:rsid w:val="00124BE5"/>
    <w:rsid w:val="00126CDC"/>
    <w:rsid w:val="00131324"/>
    <w:rsid w:val="00141118"/>
    <w:rsid w:val="00146771"/>
    <w:rsid w:val="00146F96"/>
    <w:rsid w:val="001517AB"/>
    <w:rsid w:val="00153252"/>
    <w:rsid w:val="00157935"/>
    <w:rsid w:val="00161B4A"/>
    <w:rsid w:val="0016527B"/>
    <w:rsid w:val="00166C00"/>
    <w:rsid w:val="00174849"/>
    <w:rsid w:val="001856AC"/>
    <w:rsid w:val="0019489D"/>
    <w:rsid w:val="0019592A"/>
    <w:rsid w:val="001B0AB7"/>
    <w:rsid w:val="001B2A61"/>
    <w:rsid w:val="001B2D11"/>
    <w:rsid w:val="001B4142"/>
    <w:rsid w:val="001B6220"/>
    <w:rsid w:val="001C09DA"/>
    <w:rsid w:val="001C2E00"/>
    <w:rsid w:val="001E2B50"/>
    <w:rsid w:val="001F2BF5"/>
    <w:rsid w:val="002024BE"/>
    <w:rsid w:val="0022394D"/>
    <w:rsid w:val="00224999"/>
    <w:rsid w:val="002273B9"/>
    <w:rsid w:val="002276CA"/>
    <w:rsid w:val="0023030C"/>
    <w:rsid w:val="0025203D"/>
    <w:rsid w:val="0026175D"/>
    <w:rsid w:val="002638A7"/>
    <w:rsid w:val="002706BC"/>
    <w:rsid w:val="002707F3"/>
    <w:rsid w:val="00274483"/>
    <w:rsid w:val="00286A7B"/>
    <w:rsid w:val="002907D5"/>
    <w:rsid w:val="0029091E"/>
    <w:rsid w:val="002927A4"/>
    <w:rsid w:val="002A01A9"/>
    <w:rsid w:val="002A20F1"/>
    <w:rsid w:val="002A2574"/>
    <w:rsid w:val="002A2AFB"/>
    <w:rsid w:val="002A2BB8"/>
    <w:rsid w:val="002B6117"/>
    <w:rsid w:val="002B65F9"/>
    <w:rsid w:val="002B76A1"/>
    <w:rsid w:val="002B7E42"/>
    <w:rsid w:val="002C1041"/>
    <w:rsid w:val="002C2694"/>
    <w:rsid w:val="002D6D24"/>
    <w:rsid w:val="002D71D8"/>
    <w:rsid w:val="002F55CA"/>
    <w:rsid w:val="002F789A"/>
    <w:rsid w:val="00300A98"/>
    <w:rsid w:val="00301887"/>
    <w:rsid w:val="0031582B"/>
    <w:rsid w:val="00322D83"/>
    <w:rsid w:val="00333B77"/>
    <w:rsid w:val="003432DD"/>
    <w:rsid w:val="003473FB"/>
    <w:rsid w:val="0037080E"/>
    <w:rsid w:val="0037344F"/>
    <w:rsid w:val="00374B48"/>
    <w:rsid w:val="00377ECF"/>
    <w:rsid w:val="0039589D"/>
    <w:rsid w:val="003D10E8"/>
    <w:rsid w:val="003D5090"/>
    <w:rsid w:val="003E3126"/>
    <w:rsid w:val="003F21C7"/>
    <w:rsid w:val="003F4F9A"/>
    <w:rsid w:val="004045B3"/>
    <w:rsid w:val="004063A3"/>
    <w:rsid w:val="0040700B"/>
    <w:rsid w:val="00410623"/>
    <w:rsid w:val="00410D6E"/>
    <w:rsid w:val="00414B63"/>
    <w:rsid w:val="004153B9"/>
    <w:rsid w:val="00415B8C"/>
    <w:rsid w:val="00415BED"/>
    <w:rsid w:val="0042331A"/>
    <w:rsid w:val="00441440"/>
    <w:rsid w:val="0045726B"/>
    <w:rsid w:val="0045779A"/>
    <w:rsid w:val="0046089C"/>
    <w:rsid w:val="00465572"/>
    <w:rsid w:val="00465E95"/>
    <w:rsid w:val="00465FE0"/>
    <w:rsid w:val="00473B65"/>
    <w:rsid w:val="00476779"/>
    <w:rsid w:val="004802CE"/>
    <w:rsid w:val="004839F7"/>
    <w:rsid w:val="00486618"/>
    <w:rsid w:val="00491360"/>
    <w:rsid w:val="0049611B"/>
    <w:rsid w:val="00497DFA"/>
    <w:rsid w:val="004B5B6A"/>
    <w:rsid w:val="004B6BB6"/>
    <w:rsid w:val="004C18AD"/>
    <w:rsid w:val="004D066C"/>
    <w:rsid w:val="004D1B84"/>
    <w:rsid w:val="004D56B4"/>
    <w:rsid w:val="004E4A79"/>
    <w:rsid w:val="004E58DE"/>
    <w:rsid w:val="004F4CAD"/>
    <w:rsid w:val="00542657"/>
    <w:rsid w:val="0055262B"/>
    <w:rsid w:val="00553628"/>
    <w:rsid w:val="00564528"/>
    <w:rsid w:val="0056504C"/>
    <w:rsid w:val="00565153"/>
    <w:rsid w:val="005670BE"/>
    <w:rsid w:val="0058686B"/>
    <w:rsid w:val="00595A94"/>
    <w:rsid w:val="005A718D"/>
    <w:rsid w:val="005D0E36"/>
    <w:rsid w:val="005D5120"/>
    <w:rsid w:val="005E4224"/>
    <w:rsid w:val="005E4C39"/>
    <w:rsid w:val="005E5315"/>
    <w:rsid w:val="005E73EF"/>
    <w:rsid w:val="005E7940"/>
    <w:rsid w:val="006014DD"/>
    <w:rsid w:val="00606161"/>
    <w:rsid w:val="006071DF"/>
    <w:rsid w:val="00611AC5"/>
    <w:rsid w:val="006276A4"/>
    <w:rsid w:val="00634C85"/>
    <w:rsid w:val="0063562B"/>
    <w:rsid w:val="00640471"/>
    <w:rsid w:val="00652BD2"/>
    <w:rsid w:val="00657B34"/>
    <w:rsid w:val="00662164"/>
    <w:rsid w:val="006751AC"/>
    <w:rsid w:val="00676BD4"/>
    <w:rsid w:val="00677CE6"/>
    <w:rsid w:val="006819ED"/>
    <w:rsid w:val="00682025"/>
    <w:rsid w:val="006825F7"/>
    <w:rsid w:val="00690BC8"/>
    <w:rsid w:val="006A0BBB"/>
    <w:rsid w:val="006A415F"/>
    <w:rsid w:val="006B4900"/>
    <w:rsid w:val="006B4ADD"/>
    <w:rsid w:val="006B5B3A"/>
    <w:rsid w:val="006C36E0"/>
    <w:rsid w:val="006C4C63"/>
    <w:rsid w:val="006C58ED"/>
    <w:rsid w:val="006C66B1"/>
    <w:rsid w:val="006D1DFD"/>
    <w:rsid w:val="006D27EF"/>
    <w:rsid w:val="006D648B"/>
    <w:rsid w:val="006D7955"/>
    <w:rsid w:val="006E2B60"/>
    <w:rsid w:val="006F037A"/>
    <w:rsid w:val="00712523"/>
    <w:rsid w:val="00713790"/>
    <w:rsid w:val="007155F3"/>
    <w:rsid w:val="007244CF"/>
    <w:rsid w:val="00725E2F"/>
    <w:rsid w:val="007265A1"/>
    <w:rsid w:val="007270F4"/>
    <w:rsid w:val="007278F5"/>
    <w:rsid w:val="0075555C"/>
    <w:rsid w:val="007558F8"/>
    <w:rsid w:val="00755CB3"/>
    <w:rsid w:val="007566F5"/>
    <w:rsid w:val="0077063A"/>
    <w:rsid w:val="00771524"/>
    <w:rsid w:val="00786AA7"/>
    <w:rsid w:val="007910F4"/>
    <w:rsid w:val="007924E7"/>
    <w:rsid w:val="00795206"/>
    <w:rsid w:val="007A2630"/>
    <w:rsid w:val="007A4D56"/>
    <w:rsid w:val="007B1AE9"/>
    <w:rsid w:val="007C039B"/>
    <w:rsid w:val="007C61E1"/>
    <w:rsid w:val="007C6881"/>
    <w:rsid w:val="007D710D"/>
    <w:rsid w:val="007E3597"/>
    <w:rsid w:val="007E65A1"/>
    <w:rsid w:val="007F0C13"/>
    <w:rsid w:val="007F0C86"/>
    <w:rsid w:val="0080499C"/>
    <w:rsid w:val="00807A2B"/>
    <w:rsid w:val="008130FE"/>
    <w:rsid w:val="0082466B"/>
    <w:rsid w:val="008319C3"/>
    <w:rsid w:val="00833A9E"/>
    <w:rsid w:val="008352D2"/>
    <w:rsid w:val="00840117"/>
    <w:rsid w:val="008403D2"/>
    <w:rsid w:val="008443D2"/>
    <w:rsid w:val="00844569"/>
    <w:rsid w:val="00847BBC"/>
    <w:rsid w:val="00857D4A"/>
    <w:rsid w:val="00860320"/>
    <w:rsid w:val="00862530"/>
    <w:rsid w:val="00862DB5"/>
    <w:rsid w:val="0086458C"/>
    <w:rsid w:val="00864BD1"/>
    <w:rsid w:val="0086566D"/>
    <w:rsid w:val="00865C6A"/>
    <w:rsid w:val="00870242"/>
    <w:rsid w:val="00887E78"/>
    <w:rsid w:val="00894153"/>
    <w:rsid w:val="008B2B57"/>
    <w:rsid w:val="008D3899"/>
    <w:rsid w:val="008E1BE0"/>
    <w:rsid w:val="008E77AE"/>
    <w:rsid w:val="008F0491"/>
    <w:rsid w:val="008F4BE9"/>
    <w:rsid w:val="008F4D43"/>
    <w:rsid w:val="00901EED"/>
    <w:rsid w:val="0090392F"/>
    <w:rsid w:val="009045E4"/>
    <w:rsid w:val="00910B6E"/>
    <w:rsid w:val="00912436"/>
    <w:rsid w:val="009255C0"/>
    <w:rsid w:val="00927621"/>
    <w:rsid w:val="00931FFA"/>
    <w:rsid w:val="00942275"/>
    <w:rsid w:val="00945629"/>
    <w:rsid w:val="00952508"/>
    <w:rsid w:val="00963004"/>
    <w:rsid w:val="00965528"/>
    <w:rsid w:val="00967629"/>
    <w:rsid w:val="00970E76"/>
    <w:rsid w:val="00971428"/>
    <w:rsid w:val="00980F96"/>
    <w:rsid w:val="00982FDB"/>
    <w:rsid w:val="00991702"/>
    <w:rsid w:val="00993472"/>
    <w:rsid w:val="00995BD4"/>
    <w:rsid w:val="009A4734"/>
    <w:rsid w:val="009A57DA"/>
    <w:rsid w:val="009A64C3"/>
    <w:rsid w:val="009B14B2"/>
    <w:rsid w:val="009B27F7"/>
    <w:rsid w:val="009B70DC"/>
    <w:rsid w:val="009B723E"/>
    <w:rsid w:val="009C1A15"/>
    <w:rsid w:val="009C27FC"/>
    <w:rsid w:val="009D0905"/>
    <w:rsid w:val="009D51F4"/>
    <w:rsid w:val="009D6AEB"/>
    <w:rsid w:val="009E77E8"/>
    <w:rsid w:val="00A04CB2"/>
    <w:rsid w:val="00A11800"/>
    <w:rsid w:val="00A14FA2"/>
    <w:rsid w:val="00A2247A"/>
    <w:rsid w:val="00A23008"/>
    <w:rsid w:val="00A23CDE"/>
    <w:rsid w:val="00A26D3A"/>
    <w:rsid w:val="00A300B0"/>
    <w:rsid w:val="00A31081"/>
    <w:rsid w:val="00A33D4A"/>
    <w:rsid w:val="00A34909"/>
    <w:rsid w:val="00A414C4"/>
    <w:rsid w:val="00A41713"/>
    <w:rsid w:val="00A42451"/>
    <w:rsid w:val="00A456F8"/>
    <w:rsid w:val="00A47012"/>
    <w:rsid w:val="00A52083"/>
    <w:rsid w:val="00A52917"/>
    <w:rsid w:val="00A650D3"/>
    <w:rsid w:val="00A74F6F"/>
    <w:rsid w:val="00A90DF8"/>
    <w:rsid w:val="00A92345"/>
    <w:rsid w:val="00A95802"/>
    <w:rsid w:val="00AA611D"/>
    <w:rsid w:val="00AA7041"/>
    <w:rsid w:val="00AA70E9"/>
    <w:rsid w:val="00AB3B05"/>
    <w:rsid w:val="00AB533B"/>
    <w:rsid w:val="00AB654E"/>
    <w:rsid w:val="00AB73E3"/>
    <w:rsid w:val="00AC0C9C"/>
    <w:rsid w:val="00AC18DA"/>
    <w:rsid w:val="00AC58B7"/>
    <w:rsid w:val="00AD5F4B"/>
    <w:rsid w:val="00AE2E21"/>
    <w:rsid w:val="00AE7BFF"/>
    <w:rsid w:val="00AF1C1E"/>
    <w:rsid w:val="00AF4746"/>
    <w:rsid w:val="00B01D82"/>
    <w:rsid w:val="00B03C19"/>
    <w:rsid w:val="00B11842"/>
    <w:rsid w:val="00B14FAC"/>
    <w:rsid w:val="00B15ACE"/>
    <w:rsid w:val="00B2786C"/>
    <w:rsid w:val="00B35CA9"/>
    <w:rsid w:val="00B449F8"/>
    <w:rsid w:val="00B45F46"/>
    <w:rsid w:val="00B60623"/>
    <w:rsid w:val="00B638A9"/>
    <w:rsid w:val="00B6706E"/>
    <w:rsid w:val="00B73F4E"/>
    <w:rsid w:val="00B76D88"/>
    <w:rsid w:val="00B9131A"/>
    <w:rsid w:val="00BA117D"/>
    <w:rsid w:val="00BC2B5B"/>
    <w:rsid w:val="00BD0E06"/>
    <w:rsid w:val="00BF0EF2"/>
    <w:rsid w:val="00BF51EE"/>
    <w:rsid w:val="00BF5873"/>
    <w:rsid w:val="00BF5FDF"/>
    <w:rsid w:val="00BF7161"/>
    <w:rsid w:val="00C00AA6"/>
    <w:rsid w:val="00C1224E"/>
    <w:rsid w:val="00C14ED0"/>
    <w:rsid w:val="00C1571F"/>
    <w:rsid w:val="00C16612"/>
    <w:rsid w:val="00C46BF1"/>
    <w:rsid w:val="00C51E22"/>
    <w:rsid w:val="00C54A6C"/>
    <w:rsid w:val="00C56EBB"/>
    <w:rsid w:val="00C62EB9"/>
    <w:rsid w:val="00C70277"/>
    <w:rsid w:val="00C722E1"/>
    <w:rsid w:val="00C73DAC"/>
    <w:rsid w:val="00C756FA"/>
    <w:rsid w:val="00C77BC8"/>
    <w:rsid w:val="00C85E0E"/>
    <w:rsid w:val="00C907D3"/>
    <w:rsid w:val="00C96499"/>
    <w:rsid w:val="00CA5254"/>
    <w:rsid w:val="00CA6166"/>
    <w:rsid w:val="00CB59F1"/>
    <w:rsid w:val="00CC05E2"/>
    <w:rsid w:val="00CC33FF"/>
    <w:rsid w:val="00CC4D1C"/>
    <w:rsid w:val="00CD58D0"/>
    <w:rsid w:val="00CE28D9"/>
    <w:rsid w:val="00CE7230"/>
    <w:rsid w:val="00CF67C2"/>
    <w:rsid w:val="00CF78A7"/>
    <w:rsid w:val="00D02398"/>
    <w:rsid w:val="00D1389C"/>
    <w:rsid w:val="00D16FA6"/>
    <w:rsid w:val="00D17FAF"/>
    <w:rsid w:val="00D20F47"/>
    <w:rsid w:val="00D21550"/>
    <w:rsid w:val="00D404C3"/>
    <w:rsid w:val="00D40E36"/>
    <w:rsid w:val="00D4249C"/>
    <w:rsid w:val="00D57682"/>
    <w:rsid w:val="00D60023"/>
    <w:rsid w:val="00D610B3"/>
    <w:rsid w:val="00D6392B"/>
    <w:rsid w:val="00D65A33"/>
    <w:rsid w:val="00D66B78"/>
    <w:rsid w:val="00D75F1D"/>
    <w:rsid w:val="00D76C16"/>
    <w:rsid w:val="00D810B7"/>
    <w:rsid w:val="00D83F1E"/>
    <w:rsid w:val="00D965C8"/>
    <w:rsid w:val="00DA4BC4"/>
    <w:rsid w:val="00DA6B52"/>
    <w:rsid w:val="00DA6C5F"/>
    <w:rsid w:val="00DA71C4"/>
    <w:rsid w:val="00DB6594"/>
    <w:rsid w:val="00DC2070"/>
    <w:rsid w:val="00DC50A8"/>
    <w:rsid w:val="00DC72FE"/>
    <w:rsid w:val="00DE1791"/>
    <w:rsid w:val="00DE22DE"/>
    <w:rsid w:val="00DE2613"/>
    <w:rsid w:val="00DF48D8"/>
    <w:rsid w:val="00DF5886"/>
    <w:rsid w:val="00E044B6"/>
    <w:rsid w:val="00E202AC"/>
    <w:rsid w:val="00E20D05"/>
    <w:rsid w:val="00E2410B"/>
    <w:rsid w:val="00E41F9A"/>
    <w:rsid w:val="00E422B2"/>
    <w:rsid w:val="00E46E0B"/>
    <w:rsid w:val="00E47263"/>
    <w:rsid w:val="00E51995"/>
    <w:rsid w:val="00E730F2"/>
    <w:rsid w:val="00E7792B"/>
    <w:rsid w:val="00E83EFD"/>
    <w:rsid w:val="00E8642A"/>
    <w:rsid w:val="00E872E8"/>
    <w:rsid w:val="00E93E7D"/>
    <w:rsid w:val="00E9543E"/>
    <w:rsid w:val="00EB0D31"/>
    <w:rsid w:val="00EB221A"/>
    <w:rsid w:val="00EB5CBB"/>
    <w:rsid w:val="00EC667A"/>
    <w:rsid w:val="00ED2738"/>
    <w:rsid w:val="00ED3932"/>
    <w:rsid w:val="00EE76E4"/>
    <w:rsid w:val="00EF49FB"/>
    <w:rsid w:val="00EF7D43"/>
    <w:rsid w:val="00F10504"/>
    <w:rsid w:val="00F10E5B"/>
    <w:rsid w:val="00F140CD"/>
    <w:rsid w:val="00F227F4"/>
    <w:rsid w:val="00F27249"/>
    <w:rsid w:val="00F31F6F"/>
    <w:rsid w:val="00F322DF"/>
    <w:rsid w:val="00F51096"/>
    <w:rsid w:val="00F52008"/>
    <w:rsid w:val="00F55DB1"/>
    <w:rsid w:val="00F560A7"/>
    <w:rsid w:val="00F6015A"/>
    <w:rsid w:val="00F657D5"/>
    <w:rsid w:val="00F820C1"/>
    <w:rsid w:val="00F83E7C"/>
    <w:rsid w:val="00F860DB"/>
    <w:rsid w:val="00F86651"/>
    <w:rsid w:val="00FA7D1A"/>
    <w:rsid w:val="00FA7D5C"/>
    <w:rsid w:val="00FB652A"/>
    <w:rsid w:val="00FC3A81"/>
    <w:rsid w:val="00FD1E8D"/>
    <w:rsid w:val="00FD28FE"/>
    <w:rsid w:val="00FE455D"/>
    <w:rsid w:val="00FE6FCE"/>
    <w:rsid w:val="00FF415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404C3"/>
    <w:rPr>
      <w:rFonts w:ascii="Arial" w:hAnsi="Arial" w:cs="Arial"/>
      <w:sz w:val="20"/>
      <w:szCs w:val="20"/>
    </w:rPr>
  </w:style>
  <w:style w:type="paragraph" w:styleId="Heading1">
    <w:name w:val="heading 1"/>
    <w:basedOn w:val="Normal"/>
    <w:next w:val="Normal"/>
    <w:link w:val="Heading1Char"/>
    <w:uiPriority w:val="99"/>
    <w:qFormat/>
    <w:rsid w:val="00DC50A8"/>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9"/>
    <w:qFormat/>
    <w:rsid w:val="00DC50A8"/>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uiPriority w:val="99"/>
    <w:qFormat/>
    <w:rsid w:val="00DC50A8"/>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9"/>
    <w:qFormat/>
    <w:rsid w:val="00DC50A8"/>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DC50A8"/>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DC50A8"/>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DC50A8"/>
    <w:pPr>
      <w:numPr>
        <w:ilvl w:val="6"/>
        <w:numId w:val="1"/>
      </w:numPr>
      <w:spacing w:before="240" w:after="60"/>
      <w:outlineLvl w:val="6"/>
    </w:pPr>
  </w:style>
  <w:style w:type="paragraph" w:styleId="Heading8">
    <w:name w:val="heading 8"/>
    <w:basedOn w:val="Normal"/>
    <w:next w:val="Normal"/>
    <w:link w:val="Heading8Char"/>
    <w:uiPriority w:val="99"/>
    <w:qFormat/>
    <w:rsid w:val="00DC50A8"/>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DC50A8"/>
    <w:pPr>
      <w:numPr>
        <w:ilvl w:val="8"/>
        <w:numId w:val="1"/>
      </w:numPr>
      <w:spacing w:before="240" w:after="60"/>
      <w:outlineLvl w:val="8"/>
    </w:pPr>
    <w:rPr>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02AC"/>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202A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E202AC"/>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E202AC"/>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E202AC"/>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E202AC"/>
    <w:rPr>
      <w:rFonts w:ascii="Calibri" w:hAnsi="Calibri" w:cs="Times New Roman"/>
      <w:b/>
      <w:bCs/>
    </w:rPr>
  </w:style>
  <w:style w:type="character" w:customStyle="1" w:styleId="Heading7Char">
    <w:name w:val="Heading 7 Char"/>
    <w:basedOn w:val="DefaultParagraphFont"/>
    <w:link w:val="Heading7"/>
    <w:uiPriority w:val="99"/>
    <w:semiHidden/>
    <w:locked/>
    <w:rsid w:val="00E202AC"/>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E202AC"/>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E202AC"/>
    <w:rPr>
      <w:rFonts w:ascii="Cambria" w:hAnsi="Cambria" w:cs="Times New Roman"/>
    </w:rPr>
  </w:style>
  <w:style w:type="paragraph" w:styleId="Header">
    <w:name w:val="header"/>
    <w:basedOn w:val="Normal"/>
    <w:link w:val="HeaderChar"/>
    <w:uiPriority w:val="99"/>
    <w:rsid w:val="0037080E"/>
    <w:pPr>
      <w:tabs>
        <w:tab w:val="center" w:pos="4320"/>
        <w:tab w:val="right" w:pos="8640"/>
      </w:tabs>
    </w:pPr>
  </w:style>
  <w:style w:type="character" w:customStyle="1" w:styleId="HeaderChar">
    <w:name w:val="Header Char"/>
    <w:basedOn w:val="DefaultParagraphFont"/>
    <w:link w:val="Header"/>
    <w:uiPriority w:val="99"/>
    <w:semiHidden/>
    <w:locked/>
    <w:rsid w:val="00E202AC"/>
    <w:rPr>
      <w:rFonts w:ascii="Arial" w:hAnsi="Arial" w:cs="Arial"/>
      <w:sz w:val="20"/>
      <w:szCs w:val="20"/>
    </w:rPr>
  </w:style>
  <w:style w:type="paragraph" w:styleId="Footer">
    <w:name w:val="footer"/>
    <w:basedOn w:val="Normal"/>
    <w:link w:val="FooterChar"/>
    <w:uiPriority w:val="99"/>
    <w:rsid w:val="0037080E"/>
    <w:pPr>
      <w:tabs>
        <w:tab w:val="center" w:pos="4320"/>
        <w:tab w:val="right" w:pos="8640"/>
      </w:tabs>
    </w:pPr>
    <w:rPr>
      <w:rFonts w:cs="Times New Roman"/>
    </w:rPr>
  </w:style>
  <w:style w:type="character" w:customStyle="1" w:styleId="FooterChar">
    <w:name w:val="Footer Char"/>
    <w:basedOn w:val="DefaultParagraphFont"/>
    <w:link w:val="Footer"/>
    <w:uiPriority w:val="99"/>
    <w:locked/>
    <w:rsid w:val="00A414C4"/>
    <w:rPr>
      <w:rFonts w:ascii="Arial" w:hAnsi="Arial" w:cs="Times New Roman"/>
    </w:rPr>
  </w:style>
  <w:style w:type="character" w:styleId="PageNumber">
    <w:name w:val="page number"/>
    <w:basedOn w:val="DefaultParagraphFont"/>
    <w:uiPriority w:val="99"/>
    <w:rsid w:val="00061B56"/>
    <w:rPr>
      <w:rFonts w:cs="Times New Roman"/>
    </w:rPr>
  </w:style>
  <w:style w:type="character" w:styleId="Hyperlink">
    <w:name w:val="Hyperlink"/>
    <w:basedOn w:val="DefaultParagraphFont"/>
    <w:uiPriority w:val="99"/>
    <w:rsid w:val="00712523"/>
    <w:rPr>
      <w:rFonts w:cs="Times New Roman"/>
      <w:color w:val="0000FF"/>
      <w:u w:val="single"/>
    </w:rPr>
  </w:style>
  <w:style w:type="paragraph" w:customStyle="1" w:styleId="Bullet">
    <w:name w:val="Bullet"/>
    <w:basedOn w:val="Heading3"/>
    <w:uiPriority w:val="99"/>
    <w:rsid w:val="00712523"/>
    <w:pPr>
      <w:keepNext w:val="0"/>
      <w:numPr>
        <w:ilvl w:val="0"/>
        <w:numId w:val="2"/>
      </w:numPr>
      <w:overflowPunct w:val="0"/>
      <w:autoSpaceDE w:val="0"/>
      <w:autoSpaceDN w:val="0"/>
      <w:adjustRightInd w:val="0"/>
      <w:spacing w:before="120" w:after="0"/>
      <w:textAlignment w:val="baseline"/>
    </w:pPr>
    <w:rPr>
      <w:rFonts w:ascii="Times New Roman" w:hAnsi="Times New Roman" w:cs="Tahoma"/>
      <w:b w:val="0"/>
      <w:bCs w:val="0"/>
      <w:sz w:val="24"/>
      <w:szCs w:val="20"/>
    </w:rPr>
  </w:style>
  <w:style w:type="character" w:styleId="FollowedHyperlink">
    <w:name w:val="FollowedHyperlink"/>
    <w:basedOn w:val="DefaultParagraphFont"/>
    <w:uiPriority w:val="99"/>
    <w:rsid w:val="003D10E8"/>
    <w:rPr>
      <w:rFonts w:cs="Times New Roman"/>
      <w:color w:val="606420"/>
      <w:u w:val="single"/>
    </w:rPr>
  </w:style>
  <w:style w:type="paragraph" w:styleId="BalloonText">
    <w:name w:val="Balloon Text"/>
    <w:basedOn w:val="Normal"/>
    <w:link w:val="BalloonTextChar"/>
    <w:uiPriority w:val="99"/>
    <w:semiHidden/>
    <w:rsid w:val="00BF716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02AC"/>
    <w:rPr>
      <w:rFonts w:cs="Arial"/>
      <w:sz w:val="2"/>
    </w:rPr>
  </w:style>
  <w:style w:type="table" w:styleId="TableGrid">
    <w:name w:val="Table Grid"/>
    <w:basedOn w:val="TableNormal"/>
    <w:uiPriority w:val="99"/>
    <w:rsid w:val="005E531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35">
    <w:name w:val="EmailStyle35"/>
    <w:basedOn w:val="DefaultParagraphFont"/>
    <w:uiPriority w:val="99"/>
    <w:semiHidden/>
    <w:rsid w:val="003F21C7"/>
    <w:rPr>
      <w:rFonts w:ascii="Calibri" w:hAnsi="Calibri" w:cs="Times New Roman"/>
      <w:color w:val="auto"/>
      <w:sz w:val="22"/>
      <w:szCs w:val="22"/>
      <w:u w:val="none"/>
    </w:rPr>
  </w:style>
  <w:style w:type="paragraph" w:styleId="BodyText">
    <w:name w:val="Body Text"/>
    <w:basedOn w:val="Normal"/>
    <w:link w:val="BodyTextChar"/>
    <w:uiPriority w:val="99"/>
    <w:rsid w:val="00061C27"/>
    <w:pPr>
      <w:ind w:left="720"/>
    </w:pPr>
    <w:rPr>
      <w:rFonts w:ascii="Times New Roman" w:hAnsi="Times New Roman" w:cs="Times New Roman"/>
      <w:sz w:val="24"/>
    </w:rPr>
  </w:style>
  <w:style w:type="character" w:customStyle="1" w:styleId="BodyTextChar">
    <w:name w:val="Body Text Char"/>
    <w:basedOn w:val="DefaultParagraphFont"/>
    <w:link w:val="BodyText"/>
    <w:uiPriority w:val="99"/>
    <w:locked/>
    <w:rsid w:val="00061C27"/>
    <w:rPr>
      <w:rFonts w:cs="Times New Roman"/>
      <w:sz w:val="20"/>
      <w:szCs w:val="20"/>
    </w:rPr>
  </w:style>
  <w:style w:type="character" w:customStyle="1" w:styleId="EmailStyle381">
    <w:name w:val="EmailStyle381"/>
    <w:basedOn w:val="DefaultParagraphFont"/>
    <w:uiPriority w:val="99"/>
    <w:semiHidden/>
    <w:rsid w:val="009045E4"/>
    <w:rPr>
      <w:rFonts w:ascii="Calibri" w:hAnsi="Calibri" w:cs="Times New Roman"/>
      <w:color w:val="auto"/>
      <w:sz w:val="22"/>
      <w:szCs w:val="22"/>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E-MS/MSArchitecture/AB%20Document%20Library/1/Top%2010%20Rules%20for%20Secure%20Coding.doc" TargetMode="External"/><Relationship Id="rId13" Type="http://schemas.openxmlformats.org/officeDocument/2006/relationships/hyperlink" Target="http://mgts.maritz.com/development/MLM/wikit/Wiki%20Pages/ARCH_OPENSOURCE_POLICIES_AND_REVIEW.aspx"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owasp.org/index.php/Top_10_2007" TargetMode="External"/><Relationship Id="rId12" Type="http://schemas.openxmlformats.org/officeDocument/2006/relationships/hyperlink" Target="http://msdn.microsoft.com/en-us/library/z1hkazw7.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973839.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ms229005.aspx"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msdn.microsoft.com/en-us/library/ms229042.aspx" TargetMode="External"/><Relationship Id="rId14" Type="http://schemas.openxmlformats.org/officeDocument/2006/relationships/hyperlink" Target="http://www.owasp.org/index.php/Top_10_20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TM1679\Application%20Data\Microsoft\Templates\E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13BF9626B68642A9E28FCC55E4C66C" ma:contentTypeVersion="0" ma:contentTypeDescription="Create a new document." ma:contentTypeScope="" ma:versionID="fa7b40b4767f7d88c9beaca68b19f5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403EA-4E82-4B70-9F07-421546D100AA}"/>
</file>

<file path=customXml/itemProps2.xml><?xml version="1.0" encoding="utf-8"?>
<ds:datastoreItem xmlns:ds="http://schemas.openxmlformats.org/officeDocument/2006/customXml" ds:itemID="{BBC97CF8-7570-4FD5-8578-6C055BD9F3EF}"/>
</file>

<file path=customXml/itemProps3.xml><?xml version="1.0" encoding="utf-8"?>
<ds:datastoreItem xmlns:ds="http://schemas.openxmlformats.org/officeDocument/2006/customXml" ds:itemID="{17FC321C-BD7D-48B3-840E-AA476C96B7C8}"/>
</file>

<file path=docProps/app.xml><?xml version="1.0" encoding="utf-8"?>
<Properties xmlns="http://schemas.openxmlformats.org/officeDocument/2006/extended-properties" xmlns:vt="http://schemas.openxmlformats.org/officeDocument/2006/docPropsVTypes">
  <Template>EAM.dot</Template>
  <TotalTime>5932</TotalTime>
  <Pages>9</Pages>
  <Words>3091</Words>
  <Characters>17621</Characters>
  <Application>Microsoft Office Outlook</Application>
  <DocSecurity>0</DocSecurity>
  <Lines>0</Lines>
  <Paragraphs>0</Paragraphs>
  <ScaleCrop>false</ScaleCrop>
  <Company>Anheuser-Busch Companies,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Code Review Checklist</dc:title>
  <dc:subject/>
  <dc:creator>ztm1679</dc:creator>
  <cp:keywords/>
  <dc:description/>
  <cp:lastModifiedBy>annapal</cp:lastModifiedBy>
  <cp:revision>68</cp:revision>
  <cp:lastPrinted>2008-09-24T19:38:00Z</cp:lastPrinted>
  <dcterms:created xsi:type="dcterms:W3CDTF">2012-05-18T17:12:00Z</dcterms:created>
  <dcterms:modified xsi:type="dcterms:W3CDTF">2013-01-29T06:11:00Z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Hold">
    <vt:lpwstr>False</vt:lpwstr>
  </property>
  <property fmtid="{D5CDD505-2E9C-101B-9397-08002B2CF9AE}" pid="4" name="Owner">
    <vt:lpwstr>EAS</vt:lpwstr>
  </property>
  <property fmtid="{D5CDD505-2E9C-101B-9397-08002B2CF9AE}" pid="5" name="LegalHold">
    <vt:lpwstr>False</vt:lpwstr>
  </property>
  <property fmtid="{D5CDD505-2E9C-101B-9397-08002B2CF9AE}" pid="6" name="Significance of last change">
    <vt:lpwstr>High</vt:lpwstr>
  </property>
  <property fmtid="{D5CDD505-2E9C-101B-9397-08002B2CF9AE}" pid="7" name="Offshore">
    <vt:lpwstr>1</vt:lpwstr>
  </property>
  <property fmtid="{D5CDD505-2E9C-101B-9397-08002B2CF9AE}" pid="8" name="Use">
    <vt:lpwstr>Guidelines</vt:lpwstr>
  </property>
  <property fmtid="{D5CDD505-2E9C-101B-9397-08002B2CF9AE}" pid="9" name="Level">
    <vt:lpwstr>Basic</vt:lpwstr>
  </property>
  <property fmtid="{D5CDD505-2E9C-101B-9397-08002B2CF9AE}" pid="10" name="Platform2">
    <vt:lpwstr>MS</vt:lpwstr>
  </property>
  <property fmtid="{D5CDD505-2E9C-101B-9397-08002B2CF9AE}" pid="11" name="Roles affected by last change">
    <vt:lpwstr>;#Application Architect;#Developer;#Project Manager;#Other;#</vt:lpwstr>
  </property>
  <property fmtid="{D5CDD505-2E9C-101B-9397-08002B2CF9AE}" pid="12" name="Summary of last change">
    <vt:lpwstr>Added PCI considerations to previously established guidelines.</vt:lpwstr>
  </property>
  <property fmtid="{D5CDD505-2E9C-101B-9397-08002B2CF9AE}" pid="13" name="Environment">
    <vt:lpwstr/>
  </property>
  <property fmtid="{D5CDD505-2E9C-101B-9397-08002B2CF9AE}" pid="14" name="FileClass">
    <vt:lpwstr>Official</vt:lpwstr>
  </property>
  <property fmtid="{D5CDD505-2E9C-101B-9397-08002B2CF9AE}" pid="15" name="EligibleRetirementYear">
    <vt:lpwstr>Active</vt:lpwstr>
  </property>
  <property fmtid="{D5CDD505-2E9C-101B-9397-08002B2CF9AE}" pid="16" name="LastReviewedDate">
    <vt:lpwstr>11/17/2008</vt:lpwstr>
  </property>
  <property fmtid="{D5CDD505-2E9C-101B-9397-08002B2CF9AE}" pid="17" name="RetentionCode">
    <vt:lpwstr>MIS2000</vt:lpwstr>
  </property>
  <property fmtid="{D5CDD505-2E9C-101B-9397-08002B2CF9AE}" pid="18" name="Active">
    <vt:lpwstr>Active</vt:lpwstr>
  </property>
  <property fmtid="{D5CDD505-2E9C-101B-9397-08002B2CF9AE}" pid="19" name="RetentionPeriod">
    <vt:lpwstr>Active + 1</vt:lpwstr>
  </property>
  <property fmtid="{D5CDD505-2E9C-101B-9397-08002B2CF9AE}" pid="20" name="InactiveYear">
    <vt:lpwstr> </vt:lpwstr>
  </property>
  <property fmtid="{D5CDD505-2E9C-101B-9397-08002B2CF9AE}" pid="21" name="ReviewedBy">
    <vt:lpwstr>Jason Hampton</vt:lpwstr>
  </property>
  <property fmtid="{D5CDD505-2E9C-101B-9397-08002B2CF9AE}" pid="22" name="ContentTypeId">
    <vt:lpwstr>0x010100F913BF9626B68642A9E28FCC55E4C66C</vt:lpwstr>
  </property>
  <property fmtid="{D5CDD505-2E9C-101B-9397-08002B2CF9AE}" pid="23" name="Planned Release Date">
    <vt:lpwstr/>
  </property>
  <property fmtid="{D5CDD505-2E9C-101B-9397-08002B2CF9AE}" pid="24" name="Approved">
    <vt:lpwstr>0</vt:lpwstr>
  </property>
  <property fmtid="{D5CDD505-2E9C-101B-9397-08002B2CF9AE}" pid="25" name="ContentType">
    <vt:lpwstr>Document</vt:lpwstr>
  </property>
</Properties>
</file>