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18"/>
        <w:gridCol w:w="9"/>
      </w:tblGrid>
      <w:tr w:rsidR="00D217C7" w:rsidRPr="00942068" w14:paraId="422D7F50" w14:textId="77777777" w:rsidTr="76A48BD2">
        <w:tc>
          <w:tcPr>
            <w:tcW w:w="9016" w:type="dxa"/>
            <w:gridSpan w:val="3"/>
          </w:tcPr>
          <w:p w14:paraId="417F0D49" w14:textId="7B423A4F" w:rsidR="00D217C7" w:rsidRPr="00D81E10" w:rsidRDefault="00D81E10" w:rsidP="00711EE3">
            <w:pPr>
              <w:pStyle w:val="Heading2"/>
              <w:shd w:val="clear" w:color="auto" w:fill="FFFFFF"/>
              <w:spacing w:before="0" w:beforeAutospacing="0" w:after="0" w:afterAutospacing="0" w:line="288" w:lineRule="atLeast"/>
              <w:jc w:val="center"/>
              <w:rPr>
                <w:rFonts w:ascii="Gill Sans MT" w:hAnsi="Gill Sans MT" w:cstheme="minorHAnsi"/>
                <w:i/>
                <w:iCs/>
                <w:color w:val="000000" w:themeColor="text1"/>
                <w:sz w:val="22"/>
                <w:szCs w:val="22"/>
              </w:rPr>
            </w:pPr>
            <w:r w:rsidRPr="00D81E10">
              <w:rPr>
                <w:rFonts w:ascii="Gill Sans MT" w:hAnsi="Gill Sans MT" w:cstheme="minorHAnsi"/>
                <w:b w:val="0"/>
                <w:bCs w:val="0"/>
                <w:i/>
                <w:iCs/>
                <w:color w:val="000000" w:themeColor="text1"/>
                <w:sz w:val="22"/>
                <w:szCs w:val="22"/>
              </w:rPr>
              <w:t>Hoffmann v South African Airways</w:t>
            </w:r>
          </w:p>
        </w:tc>
      </w:tr>
      <w:tr w:rsidR="00D217C7" w:rsidRPr="00942068" w14:paraId="126BC173" w14:textId="77777777" w:rsidTr="76A48BD2">
        <w:tc>
          <w:tcPr>
            <w:tcW w:w="2689" w:type="dxa"/>
          </w:tcPr>
          <w:p w14:paraId="6679F913"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Project code</w:t>
            </w:r>
            <w:r w:rsidRPr="001D2B71">
              <w:rPr>
                <w:rStyle w:val="FootnoteReference"/>
                <w:rFonts w:ascii="Gill Sans MT" w:hAnsi="Gill Sans MT" w:cs="Arial"/>
                <w:sz w:val="22"/>
                <w:szCs w:val="22"/>
              </w:rPr>
              <w:footnoteReference w:id="1"/>
            </w:r>
          </w:p>
        </w:tc>
        <w:tc>
          <w:tcPr>
            <w:tcW w:w="6327" w:type="dxa"/>
            <w:gridSpan w:val="2"/>
          </w:tcPr>
          <w:p w14:paraId="70554603" w14:textId="438827C9" w:rsidR="00D217C7" w:rsidRPr="000A22D1" w:rsidRDefault="002A4B01"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 xml:space="preserve">SAF </w:t>
            </w:r>
          </w:p>
        </w:tc>
      </w:tr>
      <w:tr w:rsidR="00D217C7" w:rsidRPr="00942068" w14:paraId="11F7E7AC" w14:textId="77777777" w:rsidTr="76A48BD2">
        <w:tc>
          <w:tcPr>
            <w:tcW w:w="2689" w:type="dxa"/>
          </w:tcPr>
          <w:p w14:paraId="4AE9230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URL</w:t>
            </w:r>
          </w:p>
        </w:tc>
        <w:tc>
          <w:tcPr>
            <w:tcW w:w="6327" w:type="dxa"/>
            <w:gridSpan w:val="2"/>
          </w:tcPr>
          <w:p w14:paraId="6CF1C3F8" w14:textId="4401F6D8" w:rsidR="00D217C7" w:rsidRPr="00942068" w:rsidRDefault="00000000" w:rsidP="00711EE3">
            <w:pPr>
              <w:jc w:val="both"/>
              <w:rPr>
                <w:rFonts w:ascii="Gill Sans MT" w:hAnsi="Gill Sans MT" w:cstheme="minorHAnsi"/>
                <w:color w:val="000000" w:themeColor="text1"/>
                <w:sz w:val="22"/>
                <w:szCs w:val="22"/>
              </w:rPr>
            </w:pPr>
            <w:hyperlink r:id="rId7" w:history="1">
              <w:r w:rsidR="00344BF3" w:rsidRPr="00F645F8">
                <w:rPr>
                  <w:rStyle w:val="Hyperlink"/>
                  <w:rFonts w:ascii="Gill Sans MT" w:hAnsi="Gill Sans MT" w:cstheme="minorHAnsi"/>
                  <w:sz w:val="22"/>
                  <w:szCs w:val="22"/>
                </w:rPr>
                <w:t>http://www.saflii.org/za/cases/ZACC/2000/17.pdf</w:t>
              </w:r>
            </w:hyperlink>
            <w:r w:rsidR="00344BF3">
              <w:rPr>
                <w:rFonts w:ascii="Gill Sans MT" w:hAnsi="Gill Sans MT" w:cstheme="minorHAnsi"/>
                <w:color w:val="000000" w:themeColor="text1"/>
                <w:sz w:val="22"/>
                <w:szCs w:val="22"/>
              </w:rPr>
              <w:t xml:space="preserve"> </w:t>
            </w:r>
          </w:p>
        </w:tc>
      </w:tr>
      <w:tr w:rsidR="00D217C7" w:rsidRPr="00942068" w14:paraId="18FFE6A2" w14:textId="77777777" w:rsidTr="76A48BD2">
        <w:tc>
          <w:tcPr>
            <w:tcW w:w="2689" w:type="dxa"/>
          </w:tcPr>
          <w:p w14:paraId="6E7F7E95"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Citations</w:t>
            </w:r>
          </w:p>
        </w:tc>
        <w:tc>
          <w:tcPr>
            <w:tcW w:w="6327" w:type="dxa"/>
            <w:gridSpan w:val="2"/>
          </w:tcPr>
          <w:p w14:paraId="2C2816D0" w14:textId="61104148" w:rsidR="00D217C7" w:rsidRPr="00942068" w:rsidRDefault="00C408B7" w:rsidP="00C408B7">
            <w:pPr>
              <w:pStyle w:val="Heading2"/>
              <w:spacing w:before="0" w:after="0"/>
              <w:jc w:val="both"/>
              <w:rPr>
                <w:rFonts w:ascii="Gill Sans MT" w:hAnsi="Gill Sans MT" w:cstheme="minorHAnsi"/>
                <w:b w:val="0"/>
                <w:bCs w:val="0"/>
                <w:color w:val="000000" w:themeColor="text1"/>
                <w:sz w:val="22"/>
                <w:szCs w:val="22"/>
              </w:rPr>
            </w:pPr>
            <w:r w:rsidRPr="00C408B7">
              <w:rPr>
                <w:rFonts w:ascii="Gill Sans MT" w:hAnsi="Gill Sans MT" w:cstheme="minorHAnsi"/>
                <w:b w:val="0"/>
                <w:bCs w:val="0"/>
                <w:color w:val="000000" w:themeColor="text1"/>
                <w:sz w:val="22"/>
                <w:szCs w:val="22"/>
              </w:rPr>
              <w:t xml:space="preserve">(CCT17/00) [2000] ZACC 17; 2001 (1) SA 1; 2000 (11) BCLR </w:t>
            </w:r>
            <w:r w:rsidR="006846CD" w:rsidRPr="00C408B7">
              <w:rPr>
                <w:rFonts w:ascii="Gill Sans MT" w:hAnsi="Gill Sans MT" w:cstheme="minorHAnsi"/>
                <w:b w:val="0"/>
                <w:bCs w:val="0"/>
                <w:color w:val="000000" w:themeColor="text1"/>
                <w:sz w:val="22"/>
                <w:szCs w:val="22"/>
              </w:rPr>
              <w:t>1211;</w:t>
            </w:r>
            <w:r w:rsidRPr="00C408B7">
              <w:rPr>
                <w:rFonts w:ascii="Gill Sans MT" w:hAnsi="Gill Sans MT" w:cstheme="minorHAnsi"/>
                <w:b w:val="0"/>
                <w:bCs w:val="0"/>
                <w:color w:val="000000" w:themeColor="text1"/>
                <w:sz w:val="22"/>
                <w:szCs w:val="22"/>
              </w:rPr>
              <w:t xml:space="preserve"> [2000] 12 BLLR 1365 (CC) (28 September 2000)</w:t>
            </w:r>
          </w:p>
        </w:tc>
      </w:tr>
      <w:tr w:rsidR="00D217C7" w:rsidRPr="00942068" w14:paraId="054276C1" w14:textId="77777777" w:rsidTr="76A48BD2">
        <w:tc>
          <w:tcPr>
            <w:tcW w:w="2689" w:type="dxa"/>
          </w:tcPr>
          <w:p w14:paraId="2C3F89C1"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Country</w:t>
            </w:r>
          </w:p>
        </w:tc>
        <w:tc>
          <w:tcPr>
            <w:tcW w:w="6327" w:type="dxa"/>
            <w:gridSpan w:val="2"/>
          </w:tcPr>
          <w:p w14:paraId="1C946DBC" w14:textId="4211232F" w:rsidR="00D217C7" w:rsidRPr="00942068" w:rsidRDefault="00427491"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South Africa</w:t>
            </w:r>
          </w:p>
        </w:tc>
      </w:tr>
      <w:tr w:rsidR="00D217C7" w:rsidRPr="00942068" w14:paraId="58F9D1FE" w14:textId="77777777" w:rsidTr="76A48BD2">
        <w:tc>
          <w:tcPr>
            <w:tcW w:w="2689" w:type="dxa"/>
          </w:tcPr>
          <w:p w14:paraId="61D27917"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 of judgment</w:t>
            </w:r>
          </w:p>
        </w:tc>
        <w:tc>
          <w:tcPr>
            <w:tcW w:w="6327" w:type="dxa"/>
            <w:gridSpan w:val="2"/>
          </w:tcPr>
          <w:p w14:paraId="627C6349" w14:textId="229C7D48" w:rsidR="00D217C7" w:rsidRPr="00942068" w:rsidRDefault="0090353D" w:rsidP="0090353D">
            <w:pPr>
              <w:jc w:val="both"/>
              <w:rPr>
                <w:rFonts w:ascii="Gill Sans MT" w:hAnsi="Gill Sans MT" w:cstheme="minorHAnsi"/>
                <w:color w:val="000000" w:themeColor="text1"/>
                <w:sz w:val="22"/>
                <w:szCs w:val="22"/>
              </w:rPr>
            </w:pPr>
            <w:r w:rsidRPr="0090353D">
              <w:rPr>
                <w:rFonts w:ascii="Gill Sans MT" w:hAnsi="Gill Sans MT" w:cstheme="minorHAnsi"/>
                <w:color w:val="000000" w:themeColor="text1"/>
                <w:sz w:val="22"/>
                <w:szCs w:val="22"/>
              </w:rPr>
              <w:t>28 September 2000</w:t>
            </w:r>
          </w:p>
        </w:tc>
      </w:tr>
      <w:tr w:rsidR="00D217C7" w:rsidRPr="00942068" w14:paraId="3D1F6F6A" w14:textId="77777777" w:rsidTr="76A48BD2">
        <w:tc>
          <w:tcPr>
            <w:tcW w:w="2689" w:type="dxa"/>
          </w:tcPr>
          <w:p w14:paraId="02F9DB63"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Court</w:t>
            </w:r>
          </w:p>
        </w:tc>
        <w:tc>
          <w:tcPr>
            <w:tcW w:w="6327" w:type="dxa"/>
            <w:gridSpan w:val="2"/>
          </w:tcPr>
          <w:p w14:paraId="46621DD6" w14:textId="63659078" w:rsidR="00D217C7" w:rsidRPr="007A5F8E" w:rsidRDefault="0090353D" w:rsidP="00711EE3">
            <w:pPr>
              <w:jc w:val="both"/>
              <w:rPr>
                <w:rFonts w:ascii="Gill Sans MT" w:hAnsi="Gill Sans MT" w:cstheme="minorHAnsi"/>
                <w:color w:val="000000" w:themeColor="text1"/>
                <w:sz w:val="22"/>
                <w:szCs w:val="22"/>
              </w:rPr>
            </w:pPr>
            <w:r w:rsidRPr="007A5F8E">
              <w:rPr>
                <w:rFonts w:ascii="Gill Sans MT" w:hAnsi="Gill Sans MT" w:cstheme="minorHAnsi"/>
                <w:color w:val="000000" w:themeColor="text1"/>
                <w:sz w:val="22"/>
                <w:szCs w:val="22"/>
              </w:rPr>
              <w:t xml:space="preserve">Constitutional </w:t>
            </w:r>
            <w:r w:rsidR="00AA6D34">
              <w:rPr>
                <w:rFonts w:ascii="Gill Sans MT" w:hAnsi="Gill Sans MT" w:cstheme="minorHAnsi"/>
                <w:color w:val="000000" w:themeColor="text1"/>
                <w:sz w:val="22"/>
                <w:szCs w:val="22"/>
              </w:rPr>
              <w:t>C</w:t>
            </w:r>
            <w:r w:rsidRPr="007A5F8E">
              <w:rPr>
                <w:rFonts w:ascii="Gill Sans MT" w:hAnsi="Gill Sans MT" w:cstheme="minorHAnsi"/>
                <w:color w:val="000000" w:themeColor="text1"/>
                <w:sz w:val="22"/>
                <w:szCs w:val="22"/>
              </w:rPr>
              <w:t>ourt of South Africa</w:t>
            </w:r>
          </w:p>
        </w:tc>
      </w:tr>
      <w:tr w:rsidR="00D217C7" w:rsidRPr="00942068" w14:paraId="088D4908" w14:textId="77777777" w:rsidTr="76A48BD2">
        <w:tc>
          <w:tcPr>
            <w:tcW w:w="2689" w:type="dxa"/>
          </w:tcPr>
          <w:p w14:paraId="7A0209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Location</w:t>
            </w:r>
          </w:p>
        </w:tc>
        <w:tc>
          <w:tcPr>
            <w:tcW w:w="6327" w:type="dxa"/>
            <w:gridSpan w:val="2"/>
          </w:tcPr>
          <w:p w14:paraId="3B3C04B4" w14:textId="0AF53811" w:rsidR="00D217C7" w:rsidRPr="00942068" w:rsidRDefault="005446DB" w:rsidP="005446DB">
            <w:pPr>
              <w:jc w:val="both"/>
              <w:rPr>
                <w:rFonts w:ascii="Gill Sans MT" w:hAnsi="Gill Sans MT" w:cstheme="minorHAnsi"/>
                <w:color w:val="000000" w:themeColor="text1"/>
                <w:sz w:val="22"/>
                <w:szCs w:val="22"/>
              </w:rPr>
            </w:pPr>
            <w:r w:rsidRPr="005446DB">
              <w:rPr>
                <w:rFonts w:ascii="Gill Sans MT" w:hAnsi="Gill Sans MT" w:cstheme="minorHAnsi"/>
                <w:color w:val="000000" w:themeColor="text1"/>
                <w:sz w:val="22"/>
                <w:szCs w:val="22"/>
              </w:rPr>
              <w:t>Braamfontein</w:t>
            </w:r>
          </w:p>
        </w:tc>
      </w:tr>
      <w:tr w:rsidR="00D217C7" w:rsidRPr="00942068" w14:paraId="295E3C9F" w14:textId="77777777" w:rsidTr="76A48BD2">
        <w:tc>
          <w:tcPr>
            <w:tcW w:w="2689" w:type="dxa"/>
          </w:tcPr>
          <w:p w14:paraId="2F377101"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Case type</w:t>
            </w:r>
            <w:r w:rsidRPr="00BB35A1">
              <w:rPr>
                <w:rFonts w:ascii="Gill Sans MT" w:hAnsi="Gill Sans MT" w:cs="Arial"/>
                <w:sz w:val="22"/>
                <w:szCs w:val="22"/>
                <w:vertAlign w:val="superscript"/>
              </w:rPr>
              <w:footnoteReference w:id="2"/>
            </w:r>
          </w:p>
        </w:tc>
        <w:tc>
          <w:tcPr>
            <w:tcW w:w="6327" w:type="dxa"/>
            <w:gridSpan w:val="2"/>
          </w:tcPr>
          <w:p w14:paraId="7CF6F692" w14:textId="67FB1ED4" w:rsidR="00D217C7" w:rsidRPr="00942068" w:rsidRDefault="005446DB"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Appeal</w:t>
            </w:r>
          </w:p>
        </w:tc>
      </w:tr>
      <w:tr w:rsidR="00D217C7" w:rsidRPr="00942068" w14:paraId="5B17F0B7" w14:textId="77777777" w:rsidTr="76A48BD2">
        <w:tc>
          <w:tcPr>
            <w:tcW w:w="2689" w:type="dxa"/>
          </w:tcPr>
          <w:p w14:paraId="1F4863B9"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Result</w:t>
            </w:r>
          </w:p>
        </w:tc>
        <w:tc>
          <w:tcPr>
            <w:tcW w:w="6327" w:type="dxa"/>
            <w:gridSpan w:val="2"/>
          </w:tcPr>
          <w:p w14:paraId="37268062" w14:textId="60FF4F3C" w:rsidR="00D217C7" w:rsidRPr="00942068" w:rsidRDefault="00160287"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Allowed</w:t>
            </w:r>
          </w:p>
        </w:tc>
      </w:tr>
      <w:tr w:rsidR="00D217C7" w:rsidRPr="00942068" w14:paraId="38C94FE5" w14:textId="77777777" w:rsidTr="76A48BD2">
        <w:tc>
          <w:tcPr>
            <w:tcW w:w="2689" w:type="dxa"/>
          </w:tcPr>
          <w:p w14:paraId="407A7067" w14:textId="77777777" w:rsidR="00D217C7" w:rsidRPr="00942068" w:rsidRDefault="00D217C7" w:rsidP="00711EE3">
            <w:pPr>
              <w:jc w:val="both"/>
              <w:rPr>
                <w:rFonts w:ascii="Gill Sans MT" w:hAnsi="Gill Sans MT" w:cstheme="minorHAnsi"/>
                <w:color w:val="000000" w:themeColor="text1"/>
                <w:sz w:val="22"/>
                <w:szCs w:val="22"/>
              </w:rPr>
            </w:pPr>
            <w:r w:rsidRPr="00495C51">
              <w:rPr>
                <w:rFonts w:ascii="Gill Sans MT" w:hAnsi="Gill Sans MT" w:cs="Arial"/>
                <w:sz w:val="22"/>
                <w:szCs w:val="22"/>
              </w:rPr>
              <w:t>Flynote</w:t>
            </w:r>
            <w:r w:rsidRPr="00495C51">
              <w:rPr>
                <w:rFonts w:ascii="Gill Sans MT" w:hAnsi="Gill Sans MT" w:cs="Arial"/>
                <w:sz w:val="22"/>
                <w:szCs w:val="22"/>
                <w:vertAlign w:val="superscript"/>
              </w:rPr>
              <w:footnoteReference w:id="3"/>
            </w:r>
          </w:p>
        </w:tc>
        <w:tc>
          <w:tcPr>
            <w:tcW w:w="6327" w:type="dxa"/>
            <w:gridSpan w:val="2"/>
          </w:tcPr>
          <w:p w14:paraId="59BDD3F9" w14:textId="0CB41D19" w:rsidR="00FE6BF7" w:rsidRPr="002A4B01" w:rsidRDefault="002A4B01" w:rsidP="3884A1B1">
            <w:pPr>
              <w:jc w:val="both"/>
              <w:rPr>
                <w:rFonts w:ascii="Gill Sans MT" w:hAnsi="Gill Sans MT" w:cstheme="minorBidi"/>
                <w:b/>
                <w:bCs/>
                <w:color w:val="000000" w:themeColor="text1"/>
                <w:sz w:val="22"/>
                <w:szCs w:val="22"/>
              </w:rPr>
            </w:pPr>
            <w:r>
              <w:rPr>
                <w:rFonts w:ascii="Gill Sans MT" w:hAnsi="Gill Sans MT" w:cstheme="minorBidi"/>
                <w:b/>
                <w:bCs/>
                <w:color w:val="000000" w:themeColor="text1"/>
                <w:sz w:val="22"/>
                <w:szCs w:val="22"/>
              </w:rPr>
              <w:t xml:space="preserve">Human rights and fundamental freedoms - </w:t>
            </w:r>
            <w:r w:rsidR="00860C8D" w:rsidRPr="3884A1B1">
              <w:rPr>
                <w:rFonts w:ascii="Gill Sans MT" w:hAnsi="Gill Sans MT" w:cstheme="minorBidi"/>
                <w:color w:val="000000" w:themeColor="text1"/>
                <w:sz w:val="22"/>
                <w:szCs w:val="22"/>
              </w:rPr>
              <w:t>Bill of Rights</w:t>
            </w:r>
            <w:r>
              <w:rPr>
                <w:rFonts w:ascii="Gill Sans MT" w:hAnsi="Gill Sans MT" w:cstheme="minorBidi"/>
                <w:color w:val="000000" w:themeColor="text1"/>
                <w:sz w:val="22"/>
                <w:szCs w:val="22"/>
              </w:rPr>
              <w:t xml:space="preserve"> </w:t>
            </w:r>
            <w:r w:rsidR="00E27864" w:rsidRPr="3884A1B1">
              <w:rPr>
                <w:rFonts w:ascii="Gill Sans MT" w:hAnsi="Gill Sans MT" w:cstheme="minorBidi"/>
                <w:color w:val="000000" w:themeColor="text1"/>
                <w:sz w:val="22"/>
                <w:szCs w:val="22"/>
              </w:rPr>
              <w:t>-</w:t>
            </w:r>
            <w:r w:rsidR="00FE6BF7" w:rsidRPr="3884A1B1">
              <w:rPr>
                <w:rFonts w:asciiTheme="minorHAnsi" w:eastAsiaTheme="minorEastAsia" w:hAnsiTheme="minorHAnsi" w:cstheme="minorBidi"/>
                <w:kern w:val="2"/>
                <w:sz w:val="22"/>
                <w:szCs w:val="22"/>
                <w14:ligatures w14:val="standardContextual"/>
              </w:rPr>
              <w:t xml:space="preserve"> </w:t>
            </w:r>
            <w:r>
              <w:rPr>
                <w:rFonts w:ascii="Gill Sans MT" w:hAnsi="Gill Sans MT" w:cstheme="minorBidi"/>
                <w:color w:val="000000" w:themeColor="text1"/>
                <w:sz w:val="22"/>
                <w:szCs w:val="22"/>
              </w:rPr>
              <w:t>v</w:t>
            </w:r>
            <w:r w:rsidR="00FE6BF7" w:rsidRPr="3884A1B1">
              <w:rPr>
                <w:rFonts w:ascii="Gill Sans MT" w:hAnsi="Gill Sans MT" w:cstheme="minorBidi"/>
                <w:color w:val="000000" w:themeColor="text1"/>
                <w:sz w:val="22"/>
                <w:szCs w:val="22"/>
              </w:rPr>
              <w:t xml:space="preserve">iolation of </w:t>
            </w:r>
            <w:r>
              <w:rPr>
                <w:rFonts w:ascii="Gill Sans MT" w:hAnsi="Gill Sans MT" w:cstheme="minorBidi"/>
                <w:color w:val="000000" w:themeColor="text1"/>
                <w:sz w:val="22"/>
                <w:szCs w:val="22"/>
              </w:rPr>
              <w:t>the</w:t>
            </w:r>
            <w:r w:rsidR="00FE6BF7" w:rsidRPr="3884A1B1">
              <w:rPr>
                <w:rFonts w:ascii="Gill Sans MT" w:hAnsi="Gill Sans MT" w:cstheme="minorBidi"/>
                <w:color w:val="000000" w:themeColor="text1"/>
                <w:sz w:val="22"/>
                <w:szCs w:val="22"/>
              </w:rPr>
              <w:t xml:space="preserve"> right to equality, human dignity and fair labour practices</w:t>
            </w:r>
          </w:p>
          <w:p w14:paraId="3436E3AE" w14:textId="2F1D904F" w:rsidR="00E27864" w:rsidRPr="00942068" w:rsidRDefault="00E27864" w:rsidP="00711EE3">
            <w:pPr>
              <w:jc w:val="both"/>
              <w:rPr>
                <w:rFonts w:ascii="Gill Sans MT" w:hAnsi="Gill Sans MT" w:cstheme="minorHAnsi"/>
                <w:color w:val="000000" w:themeColor="text1"/>
                <w:sz w:val="22"/>
                <w:szCs w:val="22"/>
              </w:rPr>
            </w:pPr>
          </w:p>
        </w:tc>
      </w:tr>
      <w:tr w:rsidR="00D217C7" w:rsidRPr="00942068" w14:paraId="5ABB73F7" w14:textId="77777777" w:rsidTr="76A48BD2">
        <w:tc>
          <w:tcPr>
            <w:tcW w:w="2689" w:type="dxa"/>
          </w:tcPr>
          <w:p w14:paraId="1E0ADB30" w14:textId="37B7251F" w:rsidR="00D217C7" w:rsidRPr="00942068" w:rsidRDefault="00D217C7" w:rsidP="3884A1B1">
            <w:pPr>
              <w:jc w:val="both"/>
              <w:rPr>
                <w:rFonts w:ascii="Gill Sans MT" w:hAnsi="Gill Sans MT" w:cstheme="minorBidi"/>
                <w:color w:val="000000" w:themeColor="text1"/>
                <w:sz w:val="22"/>
                <w:szCs w:val="22"/>
              </w:rPr>
            </w:pPr>
            <w:r w:rsidRPr="001D2B71">
              <w:rPr>
                <w:rFonts w:ascii="Gill Sans MT" w:hAnsi="Gill Sans MT" w:cs="Arial"/>
                <w:sz w:val="22"/>
                <w:szCs w:val="22"/>
              </w:rPr>
              <w:t>Legislationand International Instruments</w:t>
            </w:r>
            <w:r w:rsidRPr="001D2B71">
              <w:rPr>
                <w:rFonts w:ascii="Gill Sans MT" w:hAnsi="Gill Sans MT" w:cs="Arial"/>
                <w:sz w:val="22"/>
                <w:szCs w:val="22"/>
                <w:vertAlign w:val="superscript"/>
              </w:rPr>
              <w:footnoteReference w:id="4"/>
            </w:r>
          </w:p>
        </w:tc>
        <w:tc>
          <w:tcPr>
            <w:tcW w:w="6327" w:type="dxa"/>
            <w:gridSpan w:val="2"/>
          </w:tcPr>
          <w:p w14:paraId="21876F7F" w14:textId="77777777" w:rsidR="00D217C7" w:rsidRPr="006B7D14" w:rsidRDefault="00D217C7" w:rsidP="00711EE3">
            <w:pPr>
              <w:jc w:val="both"/>
              <w:rPr>
                <w:rFonts w:ascii="Gill Sans MT" w:hAnsi="Gill Sans MT" w:cstheme="minorHAnsi"/>
                <w:b/>
                <w:bCs/>
                <w:color w:val="000000" w:themeColor="text1"/>
                <w:sz w:val="22"/>
                <w:szCs w:val="22"/>
              </w:rPr>
            </w:pPr>
            <w:r w:rsidRPr="006B7D14">
              <w:rPr>
                <w:rFonts w:ascii="Gill Sans MT" w:hAnsi="Gill Sans MT" w:cstheme="minorHAnsi"/>
                <w:b/>
                <w:bCs/>
                <w:color w:val="000000" w:themeColor="text1"/>
                <w:sz w:val="22"/>
                <w:szCs w:val="22"/>
              </w:rPr>
              <w:t>Legislation</w:t>
            </w:r>
          </w:p>
          <w:p w14:paraId="63CD114F" w14:textId="690C3C83" w:rsidR="00D217C7" w:rsidRDefault="004F5C1C" w:rsidP="00296361">
            <w:pPr>
              <w:pStyle w:val="ListParagraph"/>
              <w:numPr>
                <w:ilvl w:val="0"/>
                <w:numId w:val="1"/>
              </w:numPr>
              <w:jc w:val="both"/>
              <w:rPr>
                <w:rFonts w:ascii="Gill Sans MT" w:hAnsi="Gill Sans MT" w:cstheme="minorHAnsi"/>
                <w:color w:val="000000" w:themeColor="text1"/>
                <w:sz w:val="22"/>
                <w:szCs w:val="22"/>
              </w:rPr>
            </w:pPr>
            <w:r w:rsidRPr="004F5C1C">
              <w:rPr>
                <w:rFonts w:ascii="Gill Sans MT" w:hAnsi="Gill Sans MT" w:cstheme="minorHAnsi"/>
                <w:color w:val="000000" w:themeColor="text1"/>
                <w:sz w:val="22"/>
                <w:szCs w:val="22"/>
              </w:rPr>
              <w:t>Promotion o</w:t>
            </w:r>
            <w:r w:rsidRPr="00296361">
              <w:rPr>
                <w:rFonts w:ascii="Gill Sans MT" w:hAnsi="Gill Sans MT" w:cstheme="minorHAnsi"/>
                <w:color w:val="000000" w:themeColor="text1"/>
                <w:sz w:val="22"/>
                <w:szCs w:val="22"/>
              </w:rPr>
              <w:t>f Equality and Prevention of Unfair Discrimination Act,</w:t>
            </w:r>
            <w:r w:rsidR="00031750">
              <w:rPr>
                <w:rFonts w:ascii="Gill Sans MT" w:hAnsi="Gill Sans MT" w:cstheme="minorHAnsi"/>
                <w:color w:val="000000" w:themeColor="text1"/>
                <w:sz w:val="22"/>
                <w:szCs w:val="22"/>
              </w:rPr>
              <w:t xml:space="preserve"> </w:t>
            </w:r>
            <w:r w:rsidRPr="00296361">
              <w:rPr>
                <w:rFonts w:ascii="Gill Sans MT" w:hAnsi="Gill Sans MT" w:cstheme="minorHAnsi"/>
                <w:color w:val="000000" w:themeColor="text1"/>
                <w:sz w:val="22"/>
                <w:szCs w:val="22"/>
              </w:rPr>
              <w:t>4 of 2000</w:t>
            </w:r>
          </w:p>
          <w:p w14:paraId="1E0F9963" w14:textId="157A5E6F" w:rsidR="00031750" w:rsidRDefault="00FA6ED8" w:rsidP="00FA6ED8">
            <w:pPr>
              <w:pStyle w:val="ListParagraph"/>
              <w:numPr>
                <w:ilvl w:val="0"/>
                <w:numId w:val="1"/>
              </w:numPr>
              <w:jc w:val="both"/>
              <w:rPr>
                <w:rFonts w:ascii="Gill Sans MT" w:hAnsi="Gill Sans MT" w:cstheme="minorHAnsi"/>
                <w:color w:val="000000" w:themeColor="text1"/>
                <w:sz w:val="22"/>
                <w:szCs w:val="22"/>
              </w:rPr>
            </w:pPr>
            <w:r w:rsidRPr="00FA6ED8">
              <w:rPr>
                <w:rFonts w:ascii="Gill Sans MT" w:hAnsi="Gill Sans MT" w:cstheme="minorHAnsi"/>
                <w:color w:val="000000" w:themeColor="text1"/>
                <w:sz w:val="22"/>
                <w:szCs w:val="22"/>
              </w:rPr>
              <w:t>Employment Equity Act, 55 of 1998</w:t>
            </w:r>
          </w:p>
          <w:p w14:paraId="601C7248" w14:textId="77777777" w:rsidR="004F5C1C" w:rsidRPr="0002367F" w:rsidRDefault="004F5C1C" w:rsidP="0002367F">
            <w:pPr>
              <w:pStyle w:val="ListParagraph"/>
              <w:jc w:val="both"/>
              <w:rPr>
                <w:rFonts w:ascii="Gill Sans MT" w:hAnsi="Gill Sans MT" w:cstheme="minorHAnsi"/>
                <w:color w:val="000000" w:themeColor="text1"/>
                <w:sz w:val="22"/>
                <w:szCs w:val="22"/>
              </w:rPr>
            </w:pPr>
          </w:p>
          <w:p w14:paraId="4D1DEA0D" w14:textId="77777777" w:rsidR="00D217C7" w:rsidRDefault="00D217C7" w:rsidP="00711EE3">
            <w:pPr>
              <w:jc w:val="both"/>
              <w:rPr>
                <w:rFonts w:ascii="Gill Sans MT" w:hAnsi="Gill Sans MT" w:cstheme="minorHAnsi"/>
                <w:b/>
                <w:bCs/>
                <w:color w:val="000000" w:themeColor="text1"/>
                <w:sz w:val="22"/>
                <w:szCs w:val="22"/>
              </w:rPr>
            </w:pPr>
            <w:r w:rsidRPr="006B7D14">
              <w:rPr>
                <w:rFonts w:ascii="Gill Sans MT" w:hAnsi="Gill Sans MT" w:cstheme="minorHAnsi"/>
                <w:b/>
                <w:bCs/>
                <w:color w:val="000000" w:themeColor="text1"/>
                <w:sz w:val="22"/>
                <w:szCs w:val="22"/>
              </w:rPr>
              <w:t>International instruments</w:t>
            </w:r>
          </w:p>
          <w:p w14:paraId="0F6B97DB" w14:textId="77777777" w:rsidR="00D217C7" w:rsidRDefault="00296361" w:rsidP="00296361">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T</w:t>
            </w:r>
            <w:r w:rsidRPr="00296361">
              <w:rPr>
                <w:rFonts w:ascii="Gill Sans MT" w:hAnsi="Gill Sans MT" w:cstheme="minorHAnsi"/>
                <w:color w:val="000000" w:themeColor="text1"/>
                <w:sz w:val="22"/>
                <w:szCs w:val="22"/>
              </w:rPr>
              <w:t>he African Charter on Human and Peoples’ Rights</w:t>
            </w:r>
          </w:p>
          <w:p w14:paraId="6D6D21FD" w14:textId="77777777" w:rsidR="00296361" w:rsidRDefault="00293376" w:rsidP="00293376">
            <w:pPr>
              <w:pStyle w:val="ListParagraph"/>
              <w:numPr>
                <w:ilvl w:val="0"/>
                <w:numId w:val="1"/>
              </w:numPr>
              <w:jc w:val="both"/>
              <w:rPr>
                <w:rFonts w:ascii="Gill Sans MT" w:hAnsi="Gill Sans MT" w:cstheme="minorHAnsi"/>
                <w:color w:val="000000" w:themeColor="text1"/>
                <w:sz w:val="22"/>
                <w:szCs w:val="22"/>
              </w:rPr>
            </w:pPr>
            <w:r w:rsidRPr="00293376">
              <w:rPr>
                <w:rFonts w:ascii="Gill Sans MT" w:hAnsi="Gill Sans MT" w:cstheme="minorHAnsi"/>
                <w:color w:val="000000" w:themeColor="text1"/>
                <w:sz w:val="22"/>
                <w:szCs w:val="22"/>
              </w:rPr>
              <w:t>the Convention on the Elimination of All Forms of Discrimination Against Women</w:t>
            </w:r>
          </w:p>
          <w:p w14:paraId="70D55214" w14:textId="1415D5DB" w:rsidR="00293376" w:rsidRDefault="00293376" w:rsidP="00293376">
            <w:pPr>
              <w:pStyle w:val="ListParagraph"/>
              <w:numPr>
                <w:ilvl w:val="0"/>
                <w:numId w:val="1"/>
              </w:num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T</w:t>
            </w:r>
            <w:r w:rsidRPr="00293376">
              <w:rPr>
                <w:rFonts w:ascii="Gill Sans MT" w:hAnsi="Gill Sans MT" w:cstheme="minorHAnsi"/>
                <w:color w:val="000000" w:themeColor="text1"/>
                <w:sz w:val="22"/>
                <w:szCs w:val="22"/>
              </w:rPr>
              <w:t>he International Covenant on Civil and Political Right</w:t>
            </w:r>
            <w:r w:rsidR="00196B03">
              <w:rPr>
                <w:rFonts w:ascii="Gill Sans MT" w:hAnsi="Gill Sans MT" w:cstheme="minorHAnsi"/>
                <w:color w:val="000000" w:themeColor="text1"/>
                <w:sz w:val="22"/>
                <w:szCs w:val="22"/>
              </w:rPr>
              <w:t>s</w:t>
            </w:r>
          </w:p>
          <w:p w14:paraId="379B9CB7" w14:textId="5DA753F5" w:rsidR="00293376" w:rsidRDefault="006A32FE" w:rsidP="006A32FE">
            <w:pPr>
              <w:pStyle w:val="ListParagraph"/>
              <w:numPr>
                <w:ilvl w:val="0"/>
                <w:numId w:val="1"/>
              </w:numPr>
              <w:jc w:val="both"/>
              <w:rPr>
                <w:rFonts w:ascii="Gill Sans MT" w:hAnsi="Gill Sans MT" w:cstheme="minorHAnsi"/>
                <w:color w:val="000000" w:themeColor="text1"/>
                <w:sz w:val="22"/>
                <w:szCs w:val="22"/>
              </w:rPr>
            </w:pPr>
            <w:r w:rsidRPr="006A32FE">
              <w:rPr>
                <w:rFonts w:ascii="Gill Sans MT" w:hAnsi="Gill Sans MT" w:cstheme="minorHAnsi"/>
                <w:color w:val="000000" w:themeColor="text1"/>
                <w:sz w:val="22"/>
                <w:szCs w:val="22"/>
              </w:rPr>
              <w:t>the International Convention on the Elimination of All Forms of Racial Discrimination</w:t>
            </w:r>
            <w:r>
              <w:rPr>
                <w:rFonts w:ascii="Gill Sans MT" w:hAnsi="Gill Sans MT" w:cstheme="minorHAnsi"/>
                <w:color w:val="000000" w:themeColor="text1"/>
                <w:sz w:val="22"/>
                <w:szCs w:val="22"/>
              </w:rPr>
              <w:t>.</w:t>
            </w:r>
          </w:p>
          <w:p w14:paraId="5272A76E" w14:textId="77777777" w:rsidR="006A32FE" w:rsidRDefault="006A32FE" w:rsidP="006A32FE">
            <w:pPr>
              <w:pStyle w:val="ListParagraph"/>
              <w:numPr>
                <w:ilvl w:val="0"/>
                <w:numId w:val="1"/>
              </w:numPr>
              <w:jc w:val="both"/>
              <w:rPr>
                <w:rFonts w:ascii="Gill Sans MT" w:hAnsi="Gill Sans MT" w:cstheme="minorHAnsi"/>
                <w:color w:val="000000" w:themeColor="text1"/>
                <w:sz w:val="22"/>
                <w:szCs w:val="22"/>
              </w:rPr>
            </w:pPr>
            <w:r w:rsidRPr="006A32FE">
              <w:rPr>
                <w:rFonts w:ascii="Gill Sans MT" w:hAnsi="Gill Sans MT" w:cstheme="minorHAnsi"/>
                <w:color w:val="000000" w:themeColor="text1"/>
                <w:sz w:val="22"/>
                <w:szCs w:val="22"/>
              </w:rPr>
              <w:t>ILO Convention 111, Discrimination (Employment and Occupation) Convention</w:t>
            </w:r>
            <w:r>
              <w:rPr>
                <w:rFonts w:ascii="Gill Sans MT" w:hAnsi="Gill Sans MT" w:cstheme="minorHAnsi"/>
                <w:color w:val="000000" w:themeColor="text1"/>
                <w:sz w:val="22"/>
                <w:szCs w:val="22"/>
              </w:rPr>
              <w:t>.</w:t>
            </w:r>
          </w:p>
          <w:p w14:paraId="0FA8D336" w14:textId="125762F3" w:rsidR="00196B03" w:rsidRPr="003779A9" w:rsidRDefault="00196B03" w:rsidP="00196B03">
            <w:pPr>
              <w:pStyle w:val="ListParagraph"/>
              <w:numPr>
                <w:ilvl w:val="0"/>
                <w:numId w:val="1"/>
              </w:numPr>
              <w:jc w:val="both"/>
              <w:rPr>
                <w:rFonts w:ascii="Gill Sans MT" w:hAnsi="Gill Sans MT" w:cstheme="minorHAnsi"/>
                <w:color w:val="000000" w:themeColor="text1"/>
                <w:sz w:val="22"/>
                <w:szCs w:val="22"/>
              </w:rPr>
            </w:pPr>
            <w:r w:rsidRPr="00196B03">
              <w:rPr>
                <w:rFonts w:ascii="Gill Sans MT" w:hAnsi="Gill Sans MT" w:cstheme="minorHAnsi"/>
                <w:color w:val="000000" w:themeColor="text1"/>
                <w:sz w:val="22"/>
                <w:szCs w:val="22"/>
              </w:rPr>
              <w:t>Code of Conduct on HIV/AIDS and Employment in the Southern African Development Community (SADC), 1997</w:t>
            </w:r>
          </w:p>
        </w:tc>
      </w:tr>
      <w:tr w:rsidR="00D217C7" w:rsidRPr="00942068" w14:paraId="09350B24" w14:textId="77777777" w:rsidTr="76A48BD2">
        <w:tc>
          <w:tcPr>
            <w:tcW w:w="2689" w:type="dxa"/>
          </w:tcPr>
          <w:p w14:paraId="645CB128" w14:textId="77777777" w:rsidR="00D217C7" w:rsidRPr="00942068" w:rsidRDefault="00D217C7" w:rsidP="00711EE3">
            <w:pPr>
              <w:jc w:val="both"/>
              <w:rPr>
                <w:rFonts w:ascii="Gill Sans MT" w:hAnsi="Gill Sans MT" w:cstheme="minorHAnsi"/>
                <w:color w:val="000000" w:themeColor="text1"/>
                <w:sz w:val="22"/>
                <w:szCs w:val="22"/>
              </w:rPr>
            </w:pPr>
            <w:r w:rsidRPr="001D2B71">
              <w:rPr>
                <w:rFonts w:ascii="Gill Sans MT" w:hAnsi="Gill Sans MT" w:cs="Arial"/>
                <w:sz w:val="22"/>
                <w:szCs w:val="22"/>
              </w:rPr>
              <w:t>Cases cited as authority</w:t>
            </w:r>
            <w:r w:rsidRPr="001D2B71">
              <w:rPr>
                <w:rStyle w:val="FootnoteReference"/>
                <w:rFonts w:ascii="Gill Sans MT" w:hAnsi="Gill Sans MT" w:cs="Arial"/>
                <w:sz w:val="22"/>
                <w:szCs w:val="22"/>
              </w:rPr>
              <w:footnoteReference w:id="5"/>
            </w:r>
          </w:p>
        </w:tc>
        <w:tc>
          <w:tcPr>
            <w:tcW w:w="6327" w:type="dxa"/>
            <w:gridSpan w:val="2"/>
          </w:tcPr>
          <w:p w14:paraId="7FAA88DA" w14:textId="77777777" w:rsidR="00D217C7" w:rsidRPr="00974FDD" w:rsidRDefault="00974FDD" w:rsidP="00974FDD">
            <w:pPr>
              <w:pStyle w:val="ListParagraph"/>
              <w:numPr>
                <w:ilvl w:val="0"/>
                <w:numId w:val="1"/>
              </w:numPr>
              <w:spacing w:before="240"/>
              <w:jc w:val="both"/>
              <w:rPr>
                <w:rFonts w:ascii="Gill Sans MT" w:hAnsi="Gill Sans MT" w:cstheme="minorHAnsi"/>
                <w:i/>
                <w:iCs/>
                <w:color w:val="000000" w:themeColor="text1"/>
                <w:sz w:val="22"/>
                <w:szCs w:val="22"/>
              </w:rPr>
            </w:pPr>
            <w:r w:rsidRPr="00974FDD">
              <w:rPr>
                <w:rFonts w:ascii="Gill Sans MT" w:hAnsi="Gill Sans MT" w:cstheme="minorHAnsi"/>
                <w:i/>
                <w:iCs/>
                <w:color w:val="000000" w:themeColor="text1"/>
                <w:sz w:val="22"/>
                <w:szCs w:val="22"/>
              </w:rPr>
              <w:t>Harksen v Lane NO and Others 1998 (1) SA 300 (CC); 1997 (11) BCLR 1489 (CC) at para 53. In Jooste v Score Supermarket Trading (Pty) Ltd (Minister of Labour Intervening) 1999 (2) SA 1 (CC); 1999 (2) BCLR 139</w:t>
            </w:r>
            <w:r w:rsidRPr="00974FDD">
              <w:rPr>
                <w:rFonts w:ascii="Gill Sans MT" w:hAnsi="Gill Sans MT" w:cstheme="minorHAnsi"/>
                <w:color w:val="000000" w:themeColor="text1"/>
                <w:sz w:val="22"/>
                <w:szCs w:val="22"/>
              </w:rPr>
              <w:t xml:space="preserve"> </w:t>
            </w:r>
            <w:r w:rsidRPr="00974FDD">
              <w:rPr>
                <w:rFonts w:ascii="Gill Sans MT" w:hAnsi="Gill Sans MT" w:cstheme="minorHAnsi"/>
                <w:i/>
                <w:iCs/>
                <w:color w:val="000000" w:themeColor="text1"/>
                <w:sz w:val="22"/>
                <w:szCs w:val="22"/>
              </w:rPr>
              <w:t>(CC)</w:t>
            </w:r>
          </w:p>
          <w:p w14:paraId="624BB415" w14:textId="77777777" w:rsidR="00974FDD" w:rsidRDefault="004D2950" w:rsidP="004D2950">
            <w:pPr>
              <w:pStyle w:val="ListParagraph"/>
              <w:numPr>
                <w:ilvl w:val="0"/>
                <w:numId w:val="1"/>
              </w:numPr>
              <w:spacing w:before="240"/>
              <w:jc w:val="both"/>
              <w:rPr>
                <w:rFonts w:ascii="Gill Sans MT" w:hAnsi="Gill Sans MT" w:cstheme="minorHAnsi"/>
                <w:i/>
                <w:iCs/>
                <w:color w:val="000000" w:themeColor="text1"/>
                <w:sz w:val="22"/>
                <w:szCs w:val="22"/>
              </w:rPr>
            </w:pPr>
            <w:r w:rsidRPr="004D2950">
              <w:rPr>
                <w:rFonts w:ascii="Gill Sans MT" w:hAnsi="Gill Sans MT" w:cstheme="minorHAnsi"/>
                <w:i/>
                <w:iCs/>
                <w:color w:val="000000" w:themeColor="text1"/>
                <w:sz w:val="22"/>
                <w:szCs w:val="22"/>
              </w:rPr>
              <w:t>National Coalition for Gay and Lesbian Equality and Another v Minister of Justice and Others 1999 (1) SA 6 (CC); 1998 (12) BCLR 1517 (CC)</w:t>
            </w:r>
          </w:p>
          <w:p w14:paraId="1626E088" w14:textId="77777777" w:rsidR="004D2950" w:rsidRDefault="00D242F6" w:rsidP="00D242F6">
            <w:pPr>
              <w:pStyle w:val="ListParagraph"/>
              <w:numPr>
                <w:ilvl w:val="0"/>
                <w:numId w:val="1"/>
              </w:numPr>
              <w:spacing w:before="240"/>
              <w:jc w:val="both"/>
              <w:rPr>
                <w:rFonts w:ascii="Gill Sans MT" w:hAnsi="Gill Sans MT" w:cstheme="minorHAnsi"/>
                <w:i/>
                <w:iCs/>
                <w:color w:val="000000" w:themeColor="text1"/>
                <w:sz w:val="22"/>
                <w:szCs w:val="22"/>
              </w:rPr>
            </w:pPr>
            <w:r w:rsidRPr="00D242F6">
              <w:rPr>
                <w:rFonts w:ascii="Gill Sans MT" w:hAnsi="Gill Sans MT" w:cstheme="minorHAnsi"/>
                <w:i/>
                <w:iCs/>
                <w:color w:val="000000" w:themeColor="text1"/>
                <w:sz w:val="22"/>
                <w:szCs w:val="22"/>
              </w:rPr>
              <w:t xml:space="preserve">President of the Republic of South Africa and Another v Hugo 1997 (4) SA 1 (CC); 1997 (6) BCLR 708 (CC) </w:t>
            </w:r>
          </w:p>
          <w:p w14:paraId="6A29C2D1" w14:textId="77777777" w:rsidR="00D242F6" w:rsidRDefault="00B018A4" w:rsidP="00B018A4">
            <w:pPr>
              <w:pStyle w:val="ListParagraph"/>
              <w:numPr>
                <w:ilvl w:val="0"/>
                <w:numId w:val="1"/>
              </w:numPr>
              <w:spacing w:before="240"/>
              <w:jc w:val="both"/>
              <w:rPr>
                <w:rFonts w:ascii="Gill Sans MT" w:hAnsi="Gill Sans MT" w:cstheme="minorHAnsi"/>
                <w:i/>
                <w:iCs/>
                <w:color w:val="000000" w:themeColor="text1"/>
                <w:sz w:val="22"/>
                <w:szCs w:val="22"/>
              </w:rPr>
            </w:pPr>
            <w:r w:rsidRPr="00B018A4">
              <w:rPr>
                <w:rFonts w:ascii="Gill Sans MT" w:hAnsi="Gill Sans MT" w:cstheme="minorHAnsi"/>
                <w:i/>
                <w:iCs/>
                <w:color w:val="000000" w:themeColor="text1"/>
                <w:sz w:val="22"/>
                <w:szCs w:val="22"/>
              </w:rPr>
              <w:lastRenderedPageBreak/>
              <w:t>S v Makwanyane and Another 1995 (3) SA 391 (CC); 1995 (6) BCLR 665 (CC)</w:t>
            </w:r>
          </w:p>
          <w:p w14:paraId="0B2F9F14" w14:textId="77777777" w:rsidR="00B018A4" w:rsidRDefault="00D45A42" w:rsidP="00DB6ED5">
            <w:pPr>
              <w:pStyle w:val="ListParagraph"/>
              <w:numPr>
                <w:ilvl w:val="0"/>
                <w:numId w:val="1"/>
              </w:numPr>
              <w:spacing w:before="240"/>
              <w:jc w:val="both"/>
              <w:rPr>
                <w:rFonts w:ascii="Gill Sans MT" w:hAnsi="Gill Sans MT" w:cstheme="minorHAnsi"/>
                <w:i/>
                <w:iCs/>
                <w:color w:val="000000" w:themeColor="text1"/>
                <w:sz w:val="22"/>
                <w:szCs w:val="22"/>
              </w:rPr>
            </w:pPr>
            <w:r w:rsidRPr="00D45A42">
              <w:rPr>
                <w:rFonts w:ascii="Gill Sans MT" w:hAnsi="Gill Sans MT" w:cstheme="minorHAnsi"/>
                <w:i/>
                <w:iCs/>
                <w:color w:val="000000" w:themeColor="text1"/>
                <w:sz w:val="22"/>
                <w:szCs w:val="22"/>
              </w:rPr>
              <w:t>MX of Bombay Indian Inhabitant v M/s ZY and another</w:t>
            </w:r>
            <w:r w:rsidR="00DB6ED5">
              <w:rPr>
                <w:rFonts w:ascii="Gill Sans MT" w:hAnsi="Gill Sans MT" w:cstheme="minorHAnsi"/>
                <w:i/>
                <w:iCs/>
                <w:color w:val="000000" w:themeColor="text1"/>
                <w:sz w:val="22"/>
                <w:szCs w:val="22"/>
              </w:rPr>
              <w:t xml:space="preserve"> </w:t>
            </w:r>
            <w:r w:rsidR="00DB6ED5" w:rsidRPr="00DB6ED5">
              <w:rPr>
                <w:rFonts w:ascii="Gill Sans MT" w:hAnsi="Gill Sans MT" w:cstheme="minorHAnsi"/>
                <w:i/>
                <w:iCs/>
                <w:color w:val="000000" w:themeColor="text1"/>
                <w:sz w:val="22"/>
                <w:szCs w:val="22"/>
              </w:rPr>
              <w:t>AIR 1997 (Bombay) 406</w:t>
            </w:r>
          </w:p>
          <w:p w14:paraId="6A6B18BA" w14:textId="77777777" w:rsidR="00DB6ED5" w:rsidRDefault="006E1C2F" w:rsidP="006E1C2F">
            <w:pPr>
              <w:pStyle w:val="ListParagraph"/>
              <w:numPr>
                <w:ilvl w:val="0"/>
                <w:numId w:val="1"/>
              </w:numPr>
              <w:spacing w:before="240"/>
              <w:jc w:val="both"/>
              <w:rPr>
                <w:rFonts w:ascii="Gill Sans MT" w:hAnsi="Gill Sans MT" w:cstheme="minorHAnsi"/>
                <w:i/>
                <w:iCs/>
                <w:color w:val="000000" w:themeColor="text1"/>
                <w:sz w:val="22"/>
                <w:szCs w:val="22"/>
              </w:rPr>
            </w:pPr>
            <w:r w:rsidRPr="006E1C2F">
              <w:rPr>
                <w:rFonts w:ascii="Gill Sans MT" w:hAnsi="Gill Sans MT" w:cstheme="minorHAnsi"/>
                <w:i/>
                <w:iCs/>
                <w:color w:val="000000" w:themeColor="text1"/>
                <w:sz w:val="22"/>
                <w:szCs w:val="22"/>
              </w:rPr>
              <w:t>August and Another v Electoral Commission and Others 1999 (3) SA 1 (CC); 1999 (4) BCLR 363 (CC)</w:t>
            </w:r>
          </w:p>
          <w:p w14:paraId="782352EE" w14:textId="623AB078" w:rsidR="007B46BA" w:rsidRDefault="007B46BA" w:rsidP="007B46BA">
            <w:pPr>
              <w:pStyle w:val="ListParagraph"/>
              <w:numPr>
                <w:ilvl w:val="0"/>
                <w:numId w:val="1"/>
              </w:numPr>
              <w:spacing w:before="240"/>
              <w:jc w:val="both"/>
              <w:rPr>
                <w:rFonts w:ascii="Gill Sans MT" w:hAnsi="Gill Sans MT" w:cstheme="minorHAnsi"/>
                <w:i/>
                <w:iCs/>
                <w:color w:val="000000" w:themeColor="text1"/>
                <w:sz w:val="22"/>
                <w:szCs w:val="22"/>
              </w:rPr>
            </w:pPr>
            <w:r w:rsidRPr="007B46BA">
              <w:rPr>
                <w:rFonts w:ascii="Gill Sans MT" w:hAnsi="Gill Sans MT" w:cstheme="minorHAnsi"/>
                <w:i/>
                <w:iCs/>
                <w:color w:val="000000" w:themeColor="text1"/>
                <w:sz w:val="22"/>
                <w:szCs w:val="22"/>
              </w:rPr>
              <w:t>Fose v Minister of Safety and Security 1997 (3) SA 786 (CC); 1997 (7) BCLR 851 (CC</w:t>
            </w:r>
            <w:r>
              <w:rPr>
                <w:rFonts w:ascii="Gill Sans MT" w:hAnsi="Gill Sans MT" w:cstheme="minorHAnsi"/>
                <w:i/>
                <w:iCs/>
                <w:color w:val="000000" w:themeColor="text1"/>
                <w:sz w:val="22"/>
                <w:szCs w:val="22"/>
              </w:rPr>
              <w:t>)</w:t>
            </w:r>
          </w:p>
          <w:p w14:paraId="46D8AFD1" w14:textId="77777777" w:rsidR="00A10853" w:rsidRDefault="00A10853" w:rsidP="00A10853">
            <w:pPr>
              <w:pStyle w:val="ListParagraph"/>
              <w:numPr>
                <w:ilvl w:val="0"/>
                <w:numId w:val="1"/>
              </w:numPr>
              <w:spacing w:before="240"/>
              <w:jc w:val="both"/>
              <w:rPr>
                <w:rFonts w:ascii="Gill Sans MT" w:hAnsi="Gill Sans MT" w:cstheme="minorHAnsi"/>
                <w:i/>
                <w:iCs/>
                <w:color w:val="000000" w:themeColor="text1"/>
                <w:sz w:val="22"/>
                <w:szCs w:val="22"/>
              </w:rPr>
            </w:pPr>
            <w:r w:rsidRPr="00A10853">
              <w:rPr>
                <w:rFonts w:ascii="Gill Sans MT" w:hAnsi="Gill Sans MT" w:cstheme="minorHAnsi"/>
                <w:i/>
                <w:iCs/>
                <w:color w:val="000000" w:themeColor="text1"/>
                <w:sz w:val="22"/>
                <w:szCs w:val="22"/>
              </w:rPr>
              <w:t>National Coalition for Gay and Lesbian Equality and Others v Minister of Home Affairs and Others 2000 (2) SA 1 (CC); 2000 (1) BCLR 39 (CC)</w:t>
            </w:r>
          </w:p>
          <w:p w14:paraId="530530FC" w14:textId="3FEEBE2B" w:rsidR="00593D56" w:rsidRPr="004D2950" w:rsidRDefault="76A48BD2" w:rsidP="76A48BD2">
            <w:pPr>
              <w:pStyle w:val="ListParagraph"/>
              <w:numPr>
                <w:ilvl w:val="0"/>
                <w:numId w:val="1"/>
              </w:numPr>
              <w:spacing w:before="240"/>
              <w:jc w:val="both"/>
              <w:rPr>
                <w:rFonts w:ascii="Gill Sans MT" w:hAnsi="Gill Sans MT" w:cstheme="minorBidi"/>
                <w:i/>
                <w:iCs/>
                <w:color w:val="000000" w:themeColor="text1"/>
                <w:sz w:val="22"/>
                <w:szCs w:val="22"/>
              </w:rPr>
            </w:pPr>
            <w:r w:rsidRPr="76A48BD2">
              <w:rPr>
                <w:rFonts w:ascii="Gill Sans MT" w:hAnsi="Gill Sans MT" w:cstheme="minorBidi"/>
                <w:i/>
                <w:iCs/>
                <w:color w:val="000000" w:themeColor="text1"/>
                <w:sz w:val="22"/>
                <w:szCs w:val="22"/>
              </w:rPr>
              <w:t>National Union of Metalworkers of South Africa and Others v Henred Fruehauf Trailers (Pty) Ltd 1995 (4) SA 456 (A)</w:t>
            </w:r>
          </w:p>
        </w:tc>
      </w:tr>
      <w:tr w:rsidR="00D217C7" w:rsidRPr="003A2D48" w14:paraId="199C3677" w14:textId="77777777" w:rsidTr="76A48BD2">
        <w:trPr>
          <w:gridAfter w:val="1"/>
          <w:wAfter w:w="9" w:type="dxa"/>
        </w:trPr>
        <w:tc>
          <w:tcPr>
            <w:tcW w:w="2689" w:type="dxa"/>
          </w:tcPr>
          <w:p w14:paraId="52F92484"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lastRenderedPageBreak/>
              <w:t>Facts</w:t>
            </w:r>
            <w:r w:rsidRPr="001D2B71">
              <w:rPr>
                <w:rFonts w:ascii="Gill Sans MT" w:eastAsia="Gill Sans" w:hAnsi="Gill Sans MT" w:cs="Gill Sans"/>
                <w:sz w:val="22"/>
                <w:szCs w:val="22"/>
                <w:vertAlign w:val="superscript"/>
              </w:rPr>
              <w:footnoteReference w:id="6"/>
            </w:r>
            <w:r w:rsidRPr="001D2B71">
              <w:rPr>
                <w:rFonts w:ascii="Gill Sans MT" w:eastAsia="Gill Sans" w:hAnsi="Gill Sans MT" w:cs="Gill Sans"/>
                <w:sz w:val="22"/>
                <w:szCs w:val="22"/>
              </w:rPr>
              <w:tab/>
            </w:r>
          </w:p>
          <w:p w14:paraId="3AFABDE3" w14:textId="77777777" w:rsidR="00D217C7" w:rsidRPr="001D2B71" w:rsidRDefault="00D217C7" w:rsidP="00711EE3">
            <w:pPr>
              <w:tabs>
                <w:tab w:val="right" w:pos="2473"/>
              </w:tabs>
              <w:spacing w:line="276" w:lineRule="auto"/>
              <w:jc w:val="both"/>
              <w:rPr>
                <w:rFonts w:ascii="Gill Sans MT" w:eastAsia="Gill Sans" w:hAnsi="Gill Sans MT" w:cs="Gill Sans"/>
                <w:sz w:val="22"/>
                <w:szCs w:val="22"/>
              </w:rPr>
            </w:pPr>
          </w:p>
        </w:tc>
        <w:tc>
          <w:tcPr>
            <w:tcW w:w="6318" w:type="dxa"/>
          </w:tcPr>
          <w:p w14:paraId="5C0DD473" w14:textId="7B893AD2" w:rsidR="00D217C7" w:rsidRPr="003A2D48" w:rsidRDefault="00C13C76" w:rsidP="00AC59E5">
            <w:pPr>
              <w:jc w:val="both"/>
              <w:rPr>
                <w:rFonts w:ascii="Gill Sans MT" w:hAnsi="Gill Sans MT" w:cs="Arial"/>
                <w:color w:val="000000" w:themeColor="text1"/>
                <w:sz w:val="22"/>
                <w:szCs w:val="22"/>
              </w:rPr>
            </w:pPr>
            <w:r w:rsidRPr="00C13C76">
              <w:rPr>
                <w:rFonts w:ascii="Gill Sans MT" w:hAnsi="Gill Sans MT" w:cs="Arial"/>
                <w:color w:val="000000" w:themeColor="text1"/>
                <w:sz w:val="22"/>
                <w:szCs w:val="22"/>
              </w:rPr>
              <w:t>In September 1996, the appellant applied for a cabin attendant position with South African Airways (SAA). After a four-stage selection process, including interviews and role-playing, he was deemed suitable pending a medical examination. The examination indicated that he was clinically fit but tested positive for HIV. As a result, the medical report was altered to label him "H.I.V. positive" and considered "unsuitable" for employment. The appellant challenged the refusal to hire him based on constitutional grounds in the Witwatersrand High Court but was unsuccessful. However, he successfully appealed the matter directly to the Constitutional Court under rule 18 of the Constitutional Rules.</w:t>
            </w:r>
          </w:p>
        </w:tc>
      </w:tr>
      <w:tr w:rsidR="00D217C7" w:rsidRPr="00942068" w14:paraId="21B7AFC1" w14:textId="77777777" w:rsidTr="76A48BD2">
        <w:tc>
          <w:tcPr>
            <w:tcW w:w="2689" w:type="dxa"/>
          </w:tcPr>
          <w:p w14:paraId="18E24248" w14:textId="77777777" w:rsidR="00D217C7" w:rsidRPr="00942068" w:rsidRDefault="00D217C7" w:rsidP="00711EE3">
            <w:pPr>
              <w:jc w:val="both"/>
              <w:rPr>
                <w:rFonts w:ascii="Gill Sans MT" w:hAnsi="Gill Sans MT" w:cstheme="minorHAnsi"/>
                <w:color w:val="000000" w:themeColor="text1"/>
                <w:sz w:val="22"/>
                <w:szCs w:val="22"/>
              </w:rPr>
            </w:pPr>
            <w:r w:rsidRPr="00BB35A1">
              <w:rPr>
                <w:rFonts w:ascii="Gill Sans MT" w:hAnsi="Gill Sans MT" w:cs="Arial"/>
                <w:sz w:val="22"/>
                <w:szCs w:val="22"/>
              </w:rPr>
              <w:t>Summary</w:t>
            </w:r>
            <w:r w:rsidRPr="00BB35A1">
              <w:rPr>
                <w:rFonts w:ascii="Gill Sans MT" w:hAnsi="Gill Sans MT" w:cs="Arial"/>
                <w:sz w:val="22"/>
                <w:szCs w:val="22"/>
                <w:vertAlign w:val="superscript"/>
              </w:rPr>
              <w:footnoteReference w:id="7"/>
            </w:r>
          </w:p>
        </w:tc>
        <w:tc>
          <w:tcPr>
            <w:tcW w:w="6327" w:type="dxa"/>
            <w:gridSpan w:val="2"/>
          </w:tcPr>
          <w:p w14:paraId="453BC9C0" w14:textId="4C728763" w:rsidR="00D217C7" w:rsidRPr="001D149A" w:rsidRDefault="001D149A" w:rsidP="00711EE3">
            <w:pPr>
              <w:jc w:val="both"/>
              <w:rPr>
                <w:rFonts w:ascii="Gill Sans MT" w:hAnsi="Gill Sans MT" w:cstheme="minorBidi"/>
                <w:color w:val="000000" w:themeColor="text1"/>
                <w:sz w:val="22"/>
                <w:szCs w:val="22"/>
              </w:rPr>
            </w:pPr>
            <w:r w:rsidRPr="001D149A">
              <w:rPr>
                <w:rFonts w:ascii="Gill Sans MT" w:hAnsi="Gill Sans MT" w:cstheme="minorBidi"/>
                <w:color w:val="000000" w:themeColor="text1"/>
                <w:sz w:val="22"/>
                <w:szCs w:val="22"/>
              </w:rPr>
              <w:t>The Constitutional Court determined the constitutionality of South African Airways' (SAA) policy of excluding HIV-positive individuals from cabin attendant positions. They addressed whether this practice violated the Bill of Rights and determined the appropriate remedy. SAA justified their policy based on safety, medical factors, and operational requirements, citing other airlines with similar practices. The High Court supported SAA's position, emphasizing the importance of passenger and crew health and the airline's reputation. However, the Constitutional Court, with input from the Aids Law Project, found SAA's justifications to be unfounded. In a unanimous decision, the court ruled that SAA violated the appellant's constitutional right to be free from discrimination. They emphasized that not all HIV-positive individuals pose the alleged risks and that the practices of other airlines were irrelevant. Therefore, the court concluded that SAA's refusal to employ the appellant based on his HIV status was unconstitutional.</w:t>
            </w:r>
          </w:p>
        </w:tc>
      </w:tr>
      <w:tr w:rsidR="00D217C7" w:rsidRPr="001D2B71" w14:paraId="1F3918C4" w14:textId="77777777" w:rsidTr="76A48BD2">
        <w:trPr>
          <w:gridAfter w:val="1"/>
          <w:wAfter w:w="9" w:type="dxa"/>
          <w:trHeight w:val="171"/>
        </w:trPr>
        <w:tc>
          <w:tcPr>
            <w:tcW w:w="2689" w:type="dxa"/>
          </w:tcPr>
          <w:p w14:paraId="1EDE5343"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t>Decision/ Judgment</w:t>
            </w:r>
            <w:r w:rsidRPr="001D2B71">
              <w:rPr>
                <w:rFonts w:ascii="Gill Sans MT" w:eastAsia="Gill Sans" w:hAnsi="Gill Sans MT" w:cs="Gill Sans"/>
                <w:sz w:val="22"/>
                <w:szCs w:val="22"/>
                <w:vertAlign w:val="superscript"/>
              </w:rPr>
              <w:footnoteReference w:id="8"/>
            </w:r>
          </w:p>
        </w:tc>
        <w:tc>
          <w:tcPr>
            <w:tcW w:w="6318" w:type="dxa"/>
          </w:tcPr>
          <w:p w14:paraId="522CE424" w14:textId="4E026A49" w:rsidR="00D217C7" w:rsidRPr="001D2B71" w:rsidRDefault="00124458" w:rsidP="007D0D88">
            <w:pPr>
              <w:jc w:val="both"/>
              <w:rPr>
                <w:rFonts w:ascii="Gill Sans MT" w:eastAsia="Gill Sans" w:hAnsi="Gill Sans MT" w:cs="Gill Sans"/>
                <w:sz w:val="22"/>
                <w:szCs w:val="22"/>
              </w:rPr>
            </w:pPr>
            <w:r w:rsidRPr="00124458">
              <w:rPr>
                <w:rFonts w:ascii="Gill Sans MT" w:eastAsia="Gill Sans" w:hAnsi="Gill Sans MT" w:cs="Gill Sans"/>
                <w:sz w:val="22"/>
                <w:szCs w:val="22"/>
              </w:rPr>
              <w:t>The Constitutional Court allowed the appeal, overturning the High Court's decision. They ordered SAA to offer immediate employment to the appellant and ruled that SAA must bear the costs of the application in both the High Court and the Constitutional Court.</w:t>
            </w:r>
          </w:p>
        </w:tc>
      </w:tr>
      <w:tr w:rsidR="00D217C7" w:rsidRPr="007D20EC" w14:paraId="2603A215" w14:textId="77777777" w:rsidTr="76A48BD2">
        <w:trPr>
          <w:gridAfter w:val="1"/>
          <w:wAfter w:w="9" w:type="dxa"/>
        </w:trPr>
        <w:tc>
          <w:tcPr>
            <w:tcW w:w="2689" w:type="dxa"/>
          </w:tcPr>
          <w:p w14:paraId="6C77C8F4" w14:textId="77777777" w:rsidR="00D217C7" w:rsidRPr="001D2B71" w:rsidRDefault="00D217C7" w:rsidP="00711EE3">
            <w:pPr>
              <w:spacing w:line="276" w:lineRule="auto"/>
              <w:jc w:val="both"/>
              <w:rPr>
                <w:rFonts w:ascii="Gill Sans MT" w:eastAsia="Gill Sans" w:hAnsi="Gill Sans MT" w:cs="Gill Sans"/>
                <w:sz w:val="22"/>
                <w:szCs w:val="22"/>
              </w:rPr>
            </w:pPr>
            <w:r w:rsidRPr="001D2B71">
              <w:rPr>
                <w:rFonts w:ascii="Gill Sans MT" w:eastAsia="Gill Sans" w:hAnsi="Gill Sans MT" w:cs="Gill Sans"/>
                <w:sz w:val="22"/>
                <w:szCs w:val="22"/>
              </w:rPr>
              <w:lastRenderedPageBreak/>
              <w:t>Basis of the decision</w:t>
            </w:r>
            <w:r w:rsidRPr="001D2B71">
              <w:rPr>
                <w:rFonts w:ascii="Gill Sans MT" w:eastAsia="Gill Sans" w:hAnsi="Gill Sans MT" w:cs="Gill Sans"/>
                <w:sz w:val="22"/>
                <w:szCs w:val="22"/>
                <w:vertAlign w:val="superscript"/>
              </w:rPr>
              <w:footnoteReference w:id="9"/>
            </w:r>
          </w:p>
        </w:tc>
        <w:tc>
          <w:tcPr>
            <w:tcW w:w="6318" w:type="dxa"/>
          </w:tcPr>
          <w:p w14:paraId="4A6529DB" w14:textId="03DC1C40" w:rsidR="00D217C7" w:rsidRPr="00933350" w:rsidRDefault="00933350" w:rsidP="00933350">
            <w:pPr>
              <w:jc w:val="both"/>
              <w:rPr>
                <w:rFonts w:ascii="Gill Sans MT" w:hAnsi="Gill Sans MT"/>
                <w:sz w:val="22"/>
                <w:szCs w:val="22"/>
              </w:rPr>
            </w:pPr>
            <w:bookmarkStart w:id="0" w:name="_heading=h.gjdgxs" w:colFirst="0" w:colLast="0"/>
            <w:bookmarkEnd w:id="0"/>
            <w:r w:rsidRPr="00DA2E55">
              <w:rPr>
                <w:rFonts w:ascii="Gill Sans MT" w:hAnsi="Gill Sans MT"/>
                <w:sz w:val="22"/>
                <w:szCs w:val="22"/>
              </w:rPr>
              <w:t xml:space="preserve">The Constitutional Court </w:t>
            </w:r>
            <w:r>
              <w:rPr>
                <w:rFonts w:ascii="Gill Sans MT" w:hAnsi="Gill Sans MT"/>
                <w:sz w:val="22"/>
                <w:szCs w:val="22"/>
              </w:rPr>
              <w:t xml:space="preserve">held </w:t>
            </w:r>
            <w:r w:rsidRPr="00DA2E55">
              <w:rPr>
                <w:rFonts w:ascii="Gill Sans MT" w:hAnsi="Gill Sans MT"/>
                <w:sz w:val="22"/>
                <w:szCs w:val="22"/>
              </w:rPr>
              <w:t>that reinstatement was the appropriate remedy for the individual who was unfairly denied employment due to discrimination. However, taking the specific circumstances into account, it was deemed unfair to SAA to apply the order retroactively.</w:t>
            </w:r>
          </w:p>
        </w:tc>
      </w:tr>
      <w:tr w:rsidR="00D217C7" w:rsidRPr="00942068" w14:paraId="6493A33E" w14:textId="77777777" w:rsidTr="76A48BD2">
        <w:tc>
          <w:tcPr>
            <w:tcW w:w="2689" w:type="dxa"/>
          </w:tcPr>
          <w:p w14:paraId="746DCC34"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Reported by</w:t>
            </w:r>
          </w:p>
          <w:p w14:paraId="333FD928" w14:textId="77777777" w:rsidR="00D217C7" w:rsidRPr="00942068" w:rsidRDefault="00D217C7" w:rsidP="00711EE3">
            <w:pPr>
              <w:jc w:val="both"/>
              <w:rPr>
                <w:rFonts w:ascii="Gill Sans MT" w:hAnsi="Gill Sans MT" w:cstheme="minorHAnsi"/>
                <w:color w:val="000000" w:themeColor="text1"/>
                <w:sz w:val="22"/>
                <w:szCs w:val="22"/>
              </w:rPr>
            </w:pPr>
            <w:r w:rsidRPr="00942068">
              <w:rPr>
                <w:rFonts w:ascii="Gill Sans MT" w:hAnsi="Gill Sans MT" w:cstheme="minorHAnsi"/>
                <w:color w:val="000000" w:themeColor="text1"/>
                <w:sz w:val="22"/>
                <w:szCs w:val="22"/>
              </w:rPr>
              <w:t>Date</w:t>
            </w:r>
          </w:p>
        </w:tc>
        <w:tc>
          <w:tcPr>
            <w:tcW w:w="6327" w:type="dxa"/>
            <w:gridSpan w:val="2"/>
          </w:tcPr>
          <w:p w14:paraId="337AAD85" w14:textId="1CD6E5C3" w:rsidR="00D217C7" w:rsidRDefault="001443C9" w:rsidP="00711EE3">
            <w:pPr>
              <w:jc w:val="both"/>
              <w:rPr>
                <w:rFonts w:ascii="Gill Sans MT" w:hAnsi="Gill Sans MT" w:cstheme="minorHAnsi"/>
                <w:color w:val="000000" w:themeColor="text1"/>
                <w:sz w:val="22"/>
                <w:szCs w:val="22"/>
              </w:rPr>
            </w:pPr>
            <w:r>
              <w:rPr>
                <w:rFonts w:ascii="Gill Sans MT" w:hAnsi="Gill Sans MT" w:cstheme="minorHAnsi"/>
                <w:color w:val="000000" w:themeColor="text1"/>
                <w:sz w:val="22"/>
                <w:szCs w:val="22"/>
              </w:rPr>
              <w:t>Abongile Nkamisa</w:t>
            </w:r>
          </w:p>
          <w:p w14:paraId="045FA6EE" w14:textId="6CC9D16B" w:rsidR="00D217C7" w:rsidRPr="00942068" w:rsidRDefault="76A48BD2" w:rsidP="76A48BD2">
            <w:pPr>
              <w:jc w:val="both"/>
              <w:rPr>
                <w:rFonts w:ascii="Gill Sans MT" w:hAnsi="Gill Sans MT" w:cstheme="minorBidi"/>
                <w:color w:val="000000" w:themeColor="text1"/>
                <w:sz w:val="22"/>
                <w:szCs w:val="22"/>
              </w:rPr>
            </w:pPr>
            <w:r w:rsidRPr="76A48BD2">
              <w:rPr>
                <w:rFonts w:ascii="Gill Sans MT" w:hAnsi="Gill Sans MT" w:cstheme="minorBidi"/>
                <w:color w:val="000000" w:themeColor="text1"/>
                <w:sz w:val="22"/>
                <w:szCs w:val="22"/>
              </w:rPr>
              <w:t>16 June 2023</w:t>
            </w:r>
          </w:p>
        </w:tc>
      </w:tr>
    </w:tbl>
    <w:p w14:paraId="0EEA76DD" w14:textId="77777777" w:rsidR="00D217C7" w:rsidRPr="00942068" w:rsidRDefault="00D217C7" w:rsidP="00D217C7">
      <w:pPr>
        <w:jc w:val="both"/>
        <w:rPr>
          <w:rFonts w:ascii="Gill Sans MT" w:hAnsi="Gill Sans MT" w:cstheme="minorHAnsi"/>
          <w:color w:val="000000" w:themeColor="text1"/>
          <w:sz w:val="22"/>
          <w:szCs w:val="22"/>
        </w:rPr>
      </w:pPr>
    </w:p>
    <w:p w14:paraId="53DEC0FE" w14:textId="77777777" w:rsidR="00D217C7" w:rsidRDefault="00D217C7" w:rsidP="00D217C7"/>
    <w:p w14:paraId="53FC49AD" w14:textId="77777777" w:rsidR="005F0D04" w:rsidRDefault="005F0D04"/>
    <w:sectPr w:rsidR="005F0D0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D2360" w14:textId="77777777" w:rsidR="00CB727C" w:rsidRDefault="00CB727C" w:rsidP="00D217C7">
      <w:r>
        <w:separator/>
      </w:r>
    </w:p>
  </w:endnote>
  <w:endnote w:type="continuationSeparator" w:id="0">
    <w:p w14:paraId="7F9AB4BE" w14:textId="77777777" w:rsidR="00CB727C" w:rsidRDefault="00CB727C" w:rsidP="00D2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5C298" w14:textId="77777777" w:rsidR="00CB727C" w:rsidRDefault="00CB727C" w:rsidP="00D217C7">
      <w:r>
        <w:separator/>
      </w:r>
    </w:p>
  </w:footnote>
  <w:footnote w:type="continuationSeparator" w:id="0">
    <w:p w14:paraId="66486F1F" w14:textId="77777777" w:rsidR="00CB727C" w:rsidRDefault="00CB727C" w:rsidP="00D217C7">
      <w:r>
        <w:continuationSeparator/>
      </w:r>
    </w:p>
  </w:footnote>
  <w:footnote w:id="1">
    <w:p w14:paraId="239EBFC5"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color w:val="000000"/>
        </w:rPr>
        <w:t>Project code is the combination of the three jurisdiction letters (KEN for Kenya, SAF for South Africa etc) and the unique case identification number for the index. E.g., a project code could be KEN1, SAF34, ZAM12).</w:t>
      </w:r>
    </w:p>
  </w:footnote>
  <w:footnote w:id="2">
    <w:p w14:paraId="1C2FA6D6"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rPr>
        <w:t>Whether Trial, Application or Appeal.</w:t>
      </w:r>
    </w:p>
  </w:footnote>
  <w:footnote w:id="3">
    <w:p w14:paraId="6B20110B" w14:textId="77777777" w:rsidR="00D217C7" w:rsidRPr="001D2B71" w:rsidRDefault="00D217C7" w:rsidP="00D217C7">
      <w:pPr>
        <w:pStyle w:val="FootnoteText"/>
        <w:jc w:val="both"/>
        <w:rPr>
          <w:rFonts w:ascii="Gill Sans MT" w:hAnsi="Gill Sans MT"/>
        </w:rPr>
      </w:pPr>
      <w:r w:rsidRPr="001D2B71">
        <w:rPr>
          <w:rStyle w:val="FootnoteReference"/>
          <w:rFonts w:ascii="Gill Sans MT" w:hAnsi="Gill Sans MT"/>
        </w:rPr>
        <w:footnoteRef/>
      </w:r>
      <w:r w:rsidRPr="001D2B71">
        <w:rPr>
          <w:rFonts w:ascii="Gill Sans MT" w:hAnsi="Gill Sans MT"/>
        </w:rPr>
        <w:t xml:space="preserve"> </w:t>
      </w:r>
      <w:r w:rsidRPr="001D2B71">
        <w:rPr>
          <w:rFonts w:ascii="Gill Sans MT" w:eastAsia="Gill Sans" w:hAnsi="Gill Sans MT" w:cs="Gill Sans"/>
          <w:b/>
        </w:rPr>
        <w:t>Area of law</w:t>
      </w:r>
      <w:r w:rsidRPr="001D2B71">
        <w:rPr>
          <w:rFonts w:ascii="Gill Sans MT" w:eastAsia="Gill Sans" w:hAnsi="Gill Sans MT" w:cs="Gill Sans"/>
        </w:rPr>
        <w:t xml:space="preserve"> - topic – subtopic.</w:t>
      </w:r>
    </w:p>
  </w:footnote>
  <w:footnote w:id="4">
    <w:p w14:paraId="483AC0C4"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Legislation/ International instrument title and section numbers.</w:t>
      </w:r>
    </w:p>
  </w:footnote>
  <w:footnote w:id="5">
    <w:p w14:paraId="1101FD17" w14:textId="77777777" w:rsidR="00D217C7" w:rsidRPr="00F87A06" w:rsidRDefault="00D217C7" w:rsidP="00D217C7">
      <w:pPr>
        <w:pBdr>
          <w:top w:val="nil"/>
          <w:left w:val="nil"/>
          <w:bottom w:val="nil"/>
          <w:right w:val="nil"/>
          <w:between w:val="nil"/>
        </w:pBdr>
        <w:jc w:val="both"/>
        <w:rPr>
          <w:rFonts w:ascii="Gill Sans MT" w:eastAsia="Gill Sans" w:hAnsi="Gill Sans MT" w:cs="Gill Sans"/>
          <w:color w:val="000000"/>
          <w:sz w:val="20"/>
          <w:szCs w:val="20"/>
          <w:lang w:eastAsia="en-ZA"/>
        </w:rPr>
      </w:pPr>
      <w:r w:rsidRPr="001D2B71">
        <w:rPr>
          <w:rStyle w:val="FootnoteReference"/>
          <w:rFonts w:ascii="Gill Sans MT" w:hAnsi="Gill Sans MT"/>
          <w:sz w:val="20"/>
          <w:szCs w:val="20"/>
        </w:rPr>
        <w:footnoteRef/>
      </w:r>
      <w:r w:rsidRPr="001D2B71">
        <w:rPr>
          <w:rFonts w:ascii="Gill Sans MT" w:hAnsi="Gill Sans MT"/>
          <w:sz w:val="20"/>
          <w:szCs w:val="20"/>
        </w:rPr>
        <w:t xml:space="preserve"> </w:t>
      </w:r>
      <w:r w:rsidRPr="001D2B71">
        <w:rPr>
          <w:rFonts w:ascii="Gill Sans MT" w:eastAsia="Gill Sans" w:hAnsi="Gill Sans MT" w:cs="Gill Sans"/>
          <w:color w:val="000000"/>
          <w:sz w:val="20"/>
          <w:szCs w:val="20"/>
          <w:lang w:eastAsia="en-ZA"/>
        </w:rPr>
        <w:t xml:space="preserve">List of cases considered to be </w:t>
      </w:r>
      <w:r w:rsidRPr="001D2B71">
        <w:rPr>
          <w:rFonts w:ascii="Gill Sans MT" w:eastAsia="Gill Sans" w:hAnsi="Gill Sans MT" w:cs="Gill Sans"/>
          <w:color w:val="000000"/>
          <w:sz w:val="20"/>
          <w:szCs w:val="20"/>
          <w:u w:val="single"/>
          <w:lang w:eastAsia="en-ZA"/>
        </w:rPr>
        <w:t>important precedent</w:t>
      </w:r>
      <w:r w:rsidRPr="001D2B71">
        <w:rPr>
          <w:rFonts w:ascii="Gill Sans MT" w:eastAsia="Gill Sans" w:hAnsi="Gill Sans MT" w:cs="Gill Sans"/>
          <w:color w:val="000000"/>
          <w:sz w:val="20"/>
          <w:szCs w:val="20"/>
          <w:lang w:eastAsia="en-ZA"/>
        </w:rPr>
        <w:t xml:space="preserve"> (case name and citation).</w:t>
      </w:r>
    </w:p>
  </w:footnote>
  <w:footnote w:id="6">
    <w:p w14:paraId="145725B0" w14:textId="77777777" w:rsidR="00D217C7" w:rsidRPr="001D2B71" w:rsidRDefault="00D217C7" w:rsidP="00D217C7">
      <w:pPr>
        <w:jc w:val="both"/>
        <w:rPr>
          <w:rFonts w:ascii="Gill Sans MT" w:eastAsia="Gill Sans" w:hAnsi="Gill Sans MT" w:cs="Gill Sans"/>
          <w:i/>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Brief facts about the case (max 150 words).</w:t>
      </w:r>
    </w:p>
  </w:footnote>
  <w:footnote w:id="7">
    <w:p w14:paraId="6E4D8B9B"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Summary of the determination of legal questions and/or grounds of appeal (between 150-250 words).</w:t>
      </w:r>
    </w:p>
  </w:footnote>
  <w:footnote w:id="8">
    <w:p w14:paraId="2FF19BC4" w14:textId="77777777" w:rsidR="00D217C7" w:rsidRPr="001D2B71" w:rsidRDefault="00D217C7" w:rsidP="00D217C7">
      <w:pPr>
        <w:jc w:val="both"/>
        <w:rPr>
          <w:rFonts w:ascii="Gill Sans MT" w:eastAsia="Gill Sans" w:hAnsi="Gill Sans MT" w:cs="Gill Sans"/>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sz w:val="20"/>
          <w:szCs w:val="20"/>
        </w:rPr>
        <w:t xml:space="preserve"> A brief summary of the ruling/judgment of the court (max 100 words).</w:t>
      </w:r>
    </w:p>
  </w:footnote>
  <w:footnote w:id="9">
    <w:p w14:paraId="62F17BC1" w14:textId="77777777" w:rsidR="00D217C7" w:rsidRPr="001D2B71" w:rsidRDefault="00D217C7" w:rsidP="00D217C7">
      <w:pPr>
        <w:pBdr>
          <w:top w:val="nil"/>
          <w:left w:val="nil"/>
          <w:bottom w:val="nil"/>
          <w:right w:val="nil"/>
          <w:between w:val="nil"/>
        </w:pBdr>
        <w:jc w:val="both"/>
        <w:rPr>
          <w:rFonts w:ascii="Gill Sans MT" w:eastAsia="Gill Sans" w:hAnsi="Gill Sans MT" w:cs="Gill Sans"/>
          <w:color w:val="000000"/>
          <w:sz w:val="20"/>
          <w:szCs w:val="20"/>
        </w:rPr>
      </w:pPr>
      <w:r w:rsidRPr="001D2B71">
        <w:rPr>
          <w:rStyle w:val="FootnoteReference"/>
          <w:rFonts w:ascii="Gill Sans MT" w:eastAsia="Arial" w:hAnsi="Gill Sans MT"/>
          <w:sz w:val="20"/>
          <w:szCs w:val="20"/>
        </w:rPr>
        <w:footnoteRef/>
      </w:r>
      <w:r w:rsidRPr="001D2B71">
        <w:rPr>
          <w:rFonts w:ascii="Gill Sans MT" w:eastAsia="Gill Sans" w:hAnsi="Gill Sans MT" w:cs="Gill Sans"/>
          <w:color w:val="000000"/>
          <w:sz w:val="20"/>
          <w:szCs w:val="20"/>
        </w:rPr>
        <w:t xml:space="preserve"> A 1-2 sentence summary of the basis of the decision (i.e., which legal rules were relied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74E0" w14:textId="77777777" w:rsidR="00A0607C" w:rsidRPr="00A0607C" w:rsidRDefault="00000000" w:rsidP="00A0607C">
    <w:pPr>
      <w:pStyle w:val="Header"/>
      <w:jc w:val="right"/>
      <w:rPr>
        <w:sz w:val="18"/>
      </w:rPr>
    </w:pPr>
  </w:p>
  <w:p w14:paraId="6901A671" w14:textId="77777777" w:rsidR="00A0607C" w:rsidRDefault="00000000" w:rsidP="00A0607C">
    <w:pPr>
      <w:pStyle w:val="Header"/>
      <w:jc w:val="right"/>
      <w:rPr>
        <w:sz w:val="18"/>
      </w:rPr>
    </w:pPr>
  </w:p>
  <w:p w14:paraId="7F5B1A8F" w14:textId="77777777" w:rsidR="00A0607C" w:rsidRDefault="00000000" w:rsidP="00A0607C">
    <w:pPr>
      <w:pStyle w:val="Header"/>
      <w:jc w:val="right"/>
      <w:rPr>
        <w:sz w:val="18"/>
      </w:rPr>
    </w:pPr>
  </w:p>
  <w:p w14:paraId="6516D429" w14:textId="77777777" w:rsidR="00A0607C" w:rsidRPr="00A0607C" w:rsidRDefault="00000000" w:rsidP="00A0607C">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61207"/>
    <w:multiLevelType w:val="hybridMultilevel"/>
    <w:tmpl w:val="3694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0783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19"/>
    <w:rsid w:val="0002367F"/>
    <w:rsid w:val="00031750"/>
    <w:rsid w:val="00041982"/>
    <w:rsid w:val="00093FF7"/>
    <w:rsid w:val="000A22D1"/>
    <w:rsid w:val="00124458"/>
    <w:rsid w:val="001443C9"/>
    <w:rsid w:val="00160287"/>
    <w:rsid w:val="00196B03"/>
    <w:rsid w:val="001D149A"/>
    <w:rsid w:val="00293376"/>
    <w:rsid w:val="00296361"/>
    <w:rsid w:val="002A4B01"/>
    <w:rsid w:val="002E0D50"/>
    <w:rsid w:val="002E15F3"/>
    <w:rsid w:val="00344BF3"/>
    <w:rsid w:val="003648D4"/>
    <w:rsid w:val="003A2EC1"/>
    <w:rsid w:val="003E22D8"/>
    <w:rsid w:val="003E23AE"/>
    <w:rsid w:val="00411314"/>
    <w:rsid w:val="00427491"/>
    <w:rsid w:val="00446D1A"/>
    <w:rsid w:val="00464193"/>
    <w:rsid w:val="004D2950"/>
    <w:rsid w:val="004F5C1C"/>
    <w:rsid w:val="005446DB"/>
    <w:rsid w:val="00587F1A"/>
    <w:rsid w:val="00593D56"/>
    <w:rsid w:val="005A4379"/>
    <w:rsid w:val="005B491F"/>
    <w:rsid w:val="005C4394"/>
    <w:rsid w:val="005D5E70"/>
    <w:rsid w:val="005E36F7"/>
    <w:rsid w:val="005E5A7E"/>
    <w:rsid w:val="005F0D04"/>
    <w:rsid w:val="006846CD"/>
    <w:rsid w:val="006A32FE"/>
    <w:rsid w:val="006D6623"/>
    <w:rsid w:val="006E1C2F"/>
    <w:rsid w:val="006F29E3"/>
    <w:rsid w:val="007430D5"/>
    <w:rsid w:val="00795CF3"/>
    <w:rsid w:val="007A5F8E"/>
    <w:rsid w:val="007B46BA"/>
    <w:rsid w:val="007B6D79"/>
    <w:rsid w:val="007D0D88"/>
    <w:rsid w:val="00812564"/>
    <w:rsid w:val="00860C8D"/>
    <w:rsid w:val="008747F7"/>
    <w:rsid w:val="0090353D"/>
    <w:rsid w:val="00933350"/>
    <w:rsid w:val="00941363"/>
    <w:rsid w:val="00974FDD"/>
    <w:rsid w:val="009D3190"/>
    <w:rsid w:val="00A10853"/>
    <w:rsid w:val="00A25953"/>
    <w:rsid w:val="00A36319"/>
    <w:rsid w:val="00A8351F"/>
    <w:rsid w:val="00AA61AD"/>
    <w:rsid w:val="00AA6D34"/>
    <w:rsid w:val="00AC59E5"/>
    <w:rsid w:val="00B018A4"/>
    <w:rsid w:val="00B0396E"/>
    <w:rsid w:val="00B31C0A"/>
    <w:rsid w:val="00B3422A"/>
    <w:rsid w:val="00BE1D6D"/>
    <w:rsid w:val="00C13C76"/>
    <w:rsid w:val="00C408B7"/>
    <w:rsid w:val="00CB727C"/>
    <w:rsid w:val="00CC6081"/>
    <w:rsid w:val="00D10BAA"/>
    <w:rsid w:val="00D217C7"/>
    <w:rsid w:val="00D242F6"/>
    <w:rsid w:val="00D45A42"/>
    <w:rsid w:val="00D81E10"/>
    <w:rsid w:val="00D955A7"/>
    <w:rsid w:val="00DB6ED5"/>
    <w:rsid w:val="00E03F71"/>
    <w:rsid w:val="00E157CB"/>
    <w:rsid w:val="00E27864"/>
    <w:rsid w:val="00E5698C"/>
    <w:rsid w:val="00EB7B71"/>
    <w:rsid w:val="00FA6ED8"/>
    <w:rsid w:val="00FB676B"/>
    <w:rsid w:val="00FE1CF2"/>
    <w:rsid w:val="00FE3B32"/>
    <w:rsid w:val="00FE6BF7"/>
    <w:rsid w:val="0C58DD75"/>
    <w:rsid w:val="3884A1B1"/>
    <w:rsid w:val="6FFFAE52"/>
    <w:rsid w:val="76A48BD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550F5F"/>
  <w15:chartTrackingRefBased/>
  <w15:docId w15:val="{0439FB94-C308-4293-A33C-EEF4563F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C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217C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7C7"/>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217C7"/>
    <w:pPr>
      <w:tabs>
        <w:tab w:val="center" w:pos="4513"/>
        <w:tab w:val="right" w:pos="9026"/>
      </w:tabs>
    </w:pPr>
  </w:style>
  <w:style w:type="character" w:customStyle="1" w:styleId="HeaderChar">
    <w:name w:val="Header Char"/>
    <w:basedOn w:val="DefaultParagraphFont"/>
    <w:link w:val="Header"/>
    <w:uiPriority w:val="99"/>
    <w:rsid w:val="00D217C7"/>
    <w:rPr>
      <w:rFonts w:ascii="Times New Roman" w:eastAsia="Times New Roman" w:hAnsi="Times New Roman" w:cs="Times New Roman"/>
      <w:sz w:val="24"/>
      <w:szCs w:val="24"/>
    </w:rPr>
  </w:style>
  <w:style w:type="paragraph" w:styleId="NormalWeb">
    <w:name w:val="Normal (Web)"/>
    <w:basedOn w:val="Normal"/>
    <w:uiPriority w:val="99"/>
    <w:unhideWhenUsed/>
    <w:rsid w:val="00D217C7"/>
    <w:pPr>
      <w:spacing w:before="100" w:beforeAutospacing="1" w:after="100" w:afterAutospacing="1"/>
    </w:pPr>
  </w:style>
  <w:style w:type="paragraph" w:styleId="FootnoteText">
    <w:name w:val="footnote text"/>
    <w:basedOn w:val="Normal"/>
    <w:link w:val="FootnoteTextChar"/>
    <w:uiPriority w:val="99"/>
    <w:semiHidden/>
    <w:unhideWhenUsed/>
    <w:rsid w:val="00D217C7"/>
    <w:rPr>
      <w:sz w:val="20"/>
      <w:szCs w:val="20"/>
    </w:rPr>
  </w:style>
  <w:style w:type="character" w:customStyle="1" w:styleId="FootnoteTextChar">
    <w:name w:val="Footnote Text Char"/>
    <w:basedOn w:val="DefaultParagraphFont"/>
    <w:link w:val="FootnoteText"/>
    <w:uiPriority w:val="99"/>
    <w:semiHidden/>
    <w:rsid w:val="00D217C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217C7"/>
    <w:rPr>
      <w:vertAlign w:val="superscript"/>
    </w:rPr>
  </w:style>
  <w:style w:type="paragraph" w:styleId="ListParagraph">
    <w:name w:val="List Paragraph"/>
    <w:basedOn w:val="Normal"/>
    <w:uiPriority w:val="34"/>
    <w:qFormat/>
    <w:rsid w:val="00D217C7"/>
    <w:pPr>
      <w:ind w:left="720"/>
      <w:contextualSpacing/>
    </w:pPr>
  </w:style>
  <w:style w:type="character" w:styleId="Hyperlink">
    <w:name w:val="Hyperlink"/>
    <w:basedOn w:val="DefaultParagraphFont"/>
    <w:uiPriority w:val="99"/>
    <w:unhideWhenUsed/>
    <w:rsid w:val="00344BF3"/>
    <w:rPr>
      <w:color w:val="0563C1" w:themeColor="hyperlink"/>
      <w:u w:val="single"/>
    </w:rPr>
  </w:style>
  <w:style w:type="character" w:styleId="UnresolvedMention">
    <w:name w:val="Unresolved Mention"/>
    <w:basedOn w:val="DefaultParagraphFont"/>
    <w:uiPriority w:val="99"/>
    <w:semiHidden/>
    <w:unhideWhenUsed/>
    <w:rsid w:val="00344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029634">
      <w:bodyDiv w:val="1"/>
      <w:marLeft w:val="0"/>
      <w:marRight w:val="0"/>
      <w:marTop w:val="0"/>
      <w:marBottom w:val="0"/>
      <w:divBdr>
        <w:top w:val="none" w:sz="0" w:space="0" w:color="auto"/>
        <w:left w:val="none" w:sz="0" w:space="0" w:color="auto"/>
        <w:bottom w:val="none" w:sz="0" w:space="0" w:color="auto"/>
        <w:right w:val="none" w:sz="0" w:space="0" w:color="auto"/>
      </w:divBdr>
    </w:div>
    <w:div w:id="1327981075">
      <w:bodyDiv w:val="1"/>
      <w:marLeft w:val="0"/>
      <w:marRight w:val="0"/>
      <w:marTop w:val="0"/>
      <w:marBottom w:val="0"/>
      <w:divBdr>
        <w:top w:val="none" w:sz="0" w:space="0" w:color="auto"/>
        <w:left w:val="none" w:sz="0" w:space="0" w:color="auto"/>
        <w:bottom w:val="none" w:sz="0" w:space="0" w:color="auto"/>
        <w:right w:val="none" w:sz="0" w:space="0" w:color="auto"/>
      </w:divBdr>
      <w:divsChild>
        <w:div w:id="1367562384">
          <w:marLeft w:val="0"/>
          <w:marRight w:val="0"/>
          <w:marTop w:val="0"/>
          <w:marBottom w:val="0"/>
          <w:divBdr>
            <w:top w:val="single" w:sz="2" w:space="0" w:color="D9D9E3"/>
            <w:left w:val="single" w:sz="2" w:space="0" w:color="D9D9E3"/>
            <w:bottom w:val="single" w:sz="2" w:space="0" w:color="D9D9E3"/>
            <w:right w:val="single" w:sz="2" w:space="0" w:color="D9D9E3"/>
          </w:divBdr>
          <w:divsChild>
            <w:div w:id="887450280">
              <w:marLeft w:val="0"/>
              <w:marRight w:val="0"/>
              <w:marTop w:val="0"/>
              <w:marBottom w:val="0"/>
              <w:divBdr>
                <w:top w:val="single" w:sz="2" w:space="0" w:color="D9D9E3"/>
                <w:left w:val="single" w:sz="2" w:space="0" w:color="D9D9E3"/>
                <w:bottom w:val="single" w:sz="2" w:space="0" w:color="D9D9E3"/>
                <w:right w:val="single" w:sz="2" w:space="0" w:color="D9D9E3"/>
              </w:divBdr>
              <w:divsChild>
                <w:div w:id="1509632181">
                  <w:marLeft w:val="0"/>
                  <w:marRight w:val="0"/>
                  <w:marTop w:val="0"/>
                  <w:marBottom w:val="0"/>
                  <w:divBdr>
                    <w:top w:val="single" w:sz="2" w:space="0" w:color="D9D9E3"/>
                    <w:left w:val="single" w:sz="2" w:space="0" w:color="D9D9E3"/>
                    <w:bottom w:val="single" w:sz="2" w:space="0" w:color="D9D9E3"/>
                    <w:right w:val="single" w:sz="2" w:space="0" w:color="D9D9E3"/>
                  </w:divBdr>
                  <w:divsChild>
                    <w:div w:id="322393026">
                      <w:marLeft w:val="0"/>
                      <w:marRight w:val="0"/>
                      <w:marTop w:val="0"/>
                      <w:marBottom w:val="0"/>
                      <w:divBdr>
                        <w:top w:val="single" w:sz="2" w:space="0" w:color="D9D9E3"/>
                        <w:left w:val="single" w:sz="2" w:space="0" w:color="D9D9E3"/>
                        <w:bottom w:val="single" w:sz="2" w:space="0" w:color="D9D9E3"/>
                        <w:right w:val="single" w:sz="2" w:space="0" w:color="D9D9E3"/>
                      </w:divBdr>
                      <w:divsChild>
                        <w:div w:id="2052335976">
                          <w:marLeft w:val="0"/>
                          <w:marRight w:val="0"/>
                          <w:marTop w:val="0"/>
                          <w:marBottom w:val="0"/>
                          <w:divBdr>
                            <w:top w:val="single" w:sz="2" w:space="0" w:color="auto"/>
                            <w:left w:val="single" w:sz="2" w:space="0" w:color="auto"/>
                            <w:bottom w:val="single" w:sz="6" w:space="0" w:color="auto"/>
                            <w:right w:val="single" w:sz="2" w:space="0" w:color="auto"/>
                          </w:divBdr>
                          <w:divsChild>
                            <w:div w:id="200693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894281">
                                  <w:marLeft w:val="0"/>
                                  <w:marRight w:val="0"/>
                                  <w:marTop w:val="0"/>
                                  <w:marBottom w:val="0"/>
                                  <w:divBdr>
                                    <w:top w:val="single" w:sz="2" w:space="0" w:color="D9D9E3"/>
                                    <w:left w:val="single" w:sz="2" w:space="0" w:color="D9D9E3"/>
                                    <w:bottom w:val="single" w:sz="2" w:space="0" w:color="D9D9E3"/>
                                    <w:right w:val="single" w:sz="2" w:space="0" w:color="D9D9E3"/>
                                  </w:divBdr>
                                  <w:divsChild>
                                    <w:div w:id="1084305684">
                                      <w:marLeft w:val="0"/>
                                      <w:marRight w:val="0"/>
                                      <w:marTop w:val="0"/>
                                      <w:marBottom w:val="0"/>
                                      <w:divBdr>
                                        <w:top w:val="single" w:sz="2" w:space="0" w:color="D9D9E3"/>
                                        <w:left w:val="single" w:sz="2" w:space="0" w:color="D9D9E3"/>
                                        <w:bottom w:val="single" w:sz="2" w:space="0" w:color="D9D9E3"/>
                                        <w:right w:val="single" w:sz="2" w:space="0" w:color="D9D9E3"/>
                                      </w:divBdr>
                                      <w:divsChild>
                                        <w:div w:id="74015926">
                                          <w:marLeft w:val="0"/>
                                          <w:marRight w:val="0"/>
                                          <w:marTop w:val="0"/>
                                          <w:marBottom w:val="0"/>
                                          <w:divBdr>
                                            <w:top w:val="single" w:sz="2" w:space="0" w:color="D9D9E3"/>
                                            <w:left w:val="single" w:sz="2" w:space="0" w:color="D9D9E3"/>
                                            <w:bottom w:val="single" w:sz="2" w:space="0" w:color="D9D9E3"/>
                                            <w:right w:val="single" w:sz="2" w:space="0" w:color="D9D9E3"/>
                                          </w:divBdr>
                                          <w:divsChild>
                                            <w:div w:id="195712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0399091">
          <w:marLeft w:val="0"/>
          <w:marRight w:val="0"/>
          <w:marTop w:val="0"/>
          <w:marBottom w:val="0"/>
          <w:divBdr>
            <w:top w:val="none" w:sz="0" w:space="0" w:color="auto"/>
            <w:left w:val="none" w:sz="0" w:space="0" w:color="auto"/>
            <w:bottom w:val="none" w:sz="0" w:space="0" w:color="auto"/>
            <w:right w:val="none" w:sz="0" w:space="0" w:color="auto"/>
          </w:divBdr>
        </w:div>
      </w:divsChild>
    </w:div>
    <w:div w:id="1378550940">
      <w:bodyDiv w:val="1"/>
      <w:marLeft w:val="0"/>
      <w:marRight w:val="0"/>
      <w:marTop w:val="0"/>
      <w:marBottom w:val="0"/>
      <w:divBdr>
        <w:top w:val="none" w:sz="0" w:space="0" w:color="auto"/>
        <w:left w:val="none" w:sz="0" w:space="0" w:color="auto"/>
        <w:bottom w:val="none" w:sz="0" w:space="0" w:color="auto"/>
        <w:right w:val="none" w:sz="0" w:space="0" w:color="auto"/>
      </w:divBdr>
      <w:divsChild>
        <w:div w:id="1580091553">
          <w:marLeft w:val="0"/>
          <w:marRight w:val="0"/>
          <w:marTop w:val="0"/>
          <w:marBottom w:val="0"/>
          <w:divBdr>
            <w:top w:val="single" w:sz="2" w:space="0" w:color="D9D9E3"/>
            <w:left w:val="single" w:sz="2" w:space="0" w:color="D9D9E3"/>
            <w:bottom w:val="single" w:sz="2" w:space="0" w:color="D9D9E3"/>
            <w:right w:val="single" w:sz="2" w:space="0" w:color="D9D9E3"/>
          </w:divBdr>
          <w:divsChild>
            <w:div w:id="1575699460">
              <w:marLeft w:val="0"/>
              <w:marRight w:val="0"/>
              <w:marTop w:val="0"/>
              <w:marBottom w:val="0"/>
              <w:divBdr>
                <w:top w:val="single" w:sz="2" w:space="0" w:color="D9D9E3"/>
                <w:left w:val="single" w:sz="2" w:space="0" w:color="D9D9E3"/>
                <w:bottom w:val="single" w:sz="2" w:space="0" w:color="D9D9E3"/>
                <w:right w:val="single" w:sz="2" w:space="0" w:color="D9D9E3"/>
              </w:divBdr>
              <w:divsChild>
                <w:div w:id="466968271">
                  <w:marLeft w:val="0"/>
                  <w:marRight w:val="0"/>
                  <w:marTop w:val="0"/>
                  <w:marBottom w:val="0"/>
                  <w:divBdr>
                    <w:top w:val="single" w:sz="2" w:space="0" w:color="D9D9E3"/>
                    <w:left w:val="single" w:sz="2" w:space="0" w:color="D9D9E3"/>
                    <w:bottom w:val="single" w:sz="2" w:space="0" w:color="D9D9E3"/>
                    <w:right w:val="single" w:sz="2" w:space="0" w:color="D9D9E3"/>
                  </w:divBdr>
                  <w:divsChild>
                    <w:div w:id="1145394496">
                      <w:marLeft w:val="0"/>
                      <w:marRight w:val="0"/>
                      <w:marTop w:val="0"/>
                      <w:marBottom w:val="0"/>
                      <w:divBdr>
                        <w:top w:val="single" w:sz="2" w:space="0" w:color="D9D9E3"/>
                        <w:left w:val="single" w:sz="2" w:space="0" w:color="D9D9E3"/>
                        <w:bottom w:val="single" w:sz="2" w:space="0" w:color="D9D9E3"/>
                        <w:right w:val="single" w:sz="2" w:space="0" w:color="D9D9E3"/>
                      </w:divBdr>
                      <w:divsChild>
                        <w:div w:id="767892073">
                          <w:marLeft w:val="0"/>
                          <w:marRight w:val="0"/>
                          <w:marTop w:val="0"/>
                          <w:marBottom w:val="0"/>
                          <w:divBdr>
                            <w:top w:val="single" w:sz="2" w:space="0" w:color="auto"/>
                            <w:left w:val="single" w:sz="2" w:space="0" w:color="auto"/>
                            <w:bottom w:val="single" w:sz="6" w:space="0" w:color="auto"/>
                            <w:right w:val="single" w:sz="2" w:space="0" w:color="auto"/>
                          </w:divBdr>
                          <w:divsChild>
                            <w:div w:id="1863662444">
                              <w:marLeft w:val="0"/>
                              <w:marRight w:val="0"/>
                              <w:marTop w:val="100"/>
                              <w:marBottom w:val="100"/>
                              <w:divBdr>
                                <w:top w:val="single" w:sz="2" w:space="0" w:color="D9D9E3"/>
                                <w:left w:val="single" w:sz="2" w:space="0" w:color="D9D9E3"/>
                                <w:bottom w:val="single" w:sz="2" w:space="0" w:color="D9D9E3"/>
                                <w:right w:val="single" w:sz="2" w:space="0" w:color="D9D9E3"/>
                              </w:divBdr>
                              <w:divsChild>
                                <w:div w:id="608508929">
                                  <w:marLeft w:val="0"/>
                                  <w:marRight w:val="0"/>
                                  <w:marTop w:val="0"/>
                                  <w:marBottom w:val="0"/>
                                  <w:divBdr>
                                    <w:top w:val="single" w:sz="2" w:space="0" w:color="D9D9E3"/>
                                    <w:left w:val="single" w:sz="2" w:space="0" w:color="D9D9E3"/>
                                    <w:bottom w:val="single" w:sz="2" w:space="0" w:color="D9D9E3"/>
                                    <w:right w:val="single" w:sz="2" w:space="0" w:color="D9D9E3"/>
                                  </w:divBdr>
                                  <w:divsChild>
                                    <w:div w:id="1386444409">
                                      <w:marLeft w:val="0"/>
                                      <w:marRight w:val="0"/>
                                      <w:marTop w:val="0"/>
                                      <w:marBottom w:val="0"/>
                                      <w:divBdr>
                                        <w:top w:val="single" w:sz="2" w:space="0" w:color="D9D9E3"/>
                                        <w:left w:val="single" w:sz="2" w:space="0" w:color="D9D9E3"/>
                                        <w:bottom w:val="single" w:sz="2" w:space="0" w:color="D9D9E3"/>
                                        <w:right w:val="single" w:sz="2" w:space="0" w:color="D9D9E3"/>
                                      </w:divBdr>
                                      <w:divsChild>
                                        <w:div w:id="1078674128">
                                          <w:marLeft w:val="0"/>
                                          <w:marRight w:val="0"/>
                                          <w:marTop w:val="0"/>
                                          <w:marBottom w:val="0"/>
                                          <w:divBdr>
                                            <w:top w:val="single" w:sz="2" w:space="0" w:color="D9D9E3"/>
                                            <w:left w:val="single" w:sz="2" w:space="0" w:color="D9D9E3"/>
                                            <w:bottom w:val="single" w:sz="2" w:space="0" w:color="D9D9E3"/>
                                            <w:right w:val="single" w:sz="2" w:space="0" w:color="D9D9E3"/>
                                          </w:divBdr>
                                          <w:divsChild>
                                            <w:div w:id="578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569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aflii.org/za/cases/ZACC/200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Nyehita</dc:creator>
  <cp:keywords/>
  <dc:description/>
  <cp:lastModifiedBy>Suzanne Nyehita</cp:lastModifiedBy>
  <cp:revision>91</cp:revision>
  <dcterms:created xsi:type="dcterms:W3CDTF">2022-06-29T10:54:00Z</dcterms:created>
  <dcterms:modified xsi:type="dcterms:W3CDTF">2023-06-21T02:44:00Z</dcterms:modified>
</cp:coreProperties>
</file>