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0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89"/>
        <w:gridCol w:w="6378"/>
      </w:tblGrid>
      <w:tr w:rsidR="00D217C7" w:rsidRPr="00942068" w14:paraId="422D7F50" w14:textId="77777777" w:rsidTr="00F45C46">
        <w:tc>
          <w:tcPr>
            <w:tcW w:w="9067" w:type="dxa"/>
            <w:gridSpan w:val="2"/>
          </w:tcPr>
          <w:p w14:paraId="417F0D49" w14:textId="700CDAF9" w:rsidR="00D217C7" w:rsidRPr="007B6505" w:rsidRDefault="007B6505" w:rsidP="00711EE3">
            <w:pPr>
              <w:pStyle w:val="Heading2"/>
              <w:shd w:val="clear" w:color="auto" w:fill="FFFFFF"/>
              <w:spacing w:before="0" w:beforeAutospacing="0" w:after="0" w:afterAutospacing="0" w:line="288" w:lineRule="atLeast"/>
              <w:jc w:val="center"/>
              <w:rPr>
                <w:rFonts w:ascii="Gill Sans MT" w:hAnsi="Gill Sans MT" w:cstheme="minorHAnsi"/>
                <w:i/>
                <w:iCs/>
                <w:color w:val="000000" w:themeColor="text1"/>
                <w:sz w:val="22"/>
                <w:szCs w:val="22"/>
              </w:rPr>
            </w:pPr>
            <w:r w:rsidRPr="007B6505">
              <w:rPr>
                <w:rFonts w:ascii="Gill Sans MT" w:hAnsi="Gill Sans MT" w:cstheme="minorHAnsi"/>
                <w:i/>
                <w:iCs/>
                <w:color w:val="000000" w:themeColor="text1"/>
                <w:sz w:val="22"/>
                <w:szCs w:val="22"/>
              </w:rPr>
              <w:t>Minister of Health v Treatment Action Campaign (TAC)</w:t>
            </w:r>
          </w:p>
        </w:tc>
      </w:tr>
      <w:tr w:rsidR="00D217C7" w:rsidRPr="00942068" w14:paraId="126BC173" w14:textId="77777777" w:rsidTr="00F45C46">
        <w:tc>
          <w:tcPr>
            <w:tcW w:w="2689" w:type="dxa"/>
          </w:tcPr>
          <w:p w14:paraId="6679F913" w14:textId="77777777" w:rsidR="00D217C7" w:rsidRPr="00942068" w:rsidRDefault="00D217C7" w:rsidP="00711EE3">
            <w:pPr>
              <w:jc w:val="both"/>
              <w:rPr>
                <w:rFonts w:ascii="Gill Sans MT" w:hAnsi="Gill Sans MT" w:cstheme="minorHAnsi"/>
                <w:color w:val="000000" w:themeColor="text1"/>
                <w:sz w:val="22"/>
                <w:szCs w:val="22"/>
              </w:rPr>
            </w:pPr>
            <w:r w:rsidRPr="001D2B71">
              <w:rPr>
                <w:rFonts w:ascii="Gill Sans MT" w:hAnsi="Gill Sans MT" w:cs="Arial"/>
                <w:sz w:val="22"/>
                <w:szCs w:val="22"/>
              </w:rPr>
              <w:t>Project code</w:t>
            </w:r>
            <w:r w:rsidRPr="001D2B71">
              <w:rPr>
                <w:rStyle w:val="FootnoteReference"/>
                <w:rFonts w:ascii="Gill Sans MT" w:hAnsi="Gill Sans MT" w:cs="Arial"/>
                <w:sz w:val="22"/>
                <w:szCs w:val="22"/>
              </w:rPr>
              <w:footnoteReference w:id="1"/>
            </w:r>
          </w:p>
        </w:tc>
        <w:tc>
          <w:tcPr>
            <w:tcW w:w="6378" w:type="dxa"/>
          </w:tcPr>
          <w:p w14:paraId="70554603" w14:textId="207BD893" w:rsidR="00D217C7" w:rsidRPr="00942068" w:rsidRDefault="002B57EB" w:rsidP="00711EE3">
            <w:pPr>
              <w:jc w:val="both"/>
              <w:rPr>
                <w:rFonts w:ascii="Gill Sans MT" w:hAnsi="Gill Sans MT" w:cstheme="minorHAnsi"/>
                <w:color w:val="000000" w:themeColor="text1"/>
                <w:sz w:val="22"/>
                <w:szCs w:val="22"/>
              </w:rPr>
            </w:pPr>
            <w:r>
              <w:rPr>
                <w:rFonts w:ascii="Gill Sans MT" w:hAnsi="Gill Sans MT" w:cstheme="minorHAnsi"/>
                <w:color w:val="000000" w:themeColor="text1"/>
                <w:sz w:val="22"/>
                <w:szCs w:val="22"/>
              </w:rPr>
              <w:t>SAF</w:t>
            </w:r>
          </w:p>
        </w:tc>
      </w:tr>
      <w:tr w:rsidR="00D217C7" w:rsidRPr="00942068" w14:paraId="11F7E7AC" w14:textId="77777777" w:rsidTr="00F45C46">
        <w:tc>
          <w:tcPr>
            <w:tcW w:w="2689" w:type="dxa"/>
          </w:tcPr>
          <w:p w14:paraId="4AE92308" w14:textId="77777777" w:rsidR="00D217C7" w:rsidRPr="00942068" w:rsidRDefault="00D217C7" w:rsidP="00711EE3">
            <w:pPr>
              <w:jc w:val="both"/>
              <w:rPr>
                <w:rFonts w:ascii="Gill Sans MT" w:hAnsi="Gill Sans MT" w:cstheme="minorHAnsi"/>
                <w:color w:val="000000" w:themeColor="text1"/>
                <w:sz w:val="22"/>
                <w:szCs w:val="22"/>
              </w:rPr>
            </w:pPr>
            <w:r w:rsidRPr="00942068">
              <w:rPr>
                <w:rFonts w:ascii="Gill Sans MT" w:hAnsi="Gill Sans MT" w:cstheme="minorHAnsi"/>
                <w:color w:val="000000" w:themeColor="text1"/>
                <w:sz w:val="22"/>
                <w:szCs w:val="22"/>
              </w:rPr>
              <w:t>URL</w:t>
            </w:r>
          </w:p>
        </w:tc>
        <w:tc>
          <w:tcPr>
            <w:tcW w:w="6378" w:type="dxa"/>
          </w:tcPr>
          <w:p w14:paraId="6CF1C3F8" w14:textId="4D0C4CDD" w:rsidR="00D217C7" w:rsidRPr="00942068" w:rsidRDefault="00000000" w:rsidP="00711EE3">
            <w:pPr>
              <w:jc w:val="both"/>
              <w:rPr>
                <w:rFonts w:ascii="Gill Sans MT" w:hAnsi="Gill Sans MT" w:cstheme="minorHAnsi"/>
                <w:color w:val="000000" w:themeColor="text1"/>
                <w:sz w:val="22"/>
                <w:szCs w:val="22"/>
              </w:rPr>
            </w:pPr>
            <w:hyperlink r:id="rId10" w:history="1">
              <w:r w:rsidR="001E08F9" w:rsidRPr="00C40FEE">
                <w:rPr>
                  <w:rStyle w:val="Hyperlink"/>
                  <w:rFonts w:ascii="Gill Sans MT" w:hAnsi="Gill Sans MT" w:cstheme="minorHAnsi"/>
                  <w:sz w:val="22"/>
                  <w:szCs w:val="22"/>
                </w:rPr>
                <w:t>http://www.saflii.org/za/cases/ZACC/2002/15.pdf</w:t>
              </w:r>
            </w:hyperlink>
            <w:r w:rsidR="001E08F9">
              <w:rPr>
                <w:rFonts w:ascii="Gill Sans MT" w:hAnsi="Gill Sans MT" w:cstheme="minorHAnsi"/>
                <w:color w:val="000000" w:themeColor="text1"/>
                <w:sz w:val="22"/>
                <w:szCs w:val="22"/>
              </w:rPr>
              <w:t xml:space="preserve"> </w:t>
            </w:r>
          </w:p>
        </w:tc>
      </w:tr>
      <w:tr w:rsidR="00D217C7" w:rsidRPr="00942068" w14:paraId="18FFE6A2" w14:textId="77777777" w:rsidTr="00F45C46">
        <w:tc>
          <w:tcPr>
            <w:tcW w:w="2689" w:type="dxa"/>
          </w:tcPr>
          <w:p w14:paraId="6E7F7E95" w14:textId="77777777" w:rsidR="00D217C7" w:rsidRPr="00942068" w:rsidRDefault="00D217C7" w:rsidP="00711EE3">
            <w:pPr>
              <w:jc w:val="both"/>
              <w:rPr>
                <w:rFonts w:ascii="Gill Sans MT" w:hAnsi="Gill Sans MT" w:cstheme="minorHAnsi"/>
                <w:color w:val="000000" w:themeColor="text1"/>
                <w:sz w:val="22"/>
                <w:szCs w:val="22"/>
              </w:rPr>
            </w:pPr>
            <w:r w:rsidRPr="00942068">
              <w:rPr>
                <w:rFonts w:ascii="Gill Sans MT" w:hAnsi="Gill Sans MT" w:cstheme="minorHAnsi"/>
                <w:color w:val="000000" w:themeColor="text1"/>
                <w:sz w:val="22"/>
                <w:szCs w:val="22"/>
              </w:rPr>
              <w:t>Citations</w:t>
            </w:r>
          </w:p>
        </w:tc>
        <w:tc>
          <w:tcPr>
            <w:tcW w:w="6378" w:type="dxa"/>
          </w:tcPr>
          <w:p w14:paraId="2C2816D0" w14:textId="58A5497E" w:rsidR="00D217C7" w:rsidRPr="00942068" w:rsidRDefault="007E5554" w:rsidP="00711EE3">
            <w:pPr>
              <w:pStyle w:val="Heading2"/>
              <w:shd w:val="clear" w:color="auto" w:fill="FFFFFF"/>
              <w:spacing w:before="0" w:beforeAutospacing="0" w:after="0" w:afterAutospacing="0" w:line="288" w:lineRule="atLeast"/>
              <w:jc w:val="both"/>
              <w:rPr>
                <w:rFonts w:ascii="Gill Sans MT" w:hAnsi="Gill Sans MT" w:cstheme="minorHAnsi"/>
                <w:b w:val="0"/>
                <w:bCs w:val="0"/>
                <w:color w:val="000000" w:themeColor="text1"/>
                <w:sz w:val="22"/>
                <w:szCs w:val="22"/>
              </w:rPr>
            </w:pPr>
            <w:r w:rsidRPr="007E5554">
              <w:rPr>
                <w:rFonts w:ascii="Gill Sans MT" w:hAnsi="Gill Sans MT" w:cstheme="minorHAnsi"/>
                <w:b w:val="0"/>
                <w:bCs w:val="0"/>
                <w:color w:val="000000" w:themeColor="text1"/>
                <w:sz w:val="22"/>
                <w:szCs w:val="22"/>
              </w:rPr>
              <w:t>(2002) 5 SA 721 (CC)</w:t>
            </w:r>
          </w:p>
        </w:tc>
      </w:tr>
      <w:tr w:rsidR="00D217C7" w:rsidRPr="00942068" w14:paraId="054276C1" w14:textId="77777777" w:rsidTr="00F45C46">
        <w:tc>
          <w:tcPr>
            <w:tcW w:w="2689" w:type="dxa"/>
          </w:tcPr>
          <w:p w14:paraId="2C3F89C1" w14:textId="77777777" w:rsidR="00D217C7" w:rsidRPr="00942068" w:rsidRDefault="00D217C7" w:rsidP="00711EE3">
            <w:pPr>
              <w:jc w:val="both"/>
              <w:rPr>
                <w:rFonts w:ascii="Gill Sans MT" w:hAnsi="Gill Sans MT" w:cstheme="minorHAnsi"/>
                <w:color w:val="000000" w:themeColor="text1"/>
                <w:sz w:val="22"/>
                <w:szCs w:val="22"/>
              </w:rPr>
            </w:pPr>
            <w:r w:rsidRPr="00942068">
              <w:rPr>
                <w:rFonts w:ascii="Gill Sans MT" w:hAnsi="Gill Sans MT" w:cstheme="minorHAnsi"/>
                <w:color w:val="000000" w:themeColor="text1"/>
                <w:sz w:val="22"/>
                <w:szCs w:val="22"/>
              </w:rPr>
              <w:t>Country</w:t>
            </w:r>
          </w:p>
        </w:tc>
        <w:tc>
          <w:tcPr>
            <w:tcW w:w="6378" w:type="dxa"/>
          </w:tcPr>
          <w:p w14:paraId="1C946DBC" w14:textId="0863E7D4" w:rsidR="00D217C7" w:rsidRPr="00942068" w:rsidRDefault="00B0049E" w:rsidP="00711EE3">
            <w:pPr>
              <w:jc w:val="both"/>
              <w:rPr>
                <w:rFonts w:ascii="Gill Sans MT" w:hAnsi="Gill Sans MT" w:cstheme="minorHAnsi"/>
                <w:color w:val="000000" w:themeColor="text1"/>
                <w:sz w:val="22"/>
                <w:szCs w:val="22"/>
              </w:rPr>
            </w:pPr>
            <w:r>
              <w:rPr>
                <w:rFonts w:ascii="Gill Sans MT" w:hAnsi="Gill Sans MT" w:cstheme="minorHAnsi"/>
                <w:color w:val="000000" w:themeColor="text1"/>
                <w:sz w:val="22"/>
                <w:szCs w:val="22"/>
              </w:rPr>
              <w:t>South Africa</w:t>
            </w:r>
          </w:p>
        </w:tc>
      </w:tr>
      <w:tr w:rsidR="00D217C7" w:rsidRPr="00942068" w14:paraId="58F9D1FE" w14:textId="77777777" w:rsidTr="00F45C46">
        <w:tc>
          <w:tcPr>
            <w:tcW w:w="2689" w:type="dxa"/>
          </w:tcPr>
          <w:p w14:paraId="61D27917" w14:textId="77777777" w:rsidR="00D217C7" w:rsidRPr="00942068" w:rsidRDefault="00D217C7" w:rsidP="00711EE3">
            <w:pPr>
              <w:jc w:val="both"/>
              <w:rPr>
                <w:rFonts w:ascii="Gill Sans MT" w:hAnsi="Gill Sans MT" w:cstheme="minorHAnsi"/>
                <w:color w:val="000000" w:themeColor="text1"/>
                <w:sz w:val="22"/>
                <w:szCs w:val="22"/>
              </w:rPr>
            </w:pPr>
            <w:r w:rsidRPr="00942068">
              <w:rPr>
                <w:rFonts w:ascii="Gill Sans MT" w:hAnsi="Gill Sans MT" w:cstheme="minorHAnsi"/>
                <w:color w:val="000000" w:themeColor="text1"/>
                <w:sz w:val="22"/>
                <w:szCs w:val="22"/>
              </w:rPr>
              <w:t>Date of judgment</w:t>
            </w:r>
          </w:p>
        </w:tc>
        <w:tc>
          <w:tcPr>
            <w:tcW w:w="6378" w:type="dxa"/>
          </w:tcPr>
          <w:p w14:paraId="627C6349" w14:textId="665CEB17" w:rsidR="00D217C7" w:rsidRPr="00942068" w:rsidRDefault="00563CF2" w:rsidP="00B31AFE">
            <w:pPr>
              <w:jc w:val="both"/>
              <w:rPr>
                <w:rFonts w:ascii="Gill Sans MT" w:hAnsi="Gill Sans MT" w:cstheme="minorHAnsi"/>
                <w:color w:val="000000" w:themeColor="text1"/>
                <w:sz w:val="22"/>
                <w:szCs w:val="22"/>
              </w:rPr>
            </w:pPr>
            <w:r>
              <w:rPr>
                <w:rFonts w:ascii="Gill Sans MT" w:hAnsi="Gill Sans MT" w:cstheme="minorHAnsi"/>
                <w:color w:val="000000" w:themeColor="text1"/>
                <w:sz w:val="22"/>
                <w:szCs w:val="22"/>
              </w:rPr>
              <w:t xml:space="preserve">5 </w:t>
            </w:r>
            <w:r w:rsidR="00B31AFE" w:rsidRPr="00B31AFE">
              <w:rPr>
                <w:rFonts w:ascii="Gill Sans MT" w:hAnsi="Gill Sans MT" w:cstheme="minorHAnsi"/>
                <w:color w:val="000000" w:themeColor="text1"/>
                <w:sz w:val="22"/>
                <w:szCs w:val="22"/>
              </w:rPr>
              <w:t>Jul</w:t>
            </w:r>
            <w:r w:rsidR="00B31AFE">
              <w:rPr>
                <w:rFonts w:ascii="Gill Sans MT" w:hAnsi="Gill Sans MT" w:cstheme="minorHAnsi"/>
                <w:color w:val="000000" w:themeColor="text1"/>
                <w:sz w:val="22"/>
                <w:szCs w:val="22"/>
              </w:rPr>
              <w:t>y</w:t>
            </w:r>
            <w:r w:rsidR="00B31AFE" w:rsidRPr="00B31AFE">
              <w:rPr>
                <w:rFonts w:ascii="Gill Sans MT" w:hAnsi="Gill Sans MT" w:cstheme="minorHAnsi"/>
                <w:color w:val="000000" w:themeColor="text1"/>
                <w:sz w:val="22"/>
                <w:szCs w:val="22"/>
              </w:rPr>
              <w:t xml:space="preserve"> 2002</w:t>
            </w:r>
          </w:p>
        </w:tc>
      </w:tr>
      <w:tr w:rsidR="00D217C7" w:rsidRPr="00942068" w14:paraId="3D1F6F6A" w14:textId="77777777" w:rsidTr="00F45C46">
        <w:tc>
          <w:tcPr>
            <w:tcW w:w="2689" w:type="dxa"/>
          </w:tcPr>
          <w:p w14:paraId="02F9DB63" w14:textId="77777777" w:rsidR="00D217C7" w:rsidRPr="00942068" w:rsidRDefault="00D217C7" w:rsidP="00711EE3">
            <w:pPr>
              <w:jc w:val="both"/>
              <w:rPr>
                <w:rFonts w:ascii="Gill Sans MT" w:hAnsi="Gill Sans MT" w:cstheme="minorHAnsi"/>
                <w:color w:val="000000" w:themeColor="text1"/>
                <w:sz w:val="22"/>
                <w:szCs w:val="22"/>
              </w:rPr>
            </w:pPr>
            <w:r w:rsidRPr="00942068">
              <w:rPr>
                <w:rFonts w:ascii="Gill Sans MT" w:hAnsi="Gill Sans MT" w:cstheme="minorHAnsi"/>
                <w:color w:val="000000" w:themeColor="text1"/>
                <w:sz w:val="22"/>
                <w:szCs w:val="22"/>
              </w:rPr>
              <w:t>Court</w:t>
            </w:r>
          </w:p>
        </w:tc>
        <w:tc>
          <w:tcPr>
            <w:tcW w:w="6378" w:type="dxa"/>
          </w:tcPr>
          <w:p w14:paraId="46621DD6" w14:textId="6801DD78" w:rsidR="00D217C7" w:rsidRPr="00563CF2" w:rsidRDefault="00563CF2" w:rsidP="00563CF2">
            <w:pPr>
              <w:jc w:val="both"/>
              <w:rPr>
                <w:rFonts w:ascii="Gill Sans MT" w:hAnsi="Gill Sans MT" w:cstheme="minorHAnsi"/>
                <w:color w:val="000000" w:themeColor="text1"/>
                <w:sz w:val="22"/>
                <w:szCs w:val="22"/>
              </w:rPr>
            </w:pPr>
            <w:r w:rsidRPr="00563CF2">
              <w:rPr>
                <w:rFonts w:ascii="Gill Sans MT" w:hAnsi="Gill Sans MT" w:cstheme="minorHAnsi"/>
                <w:color w:val="000000" w:themeColor="text1"/>
                <w:sz w:val="22"/>
                <w:szCs w:val="22"/>
              </w:rPr>
              <w:t>Constitutional Court of South Africa</w:t>
            </w:r>
          </w:p>
        </w:tc>
      </w:tr>
      <w:tr w:rsidR="00D217C7" w:rsidRPr="00942068" w14:paraId="088D4908" w14:textId="77777777" w:rsidTr="00F45C46">
        <w:tc>
          <w:tcPr>
            <w:tcW w:w="2689" w:type="dxa"/>
          </w:tcPr>
          <w:p w14:paraId="7A0209B9" w14:textId="77777777" w:rsidR="00D217C7" w:rsidRPr="00942068" w:rsidRDefault="00D217C7" w:rsidP="00711EE3">
            <w:pPr>
              <w:jc w:val="both"/>
              <w:rPr>
                <w:rFonts w:ascii="Gill Sans MT" w:hAnsi="Gill Sans MT" w:cstheme="minorHAnsi"/>
                <w:color w:val="000000" w:themeColor="text1"/>
                <w:sz w:val="22"/>
                <w:szCs w:val="22"/>
              </w:rPr>
            </w:pPr>
            <w:r w:rsidRPr="00942068">
              <w:rPr>
                <w:rFonts w:ascii="Gill Sans MT" w:hAnsi="Gill Sans MT" w:cstheme="minorHAnsi"/>
                <w:color w:val="000000" w:themeColor="text1"/>
                <w:sz w:val="22"/>
                <w:szCs w:val="22"/>
              </w:rPr>
              <w:t>Location</w:t>
            </w:r>
          </w:p>
        </w:tc>
        <w:tc>
          <w:tcPr>
            <w:tcW w:w="6378" w:type="dxa"/>
          </w:tcPr>
          <w:p w14:paraId="3B3C04B4" w14:textId="3C94AC96" w:rsidR="00D217C7" w:rsidRPr="00942068" w:rsidRDefault="00563CF2" w:rsidP="00711EE3">
            <w:pPr>
              <w:jc w:val="both"/>
              <w:rPr>
                <w:rFonts w:ascii="Gill Sans MT" w:hAnsi="Gill Sans MT" w:cstheme="minorHAnsi"/>
                <w:color w:val="000000" w:themeColor="text1"/>
                <w:sz w:val="22"/>
                <w:szCs w:val="22"/>
              </w:rPr>
            </w:pPr>
            <w:r>
              <w:rPr>
                <w:rFonts w:ascii="Gill Sans MT" w:hAnsi="Gill Sans MT" w:cstheme="minorHAnsi"/>
                <w:color w:val="000000" w:themeColor="text1"/>
                <w:sz w:val="22"/>
                <w:szCs w:val="22"/>
              </w:rPr>
              <w:t xml:space="preserve">Braamfontein </w:t>
            </w:r>
          </w:p>
        </w:tc>
      </w:tr>
      <w:tr w:rsidR="00D217C7" w:rsidRPr="00942068" w14:paraId="295E3C9F" w14:textId="77777777" w:rsidTr="00F45C46">
        <w:tc>
          <w:tcPr>
            <w:tcW w:w="2689" w:type="dxa"/>
          </w:tcPr>
          <w:p w14:paraId="2F377101" w14:textId="77777777" w:rsidR="00D217C7" w:rsidRPr="00942068" w:rsidRDefault="00D217C7" w:rsidP="00711EE3">
            <w:pPr>
              <w:jc w:val="both"/>
              <w:rPr>
                <w:rFonts w:ascii="Gill Sans MT" w:hAnsi="Gill Sans MT" w:cstheme="minorHAnsi"/>
                <w:color w:val="000000" w:themeColor="text1"/>
                <w:sz w:val="22"/>
                <w:szCs w:val="22"/>
              </w:rPr>
            </w:pPr>
            <w:r w:rsidRPr="00BB35A1">
              <w:rPr>
                <w:rFonts w:ascii="Gill Sans MT" w:hAnsi="Gill Sans MT" w:cs="Arial"/>
                <w:sz w:val="22"/>
                <w:szCs w:val="22"/>
              </w:rPr>
              <w:t>Case type</w:t>
            </w:r>
            <w:r w:rsidRPr="00BB35A1">
              <w:rPr>
                <w:rFonts w:ascii="Gill Sans MT" w:hAnsi="Gill Sans MT" w:cs="Arial"/>
                <w:sz w:val="22"/>
                <w:szCs w:val="22"/>
                <w:vertAlign w:val="superscript"/>
              </w:rPr>
              <w:footnoteReference w:id="2"/>
            </w:r>
          </w:p>
        </w:tc>
        <w:tc>
          <w:tcPr>
            <w:tcW w:w="6378" w:type="dxa"/>
          </w:tcPr>
          <w:p w14:paraId="7CF6F692" w14:textId="4D570014" w:rsidR="00D217C7" w:rsidRPr="00942068" w:rsidRDefault="002B57EB" w:rsidP="00711EE3">
            <w:pPr>
              <w:jc w:val="both"/>
              <w:rPr>
                <w:rFonts w:ascii="Gill Sans MT" w:hAnsi="Gill Sans MT" w:cstheme="minorHAnsi"/>
                <w:color w:val="000000" w:themeColor="text1"/>
                <w:sz w:val="22"/>
                <w:szCs w:val="22"/>
              </w:rPr>
            </w:pPr>
            <w:r>
              <w:rPr>
                <w:rFonts w:ascii="Gill Sans MT" w:hAnsi="Gill Sans MT" w:cstheme="minorHAnsi"/>
                <w:color w:val="000000" w:themeColor="text1"/>
                <w:sz w:val="22"/>
                <w:szCs w:val="22"/>
              </w:rPr>
              <w:t>Direct Leave to Appeal</w:t>
            </w:r>
          </w:p>
        </w:tc>
      </w:tr>
      <w:tr w:rsidR="00D217C7" w:rsidRPr="00942068" w14:paraId="5B17F0B7" w14:textId="77777777" w:rsidTr="00F45C46">
        <w:tc>
          <w:tcPr>
            <w:tcW w:w="2689" w:type="dxa"/>
          </w:tcPr>
          <w:p w14:paraId="1F4863B9" w14:textId="77777777" w:rsidR="00D217C7" w:rsidRPr="00942068" w:rsidRDefault="00D217C7" w:rsidP="00711EE3">
            <w:pPr>
              <w:jc w:val="both"/>
              <w:rPr>
                <w:rFonts w:ascii="Gill Sans MT" w:hAnsi="Gill Sans MT" w:cstheme="minorHAnsi"/>
                <w:color w:val="000000" w:themeColor="text1"/>
                <w:sz w:val="22"/>
                <w:szCs w:val="22"/>
              </w:rPr>
            </w:pPr>
            <w:r w:rsidRPr="00942068">
              <w:rPr>
                <w:rFonts w:ascii="Gill Sans MT" w:hAnsi="Gill Sans MT" w:cstheme="minorHAnsi"/>
                <w:color w:val="000000" w:themeColor="text1"/>
                <w:sz w:val="22"/>
                <w:szCs w:val="22"/>
              </w:rPr>
              <w:t>Result</w:t>
            </w:r>
          </w:p>
        </w:tc>
        <w:tc>
          <w:tcPr>
            <w:tcW w:w="6378" w:type="dxa"/>
          </w:tcPr>
          <w:p w14:paraId="37268062" w14:textId="2E79E676" w:rsidR="00D217C7" w:rsidRPr="00942068" w:rsidRDefault="0051160D" w:rsidP="00711EE3">
            <w:pPr>
              <w:jc w:val="both"/>
              <w:rPr>
                <w:rFonts w:ascii="Gill Sans MT" w:hAnsi="Gill Sans MT" w:cstheme="minorHAnsi"/>
                <w:color w:val="000000" w:themeColor="text1"/>
                <w:sz w:val="22"/>
                <w:szCs w:val="22"/>
              </w:rPr>
            </w:pPr>
            <w:r>
              <w:rPr>
                <w:rFonts w:ascii="Gill Sans MT" w:hAnsi="Gill Sans MT" w:cstheme="minorHAnsi"/>
                <w:color w:val="000000" w:themeColor="text1"/>
                <w:sz w:val="22"/>
                <w:szCs w:val="22"/>
              </w:rPr>
              <w:t>Allowed</w:t>
            </w:r>
          </w:p>
        </w:tc>
      </w:tr>
      <w:tr w:rsidR="00D217C7" w:rsidRPr="00942068" w14:paraId="38C94FE5" w14:textId="77777777" w:rsidTr="00F45C46">
        <w:tc>
          <w:tcPr>
            <w:tcW w:w="2689" w:type="dxa"/>
          </w:tcPr>
          <w:p w14:paraId="407A7067" w14:textId="77777777" w:rsidR="00D217C7" w:rsidRPr="00942068" w:rsidRDefault="00D217C7" w:rsidP="00711EE3">
            <w:pPr>
              <w:jc w:val="both"/>
              <w:rPr>
                <w:rFonts w:ascii="Gill Sans MT" w:hAnsi="Gill Sans MT" w:cstheme="minorHAnsi"/>
                <w:color w:val="000000" w:themeColor="text1"/>
                <w:sz w:val="22"/>
                <w:szCs w:val="22"/>
              </w:rPr>
            </w:pPr>
            <w:proofErr w:type="spellStart"/>
            <w:r w:rsidRPr="00495C51">
              <w:rPr>
                <w:rFonts w:ascii="Gill Sans MT" w:hAnsi="Gill Sans MT" w:cs="Arial"/>
                <w:sz w:val="22"/>
                <w:szCs w:val="22"/>
              </w:rPr>
              <w:t>Flynote</w:t>
            </w:r>
            <w:proofErr w:type="spellEnd"/>
            <w:r w:rsidRPr="00495C51">
              <w:rPr>
                <w:rFonts w:ascii="Gill Sans MT" w:hAnsi="Gill Sans MT" w:cs="Arial"/>
                <w:sz w:val="22"/>
                <w:szCs w:val="22"/>
                <w:vertAlign w:val="superscript"/>
              </w:rPr>
              <w:footnoteReference w:id="3"/>
            </w:r>
          </w:p>
        </w:tc>
        <w:tc>
          <w:tcPr>
            <w:tcW w:w="6378" w:type="dxa"/>
          </w:tcPr>
          <w:p w14:paraId="3436E3AE" w14:textId="29606271" w:rsidR="001D26E3" w:rsidRPr="00942068" w:rsidRDefault="007B6505" w:rsidP="00711EE3">
            <w:pPr>
              <w:jc w:val="both"/>
              <w:rPr>
                <w:rFonts w:ascii="Gill Sans MT" w:hAnsi="Gill Sans MT" w:cstheme="minorHAnsi"/>
                <w:color w:val="000000" w:themeColor="text1"/>
                <w:sz w:val="22"/>
                <w:szCs w:val="22"/>
              </w:rPr>
            </w:pPr>
            <w:r w:rsidRPr="007B6505">
              <w:rPr>
                <w:rFonts w:ascii="Gill Sans MT" w:hAnsi="Gill Sans MT" w:cstheme="minorHAnsi"/>
                <w:b/>
                <w:bCs/>
                <w:color w:val="000000" w:themeColor="text1"/>
                <w:sz w:val="22"/>
                <w:szCs w:val="22"/>
              </w:rPr>
              <w:t>Human rights and fundamental freedoms</w:t>
            </w:r>
            <w:r>
              <w:rPr>
                <w:rFonts w:ascii="Gill Sans MT" w:hAnsi="Gill Sans MT" w:cstheme="minorHAnsi"/>
                <w:color w:val="000000" w:themeColor="text1"/>
                <w:sz w:val="22"/>
                <w:szCs w:val="22"/>
              </w:rPr>
              <w:t xml:space="preserve"> - </w:t>
            </w:r>
            <w:r w:rsidR="001D26E3">
              <w:rPr>
                <w:rFonts w:ascii="Gill Sans MT" w:hAnsi="Gill Sans MT" w:cstheme="minorHAnsi"/>
                <w:color w:val="000000" w:themeColor="text1"/>
                <w:sz w:val="22"/>
                <w:szCs w:val="22"/>
              </w:rPr>
              <w:t>Bill of Rights</w:t>
            </w:r>
            <w:r w:rsidR="006711A1">
              <w:rPr>
                <w:rFonts w:ascii="Gill Sans MT" w:hAnsi="Gill Sans MT" w:cstheme="minorHAnsi"/>
                <w:color w:val="000000" w:themeColor="text1"/>
                <w:sz w:val="22"/>
                <w:szCs w:val="22"/>
              </w:rPr>
              <w:t xml:space="preserve">- </w:t>
            </w:r>
            <w:r>
              <w:rPr>
                <w:rFonts w:ascii="Gill Sans MT" w:hAnsi="Gill Sans MT" w:cstheme="minorHAnsi"/>
                <w:color w:val="000000" w:themeColor="text1"/>
                <w:sz w:val="22"/>
                <w:szCs w:val="22"/>
              </w:rPr>
              <w:t>a</w:t>
            </w:r>
            <w:r w:rsidR="00591D33" w:rsidRPr="00591D33">
              <w:rPr>
                <w:rFonts w:ascii="Gill Sans MT" w:hAnsi="Gill Sans MT" w:cstheme="minorHAnsi"/>
                <w:color w:val="000000" w:themeColor="text1"/>
                <w:sz w:val="22"/>
                <w:szCs w:val="22"/>
              </w:rPr>
              <w:t xml:space="preserve">ccess to </w:t>
            </w:r>
            <w:r w:rsidR="00151AF9" w:rsidRPr="00591D33">
              <w:rPr>
                <w:rFonts w:ascii="Gill Sans MT" w:hAnsi="Gill Sans MT" w:cstheme="minorHAnsi"/>
                <w:color w:val="000000" w:themeColor="text1"/>
                <w:sz w:val="22"/>
                <w:szCs w:val="22"/>
              </w:rPr>
              <w:t>healthcare</w:t>
            </w:r>
            <w:r w:rsidR="00151AF9">
              <w:rPr>
                <w:rFonts w:ascii="Gill Sans MT" w:hAnsi="Gill Sans MT" w:cstheme="minorHAnsi"/>
                <w:color w:val="000000" w:themeColor="text1"/>
                <w:sz w:val="22"/>
                <w:szCs w:val="22"/>
              </w:rPr>
              <w:t xml:space="preserve"> -</w:t>
            </w:r>
            <w:r w:rsidR="00591D33" w:rsidRPr="00591D33">
              <w:rPr>
                <w:rFonts w:ascii="Gill Sans MT" w:hAnsi="Gill Sans MT" w:cstheme="minorHAnsi"/>
                <w:color w:val="000000" w:themeColor="text1"/>
                <w:sz w:val="22"/>
                <w:szCs w:val="22"/>
              </w:rPr>
              <w:t xml:space="preserve"> the availability and affordability of medical services, medication, and treatment</w:t>
            </w:r>
            <w:r w:rsidR="000214B8">
              <w:rPr>
                <w:rFonts w:ascii="Gill Sans MT" w:hAnsi="Gill Sans MT" w:cstheme="minorHAnsi"/>
                <w:color w:val="000000" w:themeColor="text1"/>
                <w:sz w:val="22"/>
                <w:szCs w:val="22"/>
              </w:rPr>
              <w:t xml:space="preserve"> for HIV positive mothers and their unborn </w:t>
            </w:r>
            <w:r w:rsidR="00220664">
              <w:rPr>
                <w:rFonts w:ascii="Gill Sans MT" w:hAnsi="Gill Sans MT" w:cstheme="minorHAnsi"/>
                <w:color w:val="000000" w:themeColor="text1"/>
                <w:sz w:val="22"/>
                <w:szCs w:val="22"/>
              </w:rPr>
              <w:t>children.</w:t>
            </w:r>
          </w:p>
        </w:tc>
      </w:tr>
      <w:tr w:rsidR="00D217C7" w:rsidRPr="00942068" w14:paraId="5ABB73F7" w14:textId="77777777" w:rsidTr="00F45C46">
        <w:tc>
          <w:tcPr>
            <w:tcW w:w="2689" w:type="dxa"/>
          </w:tcPr>
          <w:p w14:paraId="1E0ADB30" w14:textId="77777777" w:rsidR="00D217C7" w:rsidRPr="00942068" w:rsidRDefault="00D217C7" w:rsidP="00711EE3">
            <w:pPr>
              <w:jc w:val="both"/>
              <w:rPr>
                <w:rFonts w:ascii="Gill Sans MT" w:hAnsi="Gill Sans MT" w:cstheme="minorHAnsi"/>
                <w:color w:val="000000" w:themeColor="text1"/>
                <w:sz w:val="22"/>
                <w:szCs w:val="22"/>
              </w:rPr>
            </w:pPr>
            <w:r w:rsidRPr="001D2B71">
              <w:rPr>
                <w:rFonts w:ascii="Gill Sans MT" w:hAnsi="Gill Sans MT" w:cs="Arial"/>
                <w:sz w:val="22"/>
                <w:szCs w:val="22"/>
              </w:rPr>
              <w:t>Legislation and International Instruments</w:t>
            </w:r>
            <w:r w:rsidRPr="001D2B71">
              <w:rPr>
                <w:rFonts w:ascii="Gill Sans MT" w:hAnsi="Gill Sans MT" w:cs="Arial"/>
                <w:sz w:val="22"/>
                <w:szCs w:val="22"/>
                <w:vertAlign w:val="superscript"/>
              </w:rPr>
              <w:footnoteReference w:id="4"/>
            </w:r>
          </w:p>
        </w:tc>
        <w:tc>
          <w:tcPr>
            <w:tcW w:w="6378" w:type="dxa"/>
          </w:tcPr>
          <w:p w14:paraId="21876F7F" w14:textId="77777777" w:rsidR="00D217C7" w:rsidRPr="006B7D14" w:rsidRDefault="00D217C7" w:rsidP="00711EE3">
            <w:pPr>
              <w:jc w:val="both"/>
              <w:rPr>
                <w:rFonts w:ascii="Gill Sans MT" w:hAnsi="Gill Sans MT" w:cstheme="minorHAnsi"/>
                <w:b/>
                <w:bCs/>
                <w:color w:val="000000" w:themeColor="text1"/>
                <w:sz w:val="22"/>
                <w:szCs w:val="22"/>
              </w:rPr>
            </w:pPr>
            <w:r w:rsidRPr="006B7D14">
              <w:rPr>
                <w:rFonts w:ascii="Gill Sans MT" w:hAnsi="Gill Sans MT" w:cstheme="minorHAnsi"/>
                <w:b/>
                <w:bCs/>
                <w:color w:val="000000" w:themeColor="text1"/>
                <w:sz w:val="22"/>
                <w:szCs w:val="22"/>
              </w:rPr>
              <w:t>Legislation</w:t>
            </w:r>
          </w:p>
          <w:p w14:paraId="63CD114F" w14:textId="3ED61625" w:rsidR="00D217C7" w:rsidRDefault="0046312C" w:rsidP="009E7AC9">
            <w:pPr>
              <w:pStyle w:val="ListParagraph"/>
              <w:numPr>
                <w:ilvl w:val="0"/>
                <w:numId w:val="1"/>
              </w:numPr>
              <w:jc w:val="both"/>
              <w:rPr>
                <w:rFonts w:ascii="Gill Sans MT" w:hAnsi="Gill Sans MT" w:cstheme="minorHAnsi"/>
                <w:color w:val="000000" w:themeColor="text1"/>
                <w:sz w:val="22"/>
                <w:szCs w:val="22"/>
              </w:rPr>
            </w:pPr>
            <w:r>
              <w:rPr>
                <w:rFonts w:ascii="Gill Sans MT" w:hAnsi="Gill Sans MT" w:cstheme="minorHAnsi"/>
                <w:color w:val="000000" w:themeColor="text1"/>
                <w:sz w:val="22"/>
                <w:szCs w:val="22"/>
              </w:rPr>
              <w:t xml:space="preserve">Constitution </w:t>
            </w:r>
            <w:r w:rsidR="00D8522B">
              <w:rPr>
                <w:rFonts w:ascii="Gill Sans MT" w:hAnsi="Gill Sans MT" w:cstheme="minorHAnsi"/>
                <w:color w:val="000000" w:themeColor="text1"/>
                <w:sz w:val="22"/>
                <w:szCs w:val="22"/>
              </w:rPr>
              <w:t xml:space="preserve">of South Africa </w:t>
            </w:r>
            <w:r w:rsidR="009E7AC9">
              <w:rPr>
                <w:rFonts w:ascii="Gill Sans MT" w:hAnsi="Gill Sans MT" w:cstheme="minorHAnsi"/>
                <w:color w:val="000000" w:themeColor="text1"/>
                <w:sz w:val="22"/>
                <w:szCs w:val="22"/>
              </w:rPr>
              <w:t>(</w:t>
            </w:r>
            <w:r w:rsidR="009E7AC9" w:rsidRPr="009E7AC9">
              <w:rPr>
                <w:rFonts w:ascii="Gill Sans MT" w:hAnsi="Gill Sans MT" w:cstheme="minorHAnsi"/>
                <w:color w:val="000000" w:themeColor="text1"/>
                <w:sz w:val="22"/>
                <w:szCs w:val="22"/>
              </w:rPr>
              <w:t>the right to equality (</w:t>
            </w:r>
            <w:r w:rsidR="00151AF9">
              <w:rPr>
                <w:rFonts w:ascii="Gill Sans MT" w:hAnsi="Gill Sans MT" w:cstheme="minorHAnsi"/>
                <w:color w:val="000000" w:themeColor="text1"/>
                <w:sz w:val="22"/>
                <w:szCs w:val="22"/>
              </w:rPr>
              <w:t>s</w:t>
            </w:r>
            <w:r w:rsidR="009E7AC9" w:rsidRPr="009E7AC9">
              <w:rPr>
                <w:rFonts w:ascii="Gill Sans MT" w:hAnsi="Gill Sans MT" w:cstheme="minorHAnsi"/>
                <w:color w:val="000000" w:themeColor="text1"/>
                <w:sz w:val="22"/>
                <w:szCs w:val="22"/>
              </w:rPr>
              <w:t>ection 9), the right to dignity (</w:t>
            </w:r>
            <w:r w:rsidR="00151AF9">
              <w:rPr>
                <w:rFonts w:ascii="Gill Sans MT" w:hAnsi="Gill Sans MT" w:cstheme="minorHAnsi"/>
                <w:color w:val="000000" w:themeColor="text1"/>
                <w:sz w:val="22"/>
                <w:szCs w:val="22"/>
              </w:rPr>
              <w:t>s</w:t>
            </w:r>
            <w:r w:rsidR="009E7AC9" w:rsidRPr="009E7AC9">
              <w:rPr>
                <w:rFonts w:ascii="Gill Sans MT" w:hAnsi="Gill Sans MT" w:cstheme="minorHAnsi"/>
                <w:color w:val="000000" w:themeColor="text1"/>
                <w:sz w:val="22"/>
                <w:szCs w:val="22"/>
              </w:rPr>
              <w:t>ection 10), the right to life (</w:t>
            </w:r>
            <w:r w:rsidR="00151AF9">
              <w:rPr>
                <w:rFonts w:ascii="Gill Sans MT" w:hAnsi="Gill Sans MT" w:cstheme="minorHAnsi"/>
                <w:color w:val="000000" w:themeColor="text1"/>
                <w:sz w:val="22"/>
                <w:szCs w:val="22"/>
              </w:rPr>
              <w:t>s</w:t>
            </w:r>
            <w:r w:rsidR="009E7AC9" w:rsidRPr="009E7AC9">
              <w:rPr>
                <w:rFonts w:ascii="Gill Sans MT" w:hAnsi="Gill Sans MT" w:cstheme="minorHAnsi"/>
                <w:color w:val="000000" w:themeColor="text1"/>
                <w:sz w:val="22"/>
                <w:szCs w:val="22"/>
              </w:rPr>
              <w:t>ection 11), the right to access healthcare services (</w:t>
            </w:r>
            <w:r w:rsidR="00151AF9">
              <w:rPr>
                <w:rFonts w:ascii="Gill Sans MT" w:hAnsi="Gill Sans MT" w:cstheme="minorHAnsi"/>
                <w:color w:val="000000" w:themeColor="text1"/>
                <w:sz w:val="22"/>
                <w:szCs w:val="22"/>
              </w:rPr>
              <w:t>s</w:t>
            </w:r>
            <w:r w:rsidR="009E7AC9" w:rsidRPr="009E7AC9">
              <w:rPr>
                <w:rFonts w:ascii="Gill Sans MT" w:hAnsi="Gill Sans MT" w:cstheme="minorHAnsi"/>
                <w:color w:val="000000" w:themeColor="text1"/>
                <w:sz w:val="22"/>
                <w:szCs w:val="22"/>
              </w:rPr>
              <w:t>ection 27), and the best interests of the child (</w:t>
            </w:r>
            <w:r w:rsidR="00151AF9">
              <w:rPr>
                <w:rFonts w:ascii="Gill Sans MT" w:hAnsi="Gill Sans MT" w:cstheme="minorHAnsi"/>
                <w:color w:val="000000" w:themeColor="text1"/>
                <w:sz w:val="22"/>
                <w:szCs w:val="22"/>
              </w:rPr>
              <w:t>s</w:t>
            </w:r>
            <w:r w:rsidR="009E7AC9" w:rsidRPr="009E7AC9">
              <w:rPr>
                <w:rFonts w:ascii="Gill Sans MT" w:hAnsi="Gill Sans MT" w:cstheme="minorHAnsi"/>
                <w:color w:val="000000" w:themeColor="text1"/>
                <w:sz w:val="22"/>
                <w:szCs w:val="22"/>
              </w:rPr>
              <w:t>ection 28)</w:t>
            </w:r>
            <w:r w:rsidR="007B043C">
              <w:rPr>
                <w:rFonts w:ascii="Gill Sans MT" w:hAnsi="Gill Sans MT" w:cstheme="minorHAnsi"/>
                <w:color w:val="000000" w:themeColor="text1"/>
                <w:sz w:val="22"/>
                <w:szCs w:val="22"/>
              </w:rPr>
              <w:t>)</w:t>
            </w:r>
          </w:p>
          <w:p w14:paraId="4D2543AA" w14:textId="71AD4477" w:rsidR="007B043C" w:rsidRDefault="007B043C" w:rsidP="0051308E">
            <w:pPr>
              <w:pStyle w:val="ListParagraph"/>
              <w:numPr>
                <w:ilvl w:val="0"/>
                <w:numId w:val="1"/>
              </w:numPr>
              <w:jc w:val="both"/>
              <w:rPr>
                <w:rFonts w:ascii="Gill Sans MT" w:hAnsi="Gill Sans MT" w:cstheme="minorHAnsi"/>
                <w:color w:val="000000" w:themeColor="text1"/>
                <w:sz w:val="22"/>
                <w:szCs w:val="22"/>
              </w:rPr>
            </w:pPr>
            <w:r w:rsidRPr="007B043C">
              <w:rPr>
                <w:rFonts w:ascii="Gill Sans MT" w:hAnsi="Gill Sans MT" w:cstheme="minorHAnsi"/>
                <w:color w:val="000000" w:themeColor="text1"/>
                <w:sz w:val="22"/>
                <w:szCs w:val="22"/>
              </w:rPr>
              <w:t>Medicines and Related Substances Control Ac</w:t>
            </w:r>
            <w:r w:rsidR="005B702D">
              <w:rPr>
                <w:rFonts w:ascii="Gill Sans MT" w:hAnsi="Gill Sans MT" w:cstheme="minorHAnsi"/>
                <w:color w:val="000000" w:themeColor="text1"/>
                <w:sz w:val="22"/>
                <w:szCs w:val="22"/>
              </w:rPr>
              <w:t>t</w:t>
            </w:r>
            <w:r w:rsidR="0051308E" w:rsidRPr="0051308E">
              <w:rPr>
                <w:rFonts w:ascii="Helvetica" w:hAnsi="Helvetica"/>
                <w:color w:val="252525"/>
                <w:shd w:val="clear" w:color="auto" w:fill="F8F8F8"/>
              </w:rPr>
              <w:t xml:space="preserve"> </w:t>
            </w:r>
            <w:r w:rsidR="0051308E" w:rsidRPr="0051308E">
              <w:rPr>
                <w:rFonts w:ascii="Gill Sans MT" w:hAnsi="Gill Sans MT" w:cstheme="minorHAnsi"/>
                <w:color w:val="000000" w:themeColor="text1"/>
                <w:sz w:val="22"/>
                <w:szCs w:val="22"/>
              </w:rPr>
              <w:t>101 of 1965</w:t>
            </w:r>
            <w:r w:rsidR="0051308E">
              <w:rPr>
                <w:rFonts w:ascii="Gill Sans MT" w:hAnsi="Gill Sans MT" w:cstheme="minorHAnsi"/>
                <w:color w:val="000000" w:themeColor="text1"/>
                <w:sz w:val="22"/>
                <w:szCs w:val="22"/>
              </w:rPr>
              <w:t xml:space="preserve"> as </w:t>
            </w:r>
            <w:proofErr w:type="gramStart"/>
            <w:r w:rsidR="0051308E">
              <w:rPr>
                <w:rFonts w:ascii="Gill Sans MT" w:hAnsi="Gill Sans MT" w:cstheme="minorHAnsi"/>
                <w:color w:val="000000" w:themeColor="text1"/>
                <w:sz w:val="22"/>
                <w:szCs w:val="22"/>
              </w:rPr>
              <w:t>amended</w:t>
            </w:r>
            <w:proofErr w:type="gramEnd"/>
          </w:p>
          <w:p w14:paraId="5EBCE868" w14:textId="1F288B02" w:rsidR="005B702D" w:rsidRPr="00DB3240" w:rsidRDefault="005B702D" w:rsidP="00DB0BE1">
            <w:pPr>
              <w:pStyle w:val="ListParagraph"/>
              <w:numPr>
                <w:ilvl w:val="0"/>
                <w:numId w:val="1"/>
              </w:numPr>
              <w:jc w:val="both"/>
              <w:rPr>
                <w:rFonts w:ascii="Gill Sans MT" w:hAnsi="Gill Sans MT" w:cstheme="minorHAnsi"/>
                <w:color w:val="000000" w:themeColor="text1"/>
                <w:sz w:val="22"/>
                <w:szCs w:val="22"/>
              </w:rPr>
            </w:pPr>
            <w:r w:rsidRPr="005B702D">
              <w:rPr>
                <w:rFonts w:ascii="Gill Sans MT" w:hAnsi="Gill Sans MT" w:cstheme="minorHAnsi"/>
                <w:color w:val="000000" w:themeColor="text1"/>
                <w:sz w:val="22"/>
                <w:szCs w:val="22"/>
              </w:rPr>
              <w:t>Promotion of Equality and Prevention of Unfair Discrimination Act</w:t>
            </w:r>
            <w:r w:rsidR="00DB0BE1">
              <w:rPr>
                <w:rFonts w:ascii="Gill Sans MT" w:hAnsi="Gill Sans MT" w:cstheme="minorHAnsi"/>
                <w:color w:val="000000" w:themeColor="text1"/>
                <w:sz w:val="22"/>
                <w:szCs w:val="22"/>
              </w:rPr>
              <w:t xml:space="preserve"> </w:t>
            </w:r>
            <w:r w:rsidR="00DB0BE1" w:rsidRPr="00DB0BE1">
              <w:rPr>
                <w:rFonts w:ascii="Gill Sans MT" w:hAnsi="Gill Sans MT" w:cstheme="minorHAnsi"/>
                <w:color w:val="000000" w:themeColor="text1"/>
                <w:sz w:val="22"/>
                <w:szCs w:val="22"/>
              </w:rPr>
              <w:t>No. 4 of 2000</w:t>
            </w:r>
          </w:p>
          <w:p w14:paraId="20CEE671" w14:textId="5D16372D" w:rsidR="005B702D" w:rsidRDefault="00D217C7" w:rsidP="00711EE3">
            <w:pPr>
              <w:jc w:val="both"/>
              <w:rPr>
                <w:rFonts w:ascii="Gill Sans MT" w:hAnsi="Gill Sans MT" w:cstheme="minorHAnsi"/>
                <w:b/>
                <w:bCs/>
                <w:color w:val="000000" w:themeColor="text1"/>
                <w:sz w:val="22"/>
                <w:szCs w:val="22"/>
              </w:rPr>
            </w:pPr>
            <w:r w:rsidRPr="006B7D14">
              <w:rPr>
                <w:rFonts w:ascii="Gill Sans MT" w:hAnsi="Gill Sans MT" w:cstheme="minorHAnsi"/>
                <w:b/>
                <w:bCs/>
                <w:color w:val="000000" w:themeColor="text1"/>
                <w:sz w:val="22"/>
                <w:szCs w:val="22"/>
              </w:rPr>
              <w:t>International instruments</w:t>
            </w:r>
          </w:p>
          <w:p w14:paraId="532C13E1" w14:textId="5D6E8786" w:rsidR="00D217C7" w:rsidRDefault="003E22E2" w:rsidP="003E22E2">
            <w:pPr>
              <w:pStyle w:val="ListParagraph"/>
              <w:numPr>
                <w:ilvl w:val="0"/>
                <w:numId w:val="1"/>
              </w:numPr>
              <w:jc w:val="both"/>
              <w:rPr>
                <w:rFonts w:ascii="Gill Sans MT" w:hAnsi="Gill Sans MT" w:cstheme="minorHAnsi"/>
                <w:color w:val="000000" w:themeColor="text1"/>
                <w:sz w:val="22"/>
                <w:szCs w:val="22"/>
              </w:rPr>
            </w:pPr>
            <w:r w:rsidRPr="003E22E2">
              <w:rPr>
                <w:rFonts w:ascii="Gill Sans MT" w:hAnsi="Gill Sans MT" w:cstheme="minorHAnsi"/>
                <w:color w:val="000000" w:themeColor="text1"/>
                <w:sz w:val="22"/>
                <w:szCs w:val="22"/>
              </w:rPr>
              <w:t>Universal Declaration of Human Rights</w:t>
            </w:r>
            <w:r w:rsidR="003D5BB0">
              <w:rPr>
                <w:rFonts w:ascii="Gill Sans MT" w:hAnsi="Gill Sans MT" w:cstheme="minorHAnsi"/>
                <w:color w:val="000000" w:themeColor="text1"/>
                <w:sz w:val="22"/>
                <w:szCs w:val="22"/>
              </w:rPr>
              <w:t>-Art</w:t>
            </w:r>
            <w:r w:rsidR="00A049CC">
              <w:rPr>
                <w:rFonts w:ascii="Gill Sans MT" w:hAnsi="Gill Sans MT" w:cstheme="minorHAnsi"/>
                <w:color w:val="000000" w:themeColor="text1"/>
                <w:sz w:val="22"/>
                <w:szCs w:val="22"/>
              </w:rPr>
              <w:t>icle 25</w:t>
            </w:r>
          </w:p>
          <w:p w14:paraId="15E2B5C8" w14:textId="07F19D00" w:rsidR="003E22E2" w:rsidRDefault="003E22E2" w:rsidP="00FC3EFB">
            <w:pPr>
              <w:pStyle w:val="ListParagraph"/>
              <w:numPr>
                <w:ilvl w:val="0"/>
                <w:numId w:val="1"/>
              </w:numPr>
              <w:jc w:val="both"/>
              <w:rPr>
                <w:rFonts w:ascii="Gill Sans MT" w:hAnsi="Gill Sans MT" w:cstheme="minorHAnsi"/>
                <w:color w:val="000000" w:themeColor="text1"/>
                <w:sz w:val="22"/>
                <w:szCs w:val="22"/>
              </w:rPr>
            </w:pPr>
            <w:r w:rsidRPr="003E22E2">
              <w:rPr>
                <w:rFonts w:ascii="Gill Sans MT" w:hAnsi="Gill Sans MT" w:cstheme="minorHAnsi"/>
                <w:color w:val="000000" w:themeColor="text1"/>
                <w:sz w:val="22"/>
                <w:szCs w:val="22"/>
              </w:rPr>
              <w:t>International Covenant on Economic, Social and Cultural Rights</w:t>
            </w:r>
            <w:r w:rsidR="00FC3EFB" w:rsidRPr="00FC3EFB">
              <w:t xml:space="preserve"> </w:t>
            </w:r>
            <w:r w:rsidR="00FC3EFB">
              <w:t>-</w:t>
            </w:r>
            <w:r w:rsidR="00FC3EFB" w:rsidRPr="00FC3EFB">
              <w:rPr>
                <w:rFonts w:ascii="Gill Sans MT" w:hAnsi="Gill Sans MT" w:cstheme="minorHAnsi"/>
                <w:color w:val="000000" w:themeColor="text1"/>
                <w:sz w:val="22"/>
                <w:szCs w:val="22"/>
              </w:rPr>
              <w:t>Article 2(1)</w:t>
            </w:r>
          </w:p>
          <w:p w14:paraId="70CA7674" w14:textId="77777777" w:rsidR="00BD7E88" w:rsidRDefault="00AE31B1" w:rsidP="00AE31B1">
            <w:pPr>
              <w:pStyle w:val="ListParagraph"/>
              <w:numPr>
                <w:ilvl w:val="0"/>
                <w:numId w:val="1"/>
              </w:numPr>
              <w:jc w:val="both"/>
              <w:rPr>
                <w:rFonts w:ascii="Gill Sans MT" w:hAnsi="Gill Sans MT" w:cstheme="minorHAnsi"/>
                <w:color w:val="000000" w:themeColor="text1"/>
                <w:sz w:val="22"/>
                <w:szCs w:val="22"/>
              </w:rPr>
            </w:pPr>
            <w:r>
              <w:rPr>
                <w:rFonts w:ascii="Gill Sans MT" w:hAnsi="Gill Sans MT" w:cstheme="minorHAnsi"/>
                <w:color w:val="000000" w:themeColor="text1"/>
                <w:sz w:val="22"/>
                <w:szCs w:val="22"/>
              </w:rPr>
              <w:t>T</w:t>
            </w:r>
            <w:r w:rsidRPr="00AE31B1">
              <w:rPr>
                <w:rFonts w:ascii="Gill Sans MT" w:hAnsi="Gill Sans MT" w:cstheme="minorHAnsi"/>
                <w:color w:val="000000" w:themeColor="text1"/>
                <w:sz w:val="22"/>
                <w:szCs w:val="22"/>
              </w:rPr>
              <w:t>he Convention on the Rights of the Child,</w:t>
            </w:r>
          </w:p>
          <w:p w14:paraId="0FA8D336" w14:textId="0B01487B" w:rsidR="00AE31B1" w:rsidRPr="004A2EDF" w:rsidRDefault="00AE31B1" w:rsidP="004A2EDF">
            <w:pPr>
              <w:pStyle w:val="ListParagraph"/>
              <w:numPr>
                <w:ilvl w:val="0"/>
                <w:numId w:val="1"/>
              </w:numPr>
              <w:jc w:val="both"/>
              <w:rPr>
                <w:rFonts w:ascii="Gill Sans MT" w:hAnsi="Gill Sans MT" w:cstheme="minorHAnsi"/>
                <w:color w:val="000000" w:themeColor="text1"/>
                <w:sz w:val="22"/>
                <w:szCs w:val="22"/>
              </w:rPr>
            </w:pPr>
            <w:r w:rsidRPr="00AE31B1">
              <w:rPr>
                <w:rFonts w:ascii="Gill Sans MT" w:hAnsi="Gill Sans MT" w:cstheme="minorHAnsi"/>
                <w:color w:val="000000" w:themeColor="text1"/>
                <w:sz w:val="22"/>
                <w:szCs w:val="22"/>
              </w:rPr>
              <w:t xml:space="preserve"> </w:t>
            </w:r>
            <w:r w:rsidR="00BD7E88">
              <w:rPr>
                <w:rFonts w:ascii="Gill Sans MT" w:hAnsi="Gill Sans MT" w:cstheme="minorHAnsi"/>
                <w:color w:val="000000" w:themeColor="text1"/>
                <w:sz w:val="22"/>
                <w:szCs w:val="22"/>
              </w:rPr>
              <w:t>T</w:t>
            </w:r>
            <w:r w:rsidRPr="00AE31B1">
              <w:rPr>
                <w:rFonts w:ascii="Gill Sans MT" w:hAnsi="Gill Sans MT" w:cstheme="minorHAnsi"/>
                <w:color w:val="000000" w:themeColor="text1"/>
                <w:sz w:val="22"/>
                <w:szCs w:val="22"/>
              </w:rPr>
              <w:t>he African Charter on Human and Peoples' Rights</w:t>
            </w:r>
            <w:r w:rsidR="00F6035F">
              <w:rPr>
                <w:rFonts w:ascii="Gill Sans MT" w:hAnsi="Gill Sans MT" w:cstheme="minorHAnsi"/>
                <w:color w:val="000000" w:themeColor="text1"/>
                <w:sz w:val="22"/>
                <w:szCs w:val="22"/>
              </w:rPr>
              <w:t>- Article 16(2)</w:t>
            </w:r>
          </w:p>
        </w:tc>
      </w:tr>
      <w:tr w:rsidR="00D217C7" w:rsidRPr="00942068" w14:paraId="09350B24" w14:textId="77777777" w:rsidTr="00F45C46">
        <w:tc>
          <w:tcPr>
            <w:tcW w:w="2689" w:type="dxa"/>
          </w:tcPr>
          <w:p w14:paraId="645CB128" w14:textId="77777777" w:rsidR="00D217C7" w:rsidRPr="00942068" w:rsidRDefault="00D217C7" w:rsidP="00711EE3">
            <w:pPr>
              <w:jc w:val="both"/>
              <w:rPr>
                <w:rFonts w:ascii="Gill Sans MT" w:hAnsi="Gill Sans MT" w:cstheme="minorHAnsi"/>
                <w:color w:val="000000" w:themeColor="text1"/>
                <w:sz w:val="22"/>
                <w:szCs w:val="22"/>
              </w:rPr>
            </w:pPr>
            <w:r w:rsidRPr="001D2B71">
              <w:rPr>
                <w:rFonts w:ascii="Gill Sans MT" w:hAnsi="Gill Sans MT" w:cs="Arial"/>
                <w:sz w:val="22"/>
                <w:szCs w:val="22"/>
              </w:rPr>
              <w:t>Cases cited as authority</w:t>
            </w:r>
            <w:r w:rsidRPr="001D2B71">
              <w:rPr>
                <w:rStyle w:val="FootnoteReference"/>
                <w:rFonts w:ascii="Gill Sans MT" w:hAnsi="Gill Sans MT" w:cs="Arial"/>
                <w:sz w:val="22"/>
                <w:szCs w:val="22"/>
              </w:rPr>
              <w:footnoteReference w:id="5"/>
            </w:r>
          </w:p>
        </w:tc>
        <w:tc>
          <w:tcPr>
            <w:tcW w:w="6378" w:type="dxa"/>
          </w:tcPr>
          <w:p w14:paraId="727EF6F6" w14:textId="77777777" w:rsidR="00D217C7" w:rsidRDefault="00D825FB" w:rsidP="00D825FB">
            <w:pPr>
              <w:pStyle w:val="ListParagraph"/>
              <w:numPr>
                <w:ilvl w:val="0"/>
                <w:numId w:val="1"/>
              </w:numPr>
              <w:jc w:val="both"/>
              <w:rPr>
                <w:rFonts w:ascii="Gill Sans MT" w:hAnsi="Gill Sans MT" w:cstheme="minorHAnsi"/>
                <w:i/>
                <w:iCs/>
                <w:color w:val="000000" w:themeColor="text1"/>
                <w:sz w:val="22"/>
                <w:szCs w:val="22"/>
              </w:rPr>
            </w:pPr>
            <w:r w:rsidRPr="00BB3CB7">
              <w:rPr>
                <w:rFonts w:ascii="Gill Sans MT" w:hAnsi="Gill Sans MT" w:cstheme="minorHAnsi"/>
                <w:i/>
                <w:iCs/>
                <w:color w:val="000000" w:themeColor="text1"/>
                <w:sz w:val="22"/>
                <w:szCs w:val="22"/>
              </w:rPr>
              <w:t xml:space="preserve">Ex </w:t>
            </w:r>
            <w:proofErr w:type="spellStart"/>
            <w:r w:rsidRPr="00BB3CB7">
              <w:rPr>
                <w:rFonts w:ascii="Gill Sans MT" w:hAnsi="Gill Sans MT" w:cstheme="minorHAnsi"/>
                <w:i/>
                <w:iCs/>
                <w:color w:val="000000" w:themeColor="text1"/>
                <w:sz w:val="22"/>
                <w:szCs w:val="22"/>
              </w:rPr>
              <w:t>Parte</w:t>
            </w:r>
            <w:proofErr w:type="spellEnd"/>
            <w:r w:rsidRPr="00BB3CB7">
              <w:rPr>
                <w:rFonts w:ascii="Gill Sans MT" w:hAnsi="Gill Sans MT" w:cstheme="minorHAnsi"/>
                <w:i/>
                <w:iCs/>
                <w:color w:val="000000" w:themeColor="text1"/>
                <w:sz w:val="22"/>
                <w:szCs w:val="22"/>
              </w:rPr>
              <w:t xml:space="preserve"> Chairperson of the Constitutional Assembly: In re Certification of the Constitution of the Republic of South Africa, 1996 1996 (4) SA 744 (CC); 1996 (10) BCLR 1253 (CC</w:t>
            </w:r>
            <w:r w:rsidR="00781BAB" w:rsidRPr="00BB3CB7">
              <w:rPr>
                <w:rFonts w:ascii="Gill Sans MT" w:hAnsi="Gill Sans MT" w:cstheme="minorHAnsi"/>
                <w:i/>
                <w:iCs/>
                <w:color w:val="000000" w:themeColor="text1"/>
                <w:sz w:val="22"/>
                <w:szCs w:val="22"/>
              </w:rPr>
              <w:t>)</w:t>
            </w:r>
          </w:p>
          <w:p w14:paraId="41FBF6C8" w14:textId="7EB88C88" w:rsidR="0078766F" w:rsidRPr="00BB3CB7" w:rsidRDefault="0078766F" w:rsidP="0078766F">
            <w:pPr>
              <w:pStyle w:val="ListParagraph"/>
              <w:numPr>
                <w:ilvl w:val="0"/>
                <w:numId w:val="1"/>
              </w:numPr>
              <w:jc w:val="both"/>
              <w:rPr>
                <w:rFonts w:ascii="Gill Sans MT" w:hAnsi="Gill Sans MT" w:cstheme="minorHAnsi"/>
                <w:i/>
                <w:iCs/>
                <w:color w:val="000000" w:themeColor="text1"/>
                <w:sz w:val="22"/>
                <w:szCs w:val="22"/>
              </w:rPr>
            </w:pPr>
            <w:r w:rsidRPr="0078766F">
              <w:rPr>
                <w:rFonts w:ascii="Gill Sans MT" w:hAnsi="Gill Sans MT" w:cstheme="minorHAnsi"/>
                <w:i/>
                <w:iCs/>
                <w:color w:val="000000" w:themeColor="text1"/>
                <w:sz w:val="22"/>
                <w:szCs w:val="22"/>
              </w:rPr>
              <w:t>Hoffmann v South African Airways 2001 (1) SA 1 (CC); 2000 (11) BCLR 1211 (CC).</w:t>
            </w:r>
          </w:p>
          <w:p w14:paraId="078D4741" w14:textId="77777777" w:rsidR="00D6734D" w:rsidRDefault="00D6734D" w:rsidP="00D6734D">
            <w:pPr>
              <w:pStyle w:val="ListParagraph"/>
              <w:numPr>
                <w:ilvl w:val="0"/>
                <w:numId w:val="1"/>
              </w:numPr>
              <w:jc w:val="both"/>
              <w:rPr>
                <w:rFonts w:ascii="Gill Sans MT" w:hAnsi="Gill Sans MT" w:cstheme="minorHAnsi"/>
                <w:i/>
                <w:iCs/>
                <w:color w:val="000000" w:themeColor="text1"/>
                <w:sz w:val="22"/>
                <w:szCs w:val="22"/>
              </w:rPr>
            </w:pPr>
            <w:r w:rsidRPr="00D6734D">
              <w:rPr>
                <w:rFonts w:ascii="Gill Sans MT" w:hAnsi="Gill Sans MT" w:cstheme="minorHAnsi"/>
                <w:i/>
                <w:iCs/>
                <w:color w:val="000000" w:themeColor="text1"/>
                <w:sz w:val="22"/>
                <w:szCs w:val="22"/>
              </w:rPr>
              <w:t>Government of the Republic of South Africa and Others v Grootboom and Others (CCT11/00) [2000] ZACC 19; 2001 (1) SA 46; 2000 (11) BCLR 1169 (4 October 2000)</w:t>
            </w:r>
          </w:p>
          <w:p w14:paraId="30DBB379" w14:textId="7AC89E0B" w:rsidR="005B65FF" w:rsidRDefault="003F14C3" w:rsidP="00D6734D">
            <w:pPr>
              <w:pStyle w:val="ListParagraph"/>
              <w:numPr>
                <w:ilvl w:val="0"/>
                <w:numId w:val="1"/>
              </w:numPr>
              <w:jc w:val="both"/>
              <w:rPr>
                <w:rFonts w:ascii="Gill Sans MT" w:hAnsi="Gill Sans MT" w:cstheme="minorHAnsi"/>
                <w:i/>
                <w:iCs/>
                <w:color w:val="000000" w:themeColor="text1"/>
                <w:sz w:val="22"/>
                <w:szCs w:val="22"/>
              </w:rPr>
            </w:pPr>
            <w:proofErr w:type="spellStart"/>
            <w:r w:rsidRPr="003F14C3">
              <w:rPr>
                <w:rFonts w:ascii="Gill Sans MT" w:hAnsi="Gill Sans MT" w:cstheme="minorHAnsi"/>
                <w:i/>
                <w:iCs/>
                <w:color w:val="000000" w:themeColor="text1"/>
                <w:sz w:val="22"/>
                <w:szCs w:val="22"/>
              </w:rPr>
              <w:t>Soobramoney</w:t>
            </w:r>
            <w:proofErr w:type="spellEnd"/>
            <w:r w:rsidRPr="003F14C3">
              <w:rPr>
                <w:rFonts w:ascii="Gill Sans MT" w:hAnsi="Gill Sans MT" w:cstheme="minorHAnsi"/>
                <w:i/>
                <w:iCs/>
                <w:color w:val="000000" w:themeColor="text1"/>
                <w:sz w:val="22"/>
                <w:szCs w:val="22"/>
              </w:rPr>
              <w:t xml:space="preserve"> v Minister of Health (Kwazulu-Natal) (CCT32/97) [1997] ZACC 17; 1998 (1) SA 765 (CC); 1997 (12) BCLR 1696 (27 November 1997)</w:t>
            </w:r>
          </w:p>
          <w:p w14:paraId="0231F27C" w14:textId="2CAB99DA" w:rsidR="003F14C3" w:rsidRDefault="0048761D" w:rsidP="0048761D">
            <w:pPr>
              <w:pStyle w:val="ListParagraph"/>
              <w:numPr>
                <w:ilvl w:val="0"/>
                <w:numId w:val="1"/>
              </w:numPr>
              <w:jc w:val="both"/>
              <w:rPr>
                <w:rFonts w:ascii="Gill Sans MT" w:hAnsi="Gill Sans MT" w:cstheme="minorHAnsi"/>
                <w:i/>
                <w:iCs/>
                <w:color w:val="000000" w:themeColor="text1"/>
                <w:sz w:val="22"/>
                <w:szCs w:val="22"/>
              </w:rPr>
            </w:pPr>
            <w:r w:rsidRPr="0048761D">
              <w:rPr>
                <w:rFonts w:ascii="Gill Sans MT" w:hAnsi="Gill Sans MT" w:cstheme="minorHAnsi"/>
                <w:i/>
                <w:iCs/>
                <w:color w:val="000000" w:themeColor="text1"/>
                <w:sz w:val="22"/>
                <w:szCs w:val="22"/>
              </w:rPr>
              <w:lastRenderedPageBreak/>
              <w:t>President of the Republic of South Africa v Hugo (1997) 4 SA 1 (CC)</w:t>
            </w:r>
          </w:p>
          <w:p w14:paraId="2E37B342" w14:textId="55756B67" w:rsidR="0048761D" w:rsidRDefault="00215906" w:rsidP="00215906">
            <w:pPr>
              <w:pStyle w:val="ListParagraph"/>
              <w:numPr>
                <w:ilvl w:val="0"/>
                <w:numId w:val="1"/>
              </w:numPr>
              <w:jc w:val="both"/>
              <w:rPr>
                <w:rFonts w:ascii="Gill Sans MT" w:hAnsi="Gill Sans MT" w:cstheme="minorHAnsi"/>
                <w:i/>
                <w:iCs/>
                <w:color w:val="000000" w:themeColor="text1"/>
                <w:sz w:val="22"/>
                <w:szCs w:val="22"/>
              </w:rPr>
            </w:pPr>
            <w:r w:rsidRPr="00215906">
              <w:rPr>
                <w:rFonts w:ascii="Gill Sans MT" w:hAnsi="Gill Sans MT" w:cstheme="minorHAnsi"/>
                <w:i/>
                <w:iCs/>
                <w:color w:val="000000" w:themeColor="text1"/>
                <w:sz w:val="22"/>
                <w:szCs w:val="22"/>
              </w:rPr>
              <w:t>President of the Republic of South Africa v Hugo (1997) 4 SA 1 (CC)</w:t>
            </w:r>
          </w:p>
          <w:p w14:paraId="4A0E688B" w14:textId="3611FA3D" w:rsidR="00215906" w:rsidRPr="00D6734D" w:rsidRDefault="00293714" w:rsidP="00293714">
            <w:pPr>
              <w:pStyle w:val="ListParagraph"/>
              <w:numPr>
                <w:ilvl w:val="0"/>
                <w:numId w:val="1"/>
              </w:numPr>
              <w:jc w:val="both"/>
              <w:rPr>
                <w:rFonts w:ascii="Gill Sans MT" w:hAnsi="Gill Sans MT" w:cstheme="minorHAnsi"/>
                <w:i/>
                <w:iCs/>
                <w:color w:val="000000" w:themeColor="text1"/>
                <w:sz w:val="22"/>
                <w:szCs w:val="22"/>
              </w:rPr>
            </w:pPr>
            <w:r w:rsidRPr="00293714">
              <w:rPr>
                <w:rFonts w:ascii="Gill Sans MT" w:hAnsi="Gill Sans MT" w:cstheme="minorHAnsi"/>
                <w:i/>
                <w:iCs/>
                <w:color w:val="000000" w:themeColor="text1"/>
                <w:sz w:val="22"/>
                <w:szCs w:val="22"/>
              </w:rPr>
              <w:t xml:space="preserve">Ferreira v Levin NO and Others; </w:t>
            </w:r>
            <w:proofErr w:type="spellStart"/>
            <w:r w:rsidRPr="00293714">
              <w:rPr>
                <w:rFonts w:ascii="Gill Sans MT" w:hAnsi="Gill Sans MT" w:cstheme="minorHAnsi"/>
                <w:i/>
                <w:iCs/>
                <w:color w:val="000000" w:themeColor="text1"/>
                <w:sz w:val="22"/>
                <w:szCs w:val="22"/>
              </w:rPr>
              <w:t>Vryenhoek</w:t>
            </w:r>
            <w:proofErr w:type="spellEnd"/>
            <w:r w:rsidRPr="00293714">
              <w:rPr>
                <w:rFonts w:ascii="Gill Sans MT" w:hAnsi="Gill Sans MT" w:cstheme="minorHAnsi"/>
                <w:i/>
                <w:iCs/>
                <w:color w:val="000000" w:themeColor="text1"/>
                <w:sz w:val="22"/>
                <w:szCs w:val="22"/>
              </w:rPr>
              <w:t xml:space="preserve"> and Others v Powell NO and Others 1996 (1) SA 984 (CC); 1996 (1) BCLR 1 (CC)</w:t>
            </w:r>
          </w:p>
          <w:p w14:paraId="080C1337" w14:textId="77777777" w:rsidR="00781BAB" w:rsidRDefault="005479B3" w:rsidP="00827A30">
            <w:pPr>
              <w:pStyle w:val="ListParagraph"/>
              <w:numPr>
                <w:ilvl w:val="0"/>
                <w:numId w:val="1"/>
              </w:numPr>
              <w:jc w:val="both"/>
              <w:rPr>
                <w:rFonts w:ascii="Gill Sans MT" w:hAnsi="Gill Sans MT" w:cstheme="minorHAnsi"/>
                <w:i/>
                <w:iCs/>
                <w:color w:val="000000" w:themeColor="text1"/>
                <w:sz w:val="22"/>
                <w:szCs w:val="22"/>
              </w:rPr>
            </w:pPr>
            <w:proofErr w:type="spellStart"/>
            <w:r w:rsidRPr="00827A30">
              <w:rPr>
                <w:rFonts w:ascii="Gill Sans MT" w:hAnsi="Gill Sans MT" w:cstheme="minorHAnsi"/>
                <w:i/>
                <w:iCs/>
                <w:color w:val="000000" w:themeColor="text1"/>
                <w:sz w:val="22"/>
                <w:szCs w:val="22"/>
              </w:rPr>
              <w:t>Fose</w:t>
            </w:r>
            <w:proofErr w:type="spellEnd"/>
            <w:r w:rsidRPr="00827A30">
              <w:rPr>
                <w:rFonts w:ascii="Gill Sans MT" w:hAnsi="Gill Sans MT" w:cstheme="minorHAnsi"/>
                <w:i/>
                <w:iCs/>
                <w:color w:val="000000" w:themeColor="text1"/>
                <w:sz w:val="22"/>
                <w:szCs w:val="22"/>
              </w:rPr>
              <w:t xml:space="preserve"> v Minister of Safety and Security</w:t>
            </w:r>
            <w:r w:rsidR="00827A30" w:rsidRPr="00827A30">
              <w:rPr>
                <w:rFonts w:ascii="Gill Sans MT" w:hAnsi="Gill Sans MT" w:cstheme="minorHAnsi"/>
                <w:i/>
                <w:iCs/>
                <w:color w:val="000000" w:themeColor="text1"/>
                <w:sz w:val="22"/>
                <w:szCs w:val="22"/>
              </w:rPr>
              <w:t xml:space="preserve"> 1997 (3) SA 786 (CC); 1997 (7) BCLR 851 (CC</w:t>
            </w:r>
            <w:r w:rsidR="00827A30">
              <w:rPr>
                <w:rFonts w:ascii="Gill Sans MT" w:hAnsi="Gill Sans MT" w:cstheme="minorHAnsi"/>
                <w:i/>
                <w:iCs/>
                <w:color w:val="000000" w:themeColor="text1"/>
                <w:sz w:val="22"/>
                <w:szCs w:val="22"/>
              </w:rPr>
              <w:t>)</w:t>
            </w:r>
          </w:p>
          <w:p w14:paraId="530530FC" w14:textId="61C563E6" w:rsidR="00332D98" w:rsidRPr="00827A30" w:rsidRDefault="00332D98" w:rsidP="00E07176">
            <w:pPr>
              <w:pStyle w:val="ListParagraph"/>
              <w:numPr>
                <w:ilvl w:val="0"/>
                <w:numId w:val="1"/>
              </w:numPr>
              <w:jc w:val="both"/>
              <w:rPr>
                <w:rFonts w:ascii="Gill Sans MT" w:hAnsi="Gill Sans MT" w:cstheme="minorHAnsi"/>
                <w:i/>
                <w:iCs/>
                <w:color w:val="000000" w:themeColor="text1"/>
                <w:sz w:val="22"/>
                <w:szCs w:val="22"/>
              </w:rPr>
            </w:pPr>
            <w:r w:rsidRPr="00332D98">
              <w:rPr>
                <w:rFonts w:ascii="Gill Sans MT" w:hAnsi="Gill Sans MT" w:cstheme="minorHAnsi"/>
                <w:i/>
                <w:iCs/>
                <w:color w:val="000000" w:themeColor="text1"/>
                <w:sz w:val="22"/>
                <w:szCs w:val="22"/>
              </w:rPr>
              <w:t>Mohamed v President of the RSA</w:t>
            </w:r>
            <w:r w:rsidR="00E07176">
              <w:rPr>
                <w:rFonts w:ascii="Gill Sans MT" w:hAnsi="Gill Sans MT" w:cstheme="minorHAnsi"/>
                <w:i/>
                <w:iCs/>
                <w:color w:val="000000" w:themeColor="text1"/>
                <w:sz w:val="22"/>
                <w:szCs w:val="22"/>
              </w:rPr>
              <w:t xml:space="preserve"> </w:t>
            </w:r>
            <w:r w:rsidR="00E07176" w:rsidRPr="00E07176">
              <w:rPr>
                <w:rFonts w:ascii="Gill Sans MT" w:hAnsi="Gill Sans MT" w:cstheme="minorHAnsi"/>
                <w:i/>
                <w:iCs/>
                <w:color w:val="000000" w:themeColor="text1"/>
                <w:sz w:val="22"/>
                <w:szCs w:val="22"/>
              </w:rPr>
              <w:t>and Others (Society for the Abolition of the Death Penalty in South Africa and Another Intervening) 2001 (3) SA 893 (CC); 2001 (7) BCLR 685 (CC).</w:t>
            </w:r>
          </w:p>
        </w:tc>
      </w:tr>
      <w:tr w:rsidR="00D217C7" w:rsidRPr="003A2D48" w14:paraId="199C3677" w14:textId="77777777" w:rsidTr="00F45C46">
        <w:tc>
          <w:tcPr>
            <w:tcW w:w="2689" w:type="dxa"/>
          </w:tcPr>
          <w:p w14:paraId="52F92484" w14:textId="77777777" w:rsidR="00D217C7" w:rsidRPr="001D2B71" w:rsidRDefault="00D217C7" w:rsidP="00711EE3">
            <w:pPr>
              <w:tabs>
                <w:tab w:val="right" w:pos="2473"/>
              </w:tabs>
              <w:spacing w:line="276" w:lineRule="auto"/>
              <w:jc w:val="both"/>
              <w:rPr>
                <w:rFonts w:ascii="Gill Sans MT" w:eastAsia="Gill Sans" w:hAnsi="Gill Sans MT" w:cs="Gill Sans"/>
                <w:sz w:val="22"/>
                <w:szCs w:val="22"/>
              </w:rPr>
            </w:pPr>
            <w:r w:rsidRPr="001D2B71">
              <w:rPr>
                <w:rFonts w:ascii="Gill Sans MT" w:eastAsia="Gill Sans" w:hAnsi="Gill Sans MT" w:cs="Gill Sans"/>
                <w:sz w:val="22"/>
                <w:szCs w:val="22"/>
              </w:rPr>
              <w:lastRenderedPageBreak/>
              <w:t>Facts</w:t>
            </w:r>
            <w:r w:rsidRPr="001D2B71">
              <w:rPr>
                <w:rFonts w:ascii="Gill Sans MT" w:eastAsia="Gill Sans" w:hAnsi="Gill Sans MT" w:cs="Gill Sans"/>
                <w:sz w:val="22"/>
                <w:szCs w:val="22"/>
                <w:vertAlign w:val="superscript"/>
              </w:rPr>
              <w:footnoteReference w:id="6"/>
            </w:r>
            <w:r w:rsidRPr="001D2B71">
              <w:rPr>
                <w:rFonts w:ascii="Gill Sans MT" w:eastAsia="Gill Sans" w:hAnsi="Gill Sans MT" w:cs="Gill Sans"/>
                <w:sz w:val="22"/>
                <w:szCs w:val="22"/>
              </w:rPr>
              <w:tab/>
            </w:r>
          </w:p>
          <w:p w14:paraId="3AFABDE3" w14:textId="77777777" w:rsidR="00D217C7" w:rsidRPr="001D2B71" w:rsidRDefault="00D217C7" w:rsidP="00711EE3">
            <w:pPr>
              <w:tabs>
                <w:tab w:val="right" w:pos="2473"/>
              </w:tabs>
              <w:spacing w:line="276" w:lineRule="auto"/>
              <w:jc w:val="both"/>
              <w:rPr>
                <w:rFonts w:ascii="Gill Sans MT" w:eastAsia="Gill Sans" w:hAnsi="Gill Sans MT" w:cs="Gill Sans"/>
                <w:sz w:val="22"/>
                <w:szCs w:val="22"/>
              </w:rPr>
            </w:pPr>
          </w:p>
        </w:tc>
        <w:tc>
          <w:tcPr>
            <w:tcW w:w="6378" w:type="dxa"/>
          </w:tcPr>
          <w:p w14:paraId="5C0DD473" w14:textId="0D565F9F" w:rsidR="00D217C7" w:rsidRPr="0073385D" w:rsidRDefault="0073385D" w:rsidP="004447FB">
            <w:pPr>
              <w:jc w:val="both"/>
            </w:pPr>
            <w:r w:rsidRPr="002C377B">
              <w:rPr>
                <w:rFonts w:ascii="Gill Sans MT" w:hAnsi="Gill Sans MT" w:cstheme="minorHAnsi"/>
                <w:color w:val="000000" w:themeColor="text1"/>
                <w:sz w:val="22"/>
                <w:szCs w:val="22"/>
              </w:rPr>
              <w:t xml:space="preserve">The case began on August 21, 2001, as an application in the High Court. The applicants included various associations and members of civil society concerned about HIV/AIDS treatment and prevention. The appeal aimed to reverse orders made against the government regarding its response to HIV/AIDS, specifically addressing the risk of transmission from HIV-positive mothers to their babies at birth. The court </w:t>
            </w:r>
            <w:r>
              <w:rPr>
                <w:rFonts w:ascii="Gill Sans MT" w:hAnsi="Gill Sans MT" w:cstheme="minorHAnsi"/>
                <w:color w:val="000000" w:themeColor="text1"/>
                <w:sz w:val="22"/>
                <w:szCs w:val="22"/>
              </w:rPr>
              <w:t xml:space="preserve">held </w:t>
            </w:r>
            <w:r w:rsidRPr="002C377B">
              <w:rPr>
                <w:rFonts w:ascii="Gill Sans MT" w:hAnsi="Gill Sans MT" w:cstheme="minorHAnsi"/>
                <w:color w:val="000000" w:themeColor="text1"/>
                <w:sz w:val="22"/>
                <w:szCs w:val="22"/>
              </w:rPr>
              <w:t>that the government had not adequately addressed this need by unreasonably denying access to the antiretroviral drug nevirapine in the public health sector when medically necessary, and by failing to establish a timeframe for a national program to prevent mother-to-child transmission of HIV.</w:t>
            </w:r>
          </w:p>
        </w:tc>
      </w:tr>
      <w:tr w:rsidR="00D217C7" w:rsidRPr="00942068" w14:paraId="21B7AFC1" w14:textId="77777777" w:rsidTr="00F45C46">
        <w:tc>
          <w:tcPr>
            <w:tcW w:w="2689" w:type="dxa"/>
          </w:tcPr>
          <w:p w14:paraId="18E24248" w14:textId="77777777" w:rsidR="00D217C7" w:rsidRPr="00942068" w:rsidRDefault="00D217C7" w:rsidP="00711EE3">
            <w:pPr>
              <w:jc w:val="both"/>
              <w:rPr>
                <w:rFonts w:ascii="Gill Sans MT" w:hAnsi="Gill Sans MT" w:cstheme="minorHAnsi"/>
                <w:color w:val="000000" w:themeColor="text1"/>
                <w:sz w:val="22"/>
                <w:szCs w:val="22"/>
              </w:rPr>
            </w:pPr>
            <w:r w:rsidRPr="00BB35A1">
              <w:rPr>
                <w:rFonts w:ascii="Gill Sans MT" w:hAnsi="Gill Sans MT" w:cs="Arial"/>
                <w:sz w:val="22"/>
                <w:szCs w:val="22"/>
              </w:rPr>
              <w:t>Summary</w:t>
            </w:r>
            <w:r w:rsidRPr="00BB35A1">
              <w:rPr>
                <w:rFonts w:ascii="Gill Sans MT" w:hAnsi="Gill Sans MT" w:cs="Arial"/>
                <w:sz w:val="22"/>
                <w:szCs w:val="22"/>
                <w:vertAlign w:val="superscript"/>
              </w:rPr>
              <w:footnoteReference w:id="7"/>
            </w:r>
          </w:p>
        </w:tc>
        <w:tc>
          <w:tcPr>
            <w:tcW w:w="6378" w:type="dxa"/>
          </w:tcPr>
          <w:p w14:paraId="453BC9C0" w14:textId="50ECF358" w:rsidR="00D217C7" w:rsidRPr="002C3DCC" w:rsidRDefault="00682FC0" w:rsidP="00711EE3">
            <w:pPr>
              <w:jc w:val="both"/>
              <w:rPr>
                <w:rFonts w:ascii="Gill Sans MT" w:hAnsi="Gill Sans MT"/>
                <w:sz w:val="22"/>
                <w:szCs w:val="22"/>
              </w:rPr>
            </w:pPr>
            <w:r w:rsidRPr="002C377B">
              <w:rPr>
                <w:rFonts w:ascii="Gill Sans MT" w:hAnsi="Gill Sans MT"/>
                <w:sz w:val="22"/>
                <w:szCs w:val="22"/>
              </w:rPr>
              <w:t xml:space="preserve">The </w:t>
            </w:r>
            <w:r>
              <w:rPr>
                <w:rFonts w:ascii="Gill Sans MT" w:hAnsi="Gill Sans MT"/>
                <w:sz w:val="22"/>
                <w:szCs w:val="22"/>
              </w:rPr>
              <w:t>c</w:t>
            </w:r>
            <w:r w:rsidRPr="002C377B">
              <w:rPr>
                <w:rFonts w:ascii="Gill Sans MT" w:hAnsi="Gill Sans MT"/>
                <w:sz w:val="22"/>
                <w:szCs w:val="22"/>
              </w:rPr>
              <w:t xml:space="preserve">ourt found the government's policy regarding pregnant women with HIV to be unreasonable, resulting in the violation of constitutional rights. The </w:t>
            </w:r>
            <w:r>
              <w:rPr>
                <w:rFonts w:ascii="Gill Sans MT" w:hAnsi="Gill Sans MT"/>
                <w:sz w:val="22"/>
                <w:szCs w:val="22"/>
              </w:rPr>
              <w:t>c</w:t>
            </w:r>
            <w:r w:rsidRPr="002C377B">
              <w:rPr>
                <w:rFonts w:ascii="Gill Sans MT" w:hAnsi="Gill Sans MT"/>
                <w:sz w:val="22"/>
                <w:szCs w:val="22"/>
              </w:rPr>
              <w:t xml:space="preserve">ourt emphasized that financial constraints cannot override the government's obligation to protect constitutional rights and that alternative solutions must be found. The </w:t>
            </w:r>
            <w:r>
              <w:rPr>
                <w:rFonts w:ascii="Gill Sans MT" w:hAnsi="Gill Sans MT"/>
                <w:sz w:val="22"/>
                <w:szCs w:val="22"/>
              </w:rPr>
              <w:t>court</w:t>
            </w:r>
            <w:r w:rsidRPr="002C377B">
              <w:rPr>
                <w:rFonts w:ascii="Gill Sans MT" w:hAnsi="Gill Sans MT"/>
                <w:sz w:val="22"/>
                <w:szCs w:val="22"/>
              </w:rPr>
              <w:t xml:space="preserve"> ruled in favour of the </w:t>
            </w:r>
            <w:r>
              <w:rPr>
                <w:rFonts w:ascii="Gill Sans MT" w:hAnsi="Gill Sans MT"/>
                <w:sz w:val="22"/>
                <w:szCs w:val="22"/>
              </w:rPr>
              <w:t>a</w:t>
            </w:r>
            <w:r w:rsidRPr="002C377B">
              <w:rPr>
                <w:rFonts w:ascii="Gill Sans MT" w:hAnsi="Gill Sans MT"/>
                <w:sz w:val="22"/>
                <w:szCs w:val="22"/>
              </w:rPr>
              <w:t xml:space="preserve">pplicants, stating that the policy infringed upon the rights of pregnant women and their unborn children. The case had significant implications for HIV/AIDS policy and prompted a change in the government's approach to HIV </w:t>
            </w:r>
            <w:proofErr w:type="spellStart"/>
            <w:proofErr w:type="gramStart"/>
            <w:r w:rsidRPr="002C377B">
              <w:rPr>
                <w:rFonts w:ascii="Gill Sans MT" w:hAnsi="Gill Sans MT"/>
                <w:sz w:val="22"/>
                <w:szCs w:val="22"/>
              </w:rPr>
              <w:t>treatment.</w:t>
            </w:r>
            <w:r w:rsidR="004E69B9" w:rsidRPr="004E69B9">
              <w:rPr>
                <w:rFonts w:ascii="Gill Sans MT" w:hAnsi="Gill Sans MT" w:cstheme="minorHAnsi"/>
                <w:vanish/>
                <w:color w:val="000000" w:themeColor="text1"/>
                <w:sz w:val="22"/>
                <w:szCs w:val="22"/>
              </w:rPr>
              <w:t>Top</w:t>
            </w:r>
            <w:proofErr w:type="spellEnd"/>
            <w:proofErr w:type="gramEnd"/>
            <w:r w:rsidR="004E69B9" w:rsidRPr="004E69B9">
              <w:rPr>
                <w:rFonts w:ascii="Gill Sans MT" w:hAnsi="Gill Sans MT" w:cstheme="minorHAnsi"/>
                <w:vanish/>
                <w:color w:val="000000" w:themeColor="text1"/>
                <w:sz w:val="22"/>
                <w:szCs w:val="22"/>
              </w:rPr>
              <w:t xml:space="preserve"> of Form</w:t>
            </w:r>
          </w:p>
        </w:tc>
      </w:tr>
      <w:tr w:rsidR="00D217C7" w:rsidRPr="001D2B71" w14:paraId="1F3918C4" w14:textId="77777777" w:rsidTr="00F45C46">
        <w:trPr>
          <w:trHeight w:val="171"/>
        </w:trPr>
        <w:tc>
          <w:tcPr>
            <w:tcW w:w="2689" w:type="dxa"/>
          </w:tcPr>
          <w:p w14:paraId="1EDE5343" w14:textId="77777777" w:rsidR="00D217C7" w:rsidRPr="001D2B71" w:rsidRDefault="00D217C7" w:rsidP="00711EE3">
            <w:pPr>
              <w:spacing w:line="276" w:lineRule="auto"/>
              <w:jc w:val="both"/>
              <w:rPr>
                <w:rFonts w:ascii="Gill Sans MT" w:eastAsia="Gill Sans" w:hAnsi="Gill Sans MT" w:cs="Gill Sans"/>
                <w:sz w:val="22"/>
                <w:szCs w:val="22"/>
              </w:rPr>
            </w:pPr>
            <w:r w:rsidRPr="001D2B71">
              <w:rPr>
                <w:rFonts w:ascii="Gill Sans MT" w:eastAsia="Gill Sans" w:hAnsi="Gill Sans MT" w:cs="Gill Sans"/>
                <w:sz w:val="22"/>
                <w:szCs w:val="22"/>
              </w:rPr>
              <w:t>Decision/ Judgment</w:t>
            </w:r>
            <w:r w:rsidRPr="001D2B71">
              <w:rPr>
                <w:rFonts w:ascii="Gill Sans MT" w:eastAsia="Gill Sans" w:hAnsi="Gill Sans MT" w:cs="Gill Sans"/>
                <w:sz w:val="22"/>
                <w:szCs w:val="22"/>
                <w:vertAlign w:val="superscript"/>
              </w:rPr>
              <w:footnoteReference w:id="8"/>
            </w:r>
          </w:p>
        </w:tc>
        <w:tc>
          <w:tcPr>
            <w:tcW w:w="6378" w:type="dxa"/>
          </w:tcPr>
          <w:p w14:paraId="522CE424" w14:textId="26B1FF35" w:rsidR="00D217C7" w:rsidRPr="00FB2545" w:rsidRDefault="00E55198" w:rsidP="00E81617">
            <w:pPr>
              <w:jc w:val="both"/>
            </w:pPr>
            <w:r w:rsidRPr="002C377B">
              <w:rPr>
                <w:rFonts w:ascii="Gill Sans MT" w:hAnsi="Gill Sans MT"/>
                <w:sz w:val="22"/>
                <w:szCs w:val="22"/>
              </w:rPr>
              <w:t xml:space="preserve">The Constitutional Court </w:t>
            </w:r>
            <w:r>
              <w:rPr>
                <w:rFonts w:ascii="Gill Sans MT" w:hAnsi="Gill Sans MT"/>
                <w:sz w:val="22"/>
                <w:szCs w:val="22"/>
              </w:rPr>
              <w:t>ruled in favour</w:t>
            </w:r>
            <w:r w:rsidRPr="002C377B">
              <w:rPr>
                <w:rFonts w:ascii="Gill Sans MT" w:hAnsi="Gill Sans MT"/>
                <w:sz w:val="22"/>
                <w:szCs w:val="22"/>
              </w:rPr>
              <w:t xml:space="preserve"> </w:t>
            </w:r>
            <w:r>
              <w:rPr>
                <w:rFonts w:ascii="Gill Sans MT" w:hAnsi="Gill Sans MT"/>
                <w:sz w:val="22"/>
                <w:szCs w:val="22"/>
              </w:rPr>
              <w:t xml:space="preserve">of </w:t>
            </w:r>
            <w:r w:rsidRPr="002C377B">
              <w:rPr>
                <w:rFonts w:ascii="Gill Sans MT" w:hAnsi="Gill Sans MT"/>
                <w:sz w:val="22"/>
                <w:szCs w:val="22"/>
              </w:rPr>
              <w:t xml:space="preserve">the </w:t>
            </w:r>
            <w:r>
              <w:rPr>
                <w:rFonts w:ascii="Gill Sans MT" w:hAnsi="Gill Sans MT"/>
                <w:sz w:val="22"/>
                <w:szCs w:val="22"/>
              </w:rPr>
              <w:t>a</w:t>
            </w:r>
            <w:r w:rsidRPr="002C377B">
              <w:rPr>
                <w:rFonts w:ascii="Gill Sans MT" w:hAnsi="Gill Sans MT"/>
                <w:sz w:val="22"/>
                <w:szCs w:val="22"/>
              </w:rPr>
              <w:t xml:space="preserve">pplicants, deeming the government's policy denying antiretroviral drugs to pregnant women with HIV as unconstitutional. The </w:t>
            </w:r>
            <w:r>
              <w:rPr>
                <w:rFonts w:ascii="Gill Sans MT" w:hAnsi="Gill Sans MT"/>
                <w:sz w:val="22"/>
                <w:szCs w:val="22"/>
              </w:rPr>
              <w:t>c</w:t>
            </w:r>
            <w:r w:rsidRPr="002C377B">
              <w:rPr>
                <w:rFonts w:ascii="Gill Sans MT" w:hAnsi="Gill Sans MT"/>
                <w:sz w:val="22"/>
                <w:szCs w:val="22"/>
              </w:rPr>
              <w:t xml:space="preserve">ourt </w:t>
            </w:r>
            <w:r>
              <w:rPr>
                <w:rFonts w:ascii="Gill Sans MT" w:hAnsi="Gill Sans MT"/>
                <w:sz w:val="22"/>
                <w:szCs w:val="22"/>
              </w:rPr>
              <w:t>ordered</w:t>
            </w:r>
            <w:r w:rsidRPr="002C377B">
              <w:rPr>
                <w:rFonts w:ascii="Gill Sans MT" w:hAnsi="Gill Sans MT"/>
                <w:sz w:val="22"/>
                <w:szCs w:val="22"/>
              </w:rPr>
              <w:t xml:space="preserve"> the immediate provision of these drugs to all pregnant women in need. This </w:t>
            </w:r>
            <w:r>
              <w:rPr>
                <w:rFonts w:ascii="Gill Sans MT" w:hAnsi="Gill Sans MT"/>
                <w:sz w:val="22"/>
                <w:szCs w:val="22"/>
              </w:rPr>
              <w:t xml:space="preserve">landmark judgment </w:t>
            </w:r>
            <w:r w:rsidR="00FB2545">
              <w:rPr>
                <w:rFonts w:ascii="Gill Sans MT" w:hAnsi="Gill Sans MT"/>
                <w:sz w:val="22"/>
                <w:szCs w:val="22"/>
              </w:rPr>
              <w:t>highlighted the importance</w:t>
            </w:r>
            <w:r w:rsidRPr="002C377B">
              <w:rPr>
                <w:rFonts w:ascii="Gill Sans MT" w:hAnsi="Gill Sans MT"/>
                <w:sz w:val="22"/>
                <w:szCs w:val="22"/>
              </w:rPr>
              <w:t xml:space="preserve"> of safeguarding healthcare and the right to life, particularly in the context of HIV/AIDS in South Africa.</w:t>
            </w:r>
          </w:p>
        </w:tc>
      </w:tr>
      <w:tr w:rsidR="00D217C7" w:rsidRPr="007D20EC" w14:paraId="2603A215" w14:textId="77777777" w:rsidTr="00F45C46">
        <w:tc>
          <w:tcPr>
            <w:tcW w:w="2689" w:type="dxa"/>
          </w:tcPr>
          <w:p w14:paraId="6C77C8F4" w14:textId="77777777" w:rsidR="00D217C7" w:rsidRPr="001D2B71" w:rsidRDefault="00D217C7" w:rsidP="00711EE3">
            <w:pPr>
              <w:spacing w:line="276" w:lineRule="auto"/>
              <w:jc w:val="both"/>
              <w:rPr>
                <w:rFonts w:ascii="Gill Sans MT" w:eastAsia="Gill Sans" w:hAnsi="Gill Sans MT" w:cs="Gill Sans"/>
                <w:sz w:val="22"/>
                <w:szCs w:val="22"/>
              </w:rPr>
            </w:pPr>
            <w:r w:rsidRPr="001D2B71">
              <w:rPr>
                <w:rFonts w:ascii="Gill Sans MT" w:eastAsia="Gill Sans" w:hAnsi="Gill Sans MT" w:cs="Gill Sans"/>
                <w:sz w:val="22"/>
                <w:szCs w:val="22"/>
              </w:rPr>
              <w:t>Basis of the decision</w:t>
            </w:r>
            <w:r w:rsidRPr="001D2B71">
              <w:rPr>
                <w:rFonts w:ascii="Gill Sans MT" w:eastAsia="Gill Sans" w:hAnsi="Gill Sans MT" w:cs="Gill Sans"/>
                <w:sz w:val="22"/>
                <w:szCs w:val="22"/>
                <w:vertAlign w:val="superscript"/>
              </w:rPr>
              <w:footnoteReference w:id="9"/>
            </w:r>
          </w:p>
        </w:tc>
        <w:tc>
          <w:tcPr>
            <w:tcW w:w="6378" w:type="dxa"/>
          </w:tcPr>
          <w:p w14:paraId="4A6529DB" w14:textId="2D6D4C16" w:rsidR="00D217C7" w:rsidRPr="007D20EC" w:rsidRDefault="00675EEC" w:rsidP="00F10853">
            <w:pPr>
              <w:pStyle w:val="NormalWeb"/>
              <w:spacing w:before="0" w:beforeAutospacing="0" w:after="0" w:afterAutospacing="0"/>
              <w:jc w:val="both"/>
              <w:textAlignment w:val="baseline"/>
              <w:rPr>
                <w:rFonts w:ascii="Gill Sans MT" w:hAnsi="Gill Sans MT" w:cs="Arial"/>
                <w:color w:val="000000" w:themeColor="text1"/>
                <w:sz w:val="22"/>
                <w:szCs w:val="22"/>
              </w:rPr>
            </w:pPr>
            <w:bookmarkStart w:id="0" w:name="_heading=h.gjdgxs" w:colFirst="0" w:colLast="0"/>
            <w:bookmarkEnd w:id="0"/>
            <w:r w:rsidRPr="00675EEC">
              <w:rPr>
                <w:rFonts w:ascii="Gill Sans MT" w:hAnsi="Gill Sans MT" w:cs="Arial"/>
                <w:color w:val="000000" w:themeColor="text1"/>
                <w:sz w:val="22"/>
                <w:szCs w:val="22"/>
              </w:rPr>
              <w:t xml:space="preserve">The </w:t>
            </w:r>
            <w:r w:rsidR="00FB2545">
              <w:rPr>
                <w:rFonts w:ascii="Gill Sans MT" w:hAnsi="Gill Sans MT" w:cs="Arial"/>
                <w:color w:val="000000" w:themeColor="text1"/>
                <w:sz w:val="22"/>
                <w:szCs w:val="22"/>
              </w:rPr>
              <w:t>c</w:t>
            </w:r>
            <w:r w:rsidRPr="00675EEC">
              <w:rPr>
                <w:rFonts w:ascii="Gill Sans MT" w:hAnsi="Gill Sans MT" w:cs="Arial"/>
                <w:color w:val="000000" w:themeColor="text1"/>
                <w:sz w:val="22"/>
                <w:szCs w:val="22"/>
              </w:rPr>
              <w:t xml:space="preserve">ourt considered evidence presented by the </w:t>
            </w:r>
            <w:r>
              <w:rPr>
                <w:rFonts w:ascii="Gill Sans MT" w:hAnsi="Gill Sans MT" w:cs="Arial"/>
                <w:color w:val="000000" w:themeColor="text1"/>
                <w:sz w:val="22"/>
                <w:szCs w:val="22"/>
              </w:rPr>
              <w:t>applicants</w:t>
            </w:r>
            <w:r w:rsidRPr="00675EEC">
              <w:rPr>
                <w:rFonts w:ascii="Gill Sans MT" w:hAnsi="Gill Sans MT" w:cs="Arial"/>
                <w:color w:val="000000" w:themeColor="text1"/>
                <w:sz w:val="22"/>
                <w:szCs w:val="22"/>
              </w:rPr>
              <w:t xml:space="preserve"> that showed the significant benefits of antiretroviral drugs in preventing the transmission of HIV from mothers to their unborn children. The </w:t>
            </w:r>
            <w:r w:rsidR="00F10853">
              <w:rPr>
                <w:rFonts w:ascii="Gill Sans MT" w:hAnsi="Gill Sans MT" w:cs="Arial"/>
                <w:color w:val="000000" w:themeColor="text1"/>
                <w:sz w:val="22"/>
                <w:szCs w:val="22"/>
              </w:rPr>
              <w:t>c</w:t>
            </w:r>
            <w:r w:rsidRPr="00675EEC">
              <w:rPr>
                <w:rFonts w:ascii="Gill Sans MT" w:hAnsi="Gill Sans MT" w:cs="Arial"/>
                <w:color w:val="000000" w:themeColor="text1"/>
                <w:sz w:val="22"/>
                <w:szCs w:val="22"/>
              </w:rPr>
              <w:t>ourt also noted that the government's policy disproportionately affected women and children, leading to unnecessary deaths and suffering</w:t>
            </w:r>
            <w:r w:rsidR="00F10853">
              <w:rPr>
                <w:rFonts w:ascii="Gill Sans MT" w:hAnsi="Gill Sans MT" w:cs="Arial"/>
                <w:color w:val="000000" w:themeColor="text1"/>
                <w:sz w:val="22"/>
                <w:szCs w:val="22"/>
              </w:rPr>
              <w:t>.</w:t>
            </w:r>
          </w:p>
        </w:tc>
      </w:tr>
      <w:tr w:rsidR="00D217C7" w:rsidRPr="00942068" w14:paraId="6493A33E" w14:textId="77777777" w:rsidTr="00F45C46">
        <w:tc>
          <w:tcPr>
            <w:tcW w:w="2689" w:type="dxa"/>
          </w:tcPr>
          <w:p w14:paraId="746DCC34" w14:textId="77777777" w:rsidR="00D217C7" w:rsidRPr="00942068" w:rsidRDefault="00D217C7" w:rsidP="00711EE3">
            <w:pPr>
              <w:jc w:val="both"/>
              <w:rPr>
                <w:rFonts w:ascii="Gill Sans MT" w:hAnsi="Gill Sans MT" w:cstheme="minorHAnsi"/>
                <w:color w:val="000000" w:themeColor="text1"/>
                <w:sz w:val="22"/>
                <w:szCs w:val="22"/>
              </w:rPr>
            </w:pPr>
            <w:r w:rsidRPr="00942068">
              <w:rPr>
                <w:rFonts w:ascii="Gill Sans MT" w:hAnsi="Gill Sans MT" w:cstheme="minorHAnsi"/>
                <w:color w:val="000000" w:themeColor="text1"/>
                <w:sz w:val="22"/>
                <w:szCs w:val="22"/>
              </w:rPr>
              <w:t>Reported by</w:t>
            </w:r>
          </w:p>
          <w:p w14:paraId="333FD928" w14:textId="77777777" w:rsidR="00D217C7" w:rsidRPr="00942068" w:rsidRDefault="00D217C7" w:rsidP="00711EE3">
            <w:pPr>
              <w:jc w:val="both"/>
              <w:rPr>
                <w:rFonts w:ascii="Gill Sans MT" w:hAnsi="Gill Sans MT" w:cstheme="minorHAnsi"/>
                <w:color w:val="000000" w:themeColor="text1"/>
                <w:sz w:val="22"/>
                <w:szCs w:val="22"/>
              </w:rPr>
            </w:pPr>
            <w:r w:rsidRPr="00942068">
              <w:rPr>
                <w:rFonts w:ascii="Gill Sans MT" w:hAnsi="Gill Sans MT" w:cstheme="minorHAnsi"/>
                <w:color w:val="000000" w:themeColor="text1"/>
                <w:sz w:val="22"/>
                <w:szCs w:val="22"/>
              </w:rPr>
              <w:lastRenderedPageBreak/>
              <w:t>Date</w:t>
            </w:r>
          </w:p>
        </w:tc>
        <w:tc>
          <w:tcPr>
            <w:tcW w:w="6378" w:type="dxa"/>
          </w:tcPr>
          <w:p w14:paraId="337AAD85" w14:textId="22E6B88E" w:rsidR="00D217C7" w:rsidRDefault="002133F4" w:rsidP="00711EE3">
            <w:pPr>
              <w:jc w:val="both"/>
              <w:rPr>
                <w:rFonts w:ascii="Gill Sans MT" w:hAnsi="Gill Sans MT" w:cstheme="minorHAnsi"/>
                <w:color w:val="000000" w:themeColor="text1"/>
                <w:sz w:val="22"/>
                <w:szCs w:val="22"/>
              </w:rPr>
            </w:pPr>
            <w:r>
              <w:rPr>
                <w:rFonts w:ascii="Gill Sans MT" w:hAnsi="Gill Sans MT" w:cstheme="minorHAnsi"/>
                <w:color w:val="000000" w:themeColor="text1"/>
                <w:sz w:val="22"/>
                <w:szCs w:val="22"/>
              </w:rPr>
              <w:lastRenderedPageBreak/>
              <w:t xml:space="preserve">Abongile </w:t>
            </w:r>
            <w:proofErr w:type="spellStart"/>
            <w:r>
              <w:rPr>
                <w:rFonts w:ascii="Gill Sans MT" w:hAnsi="Gill Sans MT" w:cstheme="minorHAnsi"/>
                <w:color w:val="000000" w:themeColor="text1"/>
                <w:sz w:val="22"/>
                <w:szCs w:val="22"/>
              </w:rPr>
              <w:t>Nkamisa</w:t>
            </w:r>
            <w:proofErr w:type="spellEnd"/>
          </w:p>
          <w:p w14:paraId="045FA6EE" w14:textId="48B52388" w:rsidR="00D217C7" w:rsidRPr="00942068" w:rsidRDefault="00BD7E88" w:rsidP="00711EE3">
            <w:pPr>
              <w:jc w:val="both"/>
              <w:rPr>
                <w:rFonts w:ascii="Gill Sans MT" w:hAnsi="Gill Sans MT" w:cstheme="minorHAnsi"/>
                <w:color w:val="000000" w:themeColor="text1"/>
                <w:sz w:val="22"/>
                <w:szCs w:val="22"/>
              </w:rPr>
            </w:pPr>
            <w:r>
              <w:rPr>
                <w:rFonts w:ascii="Gill Sans MT" w:hAnsi="Gill Sans MT" w:cstheme="minorHAnsi"/>
                <w:color w:val="000000" w:themeColor="text1"/>
                <w:sz w:val="22"/>
                <w:szCs w:val="22"/>
              </w:rPr>
              <w:lastRenderedPageBreak/>
              <w:t>16 June 2023</w:t>
            </w:r>
          </w:p>
        </w:tc>
      </w:tr>
    </w:tbl>
    <w:p w14:paraId="0EEA76DD" w14:textId="77777777" w:rsidR="00D217C7" w:rsidRPr="00942068" w:rsidRDefault="00D217C7" w:rsidP="00D217C7">
      <w:pPr>
        <w:jc w:val="both"/>
        <w:rPr>
          <w:rFonts w:ascii="Gill Sans MT" w:hAnsi="Gill Sans MT" w:cstheme="minorHAnsi"/>
          <w:color w:val="000000" w:themeColor="text1"/>
          <w:sz w:val="22"/>
          <w:szCs w:val="22"/>
        </w:rPr>
      </w:pPr>
    </w:p>
    <w:p w14:paraId="53DEC0FE" w14:textId="77777777" w:rsidR="00D217C7" w:rsidRDefault="00D217C7" w:rsidP="00D217C7"/>
    <w:p w14:paraId="53FC49AD" w14:textId="77777777" w:rsidR="005F0D04" w:rsidRDefault="005F0D04"/>
    <w:sectPr w:rsidR="005F0D04">
      <w:headerReference w:type="default" r:id="rId11"/>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412C84" w14:textId="77777777" w:rsidR="00212471" w:rsidRDefault="00212471" w:rsidP="00D217C7">
      <w:r>
        <w:separator/>
      </w:r>
    </w:p>
  </w:endnote>
  <w:endnote w:type="continuationSeparator" w:id="0">
    <w:p w14:paraId="30A8138E" w14:textId="77777777" w:rsidR="00212471" w:rsidRDefault="00212471" w:rsidP="00D217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Gill Sans">
    <w:altName w:val="Calibri"/>
    <w:charset w:val="00"/>
    <w:family w:val="auto"/>
    <w:pitch w:val="default"/>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A585FF" w14:textId="77777777" w:rsidR="00212471" w:rsidRDefault="00212471" w:rsidP="00D217C7">
      <w:r>
        <w:separator/>
      </w:r>
    </w:p>
  </w:footnote>
  <w:footnote w:type="continuationSeparator" w:id="0">
    <w:p w14:paraId="09B970EB" w14:textId="77777777" w:rsidR="00212471" w:rsidRDefault="00212471" w:rsidP="00D217C7">
      <w:r>
        <w:continuationSeparator/>
      </w:r>
    </w:p>
  </w:footnote>
  <w:footnote w:id="1">
    <w:p w14:paraId="239EBFC5" w14:textId="77777777" w:rsidR="00D217C7" w:rsidRPr="001D2B71" w:rsidRDefault="00D217C7" w:rsidP="00D217C7">
      <w:pPr>
        <w:pStyle w:val="FootnoteText"/>
        <w:jc w:val="both"/>
        <w:rPr>
          <w:rFonts w:ascii="Gill Sans MT" w:hAnsi="Gill Sans MT"/>
        </w:rPr>
      </w:pPr>
      <w:r w:rsidRPr="001D2B71">
        <w:rPr>
          <w:rStyle w:val="FootnoteReference"/>
          <w:rFonts w:ascii="Gill Sans MT" w:hAnsi="Gill Sans MT"/>
        </w:rPr>
        <w:footnoteRef/>
      </w:r>
      <w:r w:rsidRPr="001D2B71">
        <w:rPr>
          <w:rFonts w:ascii="Gill Sans MT" w:hAnsi="Gill Sans MT"/>
        </w:rPr>
        <w:t xml:space="preserve"> </w:t>
      </w:r>
      <w:r w:rsidRPr="001D2B71">
        <w:rPr>
          <w:rFonts w:ascii="Gill Sans MT" w:eastAsia="Gill Sans" w:hAnsi="Gill Sans MT" w:cs="Gill Sans"/>
          <w:color w:val="000000"/>
        </w:rPr>
        <w:t>Project code is the combination of the three jurisdiction letters (KEN for Kenya, SAF for South Africa etc) and the unique case identification number for the index. E.g., a project code could be KEN1, SAF34, ZAM12).</w:t>
      </w:r>
    </w:p>
  </w:footnote>
  <w:footnote w:id="2">
    <w:p w14:paraId="1C2FA6D6" w14:textId="77777777" w:rsidR="00D217C7" w:rsidRPr="001D2B71" w:rsidRDefault="00D217C7" w:rsidP="00D217C7">
      <w:pPr>
        <w:pBdr>
          <w:top w:val="nil"/>
          <w:left w:val="nil"/>
          <w:bottom w:val="nil"/>
          <w:right w:val="nil"/>
          <w:between w:val="nil"/>
        </w:pBdr>
        <w:jc w:val="both"/>
        <w:rPr>
          <w:rFonts w:ascii="Gill Sans MT" w:eastAsia="Gill Sans" w:hAnsi="Gill Sans MT" w:cs="Gill Sans"/>
          <w:color w:val="000000"/>
          <w:sz w:val="20"/>
          <w:szCs w:val="20"/>
        </w:rPr>
      </w:pPr>
      <w:r w:rsidRPr="001D2B71">
        <w:rPr>
          <w:rStyle w:val="FootnoteReference"/>
          <w:rFonts w:ascii="Gill Sans MT" w:hAnsi="Gill Sans MT"/>
          <w:sz w:val="20"/>
          <w:szCs w:val="20"/>
        </w:rPr>
        <w:footnoteRef/>
      </w:r>
      <w:r w:rsidRPr="001D2B71">
        <w:rPr>
          <w:rFonts w:ascii="Gill Sans MT" w:hAnsi="Gill Sans MT"/>
          <w:sz w:val="20"/>
          <w:szCs w:val="20"/>
        </w:rPr>
        <w:t xml:space="preserve"> </w:t>
      </w:r>
      <w:r w:rsidRPr="001D2B71">
        <w:rPr>
          <w:rFonts w:ascii="Gill Sans MT" w:eastAsia="Gill Sans" w:hAnsi="Gill Sans MT" w:cs="Gill Sans"/>
          <w:color w:val="000000"/>
          <w:sz w:val="20"/>
          <w:szCs w:val="20"/>
        </w:rPr>
        <w:t>Whether Trial, Application or Appeal.</w:t>
      </w:r>
    </w:p>
  </w:footnote>
  <w:footnote w:id="3">
    <w:p w14:paraId="6B20110B" w14:textId="77777777" w:rsidR="00D217C7" w:rsidRPr="001D2B71" w:rsidRDefault="00D217C7" w:rsidP="00D217C7">
      <w:pPr>
        <w:pStyle w:val="FootnoteText"/>
        <w:jc w:val="both"/>
        <w:rPr>
          <w:rFonts w:ascii="Gill Sans MT" w:hAnsi="Gill Sans MT"/>
        </w:rPr>
      </w:pPr>
      <w:r w:rsidRPr="001D2B71">
        <w:rPr>
          <w:rStyle w:val="FootnoteReference"/>
          <w:rFonts w:ascii="Gill Sans MT" w:hAnsi="Gill Sans MT"/>
        </w:rPr>
        <w:footnoteRef/>
      </w:r>
      <w:r w:rsidRPr="001D2B71">
        <w:rPr>
          <w:rFonts w:ascii="Gill Sans MT" w:hAnsi="Gill Sans MT"/>
        </w:rPr>
        <w:t xml:space="preserve"> </w:t>
      </w:r>
      <w:r w:rsidRPr="001D2B71">
        <w:rPr>
          <w:rFonts w:ascii="Gill Sans MT" w:eastAsia="Gill Sans" w:hAnsi="Gill Sans MT" w:cs="Gill Sans"/>
          <w:b/>
        </w:rPr>
        <w:t>Area of law</w:t>
      </w:r>
      <w:r w:rsidRPr="001D2B71">
        <w:rPr>
          <w:rFonts w:ascii="Gill Sans MT" w:eastAsia="Gill Sans" w:hAnsi="Gill Sans MT" w:cs="Gill Sans"/>
        </w:rPr>
        <w:t xml:space="preserve"> - topic – subtopic.</w:t>
      </w:r>
    </w:p>
  </w:footnote>
  <w:footnote w:id="4">
    <w:p w14:paraId="483AC0C4" w14:textId="77777777" w:rsidR="00D217C7" w:rsidRPr="001D2B71" w:rsidRDefault="00D217C7" w:rsidP="00D217C7">
      <w:pPr>
        <w:pBdr>
          <w:top w:val="nil"/>
          <w:left w:val="nil"/>
          <w:bottom w:val="nil"/>
          <w:right w:val="nil"/>
          <w:between w:val="nil"/>
        </w:pBdr>
        <w:jc w:val="both"/>
        <w:rPr>
          <w:rFonts w:ascii="Gill Sans MT" w:eastAsia="Gill Sans" w:hAnsi="Gill Sans MT" w:cs="Gill Sans"/>
          <w:color w:val="000000"/>
          <w:sz w:val="20"/>
          <w:szCs w:val="20"/>
        </w:rPr>
      </w:pPr>
      <w:r w:rsidRPr="001D2B71">
        <w:rPr>
          <w:rStyle w:val="FootnoteReference"/>
          <w:rFonts w:ascii="Gill Sans MT" w:eastAsia="Arial" w:hAnsi="Gill Sans MT"/>
          <w:sz w:val="20"/>
          <w:szCs w:val="20"/>
        </w:rPr>
        <w:footnoteRef/>
      </w:r>
      <w:r w:rsidRPr="001D2B71">
        <w:rPr>
          <w:rFonts w:ascii="Gill Sans MT" w:eastAsia="Gill Sans" w:hAnsi="Gill Sans MT" w:cs="Gill Sans"/>
          <w:color w:val="000000"/>
          <w:sz w:val="20"/>
          <w:szCs w:val="20"/>
        </w:rPr>
        <w:t xml:space="preserve"> Legislation/ International instrument title and section numbers.</w:t>
      </w:r>
    </w:p>
  </w:footnote>
  <w:footnote w:id="5">
    <w:p w14:paraId="1101FD17" w14:textId="77777777" w:rsidR="00D217C7" w:rsidRPr="00F87A06" w:rsidRDefault="00D217C7" w:rsidP="00D217C7">
      <w:pPr>
        <w:pBdr>
          <w:top w:val="nil"/>
          <w:left w:val="nil"/>
          <w:bottom w:val="nil"/>
          <w:right w:val="nil"/>
          <w:between w:val="nil"/>
        </w:pBdr>
        <w:jc w:val="both"/>
        <w:rPr>
          <w:rFonts w:ascii="Gill Sans MT" w:eastAsia="Gill Sans" w:hAnsi="Gill Sans MT" w:cs="Gill Sans"/>
          <w:color w:val="000000"/>
          <w:sz w:val="20"/>
          <w:szCs w:val="20"/>
          <w:lang w:eastAsia="en-ZA"/>
        </w:rPr>
      </w:pPr>
      <w:r w:rsidRPr="001D2B71">
        <w:rPr>
          <w:rStyle w:val="FootnoteReference"/>
          <w:rFonts w:ascii="Gill Sans MT" w:hAnsi="Gill Sans MT"/>
          <w:sz w:val="20"/>
          <w:szCs w:val="20"/>
        </w:rPr>
        <w:footnoteRef/>
      </w:r>
      <w:r w:rsidRPr="001D2B71">
        <w:rPr>
          <w:rFonts w:ascii="Gill Sans MT" w:hAnsi="Gill Sans MT"/>
          <w:sz w:val="20"/>
          <w:szCs w:val="20"/>
        </w:rPr>
        <w:t xml:space="preserve"> </w:t>
      </w:r>
      <w:r w:rsidRPr="001D2B71">
        <w:rPr>
          <w:rFonts w:ascii="Gill Sans MT" w:eastAsia="Gill Sans" w:hAnsi="Gill Sans MT" w:cs="Gill Sans"/>
          <w:color w:val="000000"/>
          <w:sz w:val="20"/>
          <w:szCs w:val="20"/>
          <w:lang w:eastAsia="en-ZA"/>
        </w:rPr>
        <w:t xml:space="preserve">List of cases considered to be </w:t>
      </w:r>
      <w:r w:rsidRPr="001D2B71">
        <w:rPr>
          <w:rFonts w:ascii="Gill Sans MT" w:eastAsia="Gill Sans" w:hAnsi="Gill Sans MT" w:cs="Gill Sans"/>
          <w:color w:val="000000"/>
          <w:sz w:val="20"/>
          <w:szCs w:val="20"/>
          <w:u w:val="single"/>
          <w:lang w:eastAsia="en-ZA"/>
        </w:rPr>
        <w:t>important precedent</w:t>
      </w:r>
      <w:r w:rsidRPr="001D2B71">
        <w:rPr>
          <w:rFonts w:ascii="Gill Sans MT" w:eastAsia="Gill Sans" w:hAnsi="Gill Sans MT" w:cs="Gill Sans"/>
          <w:color w:val="000000"/>
          <w:sz w:val="20"/>
          <w:szCs w:val="20"/>
          <w:lang w:eastAsia="en-ZA"/>
        </w:rPr>
        <w:t xml:space="preserve"> (case name and citation).</w:t>
      </w:r>
    </w:p>
  </w:footnote>
  <w:footnote w:id="6">
    <w:p w14:paraId="145725B0" w14:textId="77777777" w:rsidR="00D217C7" w:rsidRPr="001D2B71" w:rsidRDefault="00D217C7" w:rsidP="00D217C7">
      <w:pPr>
        <w:jc w:val="both"/>
        <w:rPr>
          <w:rFonts w:ascii="Gill Sans MT" w:eastAsia="Gill Sans" w:hAnsi="Gill Sans MT" w:cs="Gill Sans"/>
          <w:i/>
          <w:color w:val="000000"/>
          <w:sz w:val="20"/>
          <w:szCs w:val="20"/>
        </w:rPr>
      </w:pPr>
      <w:r w:rsidRPr="001D2B71">
        <w:rPr>
          <w:rStyle w:val="FootnoteReference"/>
          <w:rFonts w:ascii="Gill Sans MT" w:eastAsia="Arial" w:hAnsi="Gill Sans MT"/>
          <w:sz w:val="20"/>
          <w:szCs w:val="20"/>
        </w:rPr>
        <w:footnoteRef/>
      </w:r>
      <w:r w:rsidRPr="001D2B71">
        <w:rPr>
          <w:rFonts w:ascii="Gill Sans MT" w:eastAsia="Gill Sans" w:hAnsi="Gill Sans MT" w:cs="Gill Sans"/>
          <w:sz w:val="20"/>
          <w:szCs w:val="20"/>
        </w:rPr>
        <w:t xml:space="preserve"> Brief facts about the case (max 150 words).</w:t>
      </w:r>
    </w:p>
  </w:footnote>
  <w:footnote w:id="7">
    <w:p w14:paraId="6E4D8B9B" w14:textId="77777777" w:rsidR="00D217C7" w:rsidRPr="001D2B71" w:rsidRDefault="00D217C7" w:rsidP="00D217C7">
      <w:pPr>
        <w:pBdr>
          <w:top w:val="nil"/>
          <w:left w:val="nil"/>
          <w:bottom w:val="nil"/>
          <w:right w:val="nil"/>
          <w:between w:val="nil"/>
        </w:pBdr>
        <w:jc w:val="both"/>
        <w:rPr>
          <w:rFonts w:ascii="Gill Sans MT" w:eastAsia="Gill Sans" w:hAnsi="Gill Sans MT" w:cs="Gill Sans"/>
          <w:color w:val="000000"/>
          <w:sz w:val="20"/>
          <w:szCs w:val="20"/>
        </w:rPr>
      </w:pPr>
      <w:r w:rsidRPr="001D2B71">
        <w:rPr>
          <w:rStyle w:val="FootnoteReference"/>
          <w:rFonts w:ascii="Gill Sans MT" w:eastAsia="Arial" w:hAnsi="Gill Sans MT"/>
          <w:sz w:val="20"/>
          <w:szCs w:val="20"/>
        </w:rPr>
        <w:footnoteRef/>
      </w:r>
      <w:r w:rsidRPr="001D2B71">
        <w:rPr>
          <w:rFonts w:ascii="Gill Sans MT" w:eastAsia="Gill Sans" w:hAnsi="Gill Sans MT" w:cs="Gill Sans"/>
          <w:color w:val="000000"/>
          <w:sz w:val="20"/>
          <w:szCs w:val="20"/>
        </w:rPr>
        <w:t xml:space="preserve"> Summary of the determination of legal questions and/or grounds of appeal (between 150-250 words).</w:t>
      </w:r>
    </w:p>
  </w:footnote>
  <w:footnote w:id="8">
    <w:p w14:paraId="2FF19BC4" w14:textId="77777777" w:rsidR="00D217C7" w:rsidRPr="001D2B71" w:rsidRDefault="00D217C7" w:rsidP="00D217C7">
      <w:pPr>
        <w:jc w:val="both"/>
        <w:rPr>
          <w:rFonts w:ascii="Gill Sans MT" w:eastAsia="Gill Sans" w:hAnsi="Gill Sans MT" w:cs="Gill Sans"/>
          <w:sz w:val="20"/>
          <w:szCs w:val="20"/>
        </w:rPr>
      </w:pPr>
      <w:r w:rsidRPr="001D2B71">
        <w:rPr>
          <w:rStyle w:val="FootnoteReference"/>
          <w:rFonts w:ascii="Gill Sans MT" w:eastAsia="Arial" w:hAnsi="Gill Sans MT"/>
          <w:sz w:val="20"/>
          <w:szCs w:val="20"/>
        </w:rPr>
        <w:footnoteRef/>
      </w:r>
      <w:r w:rsidRPr="001D2B71">
        <w:rPr>
          <w:rFonts w:ascii="Gill Sans MT" w:eastAsia="Gill Sans" w:hAnsi="Gill Sans MT" w:cs="Gill Sans"/>
          <w:sz w:val="20"/>
          <w:szCs w:val="20"/>
        </w:rPr>
        <w:t xml:space="preserve"> </w:t>
      </w:r>
      <w:proofErr w:type="gramStart"/>
      <w:r w:rsidRPr="001D2B71">
        <w:rPr>
          <w:rFonts w:ascii="Gill Sans MT" w:eastAsia="Gill Sans" w:hAnsi="Gill Sans MT" w:cs="Gill Sans"/>
          <w:sz w:val="20"/>
          <w:szCs w:val="20"/>
        </w:rPr>
        <w:t>A brief summary</w:t>
      </w:r>
      <w:proofErr w:type="gramEnd"/>
      <w:r w:rsidRPr="001D2B71">
        <w:rPr>
          <w:rFonts w:ascii="Gill Sans MT" w:eastAsia="Gill Sans" w:hAnsi="Gill Sans MT" w:cs="Gill Sans"/>
          <w:sz w:val="20"/>
          <w:szCs w:val="20"/>
        </w:rPr>
        <w:t xml:space="preserve"> of the ruling/judgment of the court (max 100 words).</w:t>
      </w:r>
    </w:p>
  </w:footnote>
  <w:footnote w:id="9">
    <w:p w14:paraId="62F17BC1" w14:textId="77777777" w:rsidR="00D217C7" w:rsidRPr="001D2B71" w:rsidRDefault="00D217C7" w:rsidP="00D217C7">
      <w:pPr>
        <w:pBdr>
          <w:top w:val="nil"/>
          <w:left w:val="nil"/>
          <w:bottom w:val="nil"/>
          <w:right w:val="nil"/>
          <w:between w:val="nil"/>
        </w:pBdr>
        <w:jc w:val="both"/>
        <w:rPr>
          <w:rFonts w:ascii="Gill Sans MT" w:eastAsia="Gill Sans" w:hAnsi="Gill Sans MT" w:cs="Gill Sans"/>
          <w:color w:val="000000"/>
          <w:sz w:val="20"/>
          <w:szCs w:val="20"/>
        </w:rPr>
      </w:pPr>
      <w:r w:rsidRPr="001D2B71">
        <w:rPr>
          <w:rStyle w:val="FootnoteReference"/>
          <w:rFonts w:ascii="Gill Sans MT" w:eastAsia="Arial" w:hAnsi="Gill Sans MT"/>
          <w:sz w:val="20"/>
          <w:szCs w:val="20"/>
        </w:rPr>
        <w:footnoteRef/>
      </w:r>
      <w:r w:rsidRPr="001D2B71">
        <w:rPr>
          <w:rFonts w:ascii="Gill Sans MT" w:eastAsia="Gill Sans" w:hAnsi="Gill Sans MT" w:cs="Gill Sans"/>
          <w:color w:val="000000"/>
          <w:sz w:val="20"/>
          <w:szCs w:val="20"/>
        </w:rPr>
        <w:t xml:space="preserve"> A 1-2 sentence summary of the basis of the decision (i.e., which legal rules were relied on).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574E0" w14:textId="77777777" w:rsidR="00A0607C" w:rsidRPr="00A0607C" w:rsidRDefault="00000000" w:rsidP="00A0607C">
    <w:pPr>
      <w:pStyle w:val="Header"/>
      <w:jc w:val="right"/>
      <w:rPr>
        <w:sz w:val="18"/>
      </w:rPr>
    </w:pPr>
  </w:p>
  <w:p w14:paraId="6901A671" w14:textId="77777777" w:rsidR="00A0607C" w:rsidRDefault="00000000" w:rsidP="00A0607C">
    <w:pPr>
      <w:pStyle w:val="Header"/>
      <w:jc w:val="right"/>
      <w:rPr>
        <w:sz w:val="18"/>
      </w:rPr>
    </w:pPr>
  </w:p>
  <w:p w14:paraId="7F5B1A8F" w14:textId="77777777" w:rsidR="00A0607C" w:rsidRDefault="00000000" w:rsidP="00A0607C">
    <w:pPr>
      <w:pStyle w:val="Header"/>
      <w:jc w:val="right"/>
      <w:rPr>
        <w:sz w:val="18"/>
      </w:rPr>
    </w:pPr>
  </w:p>
  <w:p w14:paraId="6516D429" w14:textId="77777777" w:rsidR="00A0607C" w:rsidRPr="00A0607C" w:rsidRDefault="00000000" w:rsidP="00A0607C">
    <w:pPr>
      <w:pStyle w:val="Header"/>
      <w:jc w:val="right"/>
      <w:rPr>
        <w:sz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AA2E2D"/>
    <w:multiLevelType w:val="multilevel"/>
    <w:tmpl w:val="8480819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6561207"/>
    <w:multiLevelType w:val="hybridMultilevel"/>
    <w:tmpl w:val="36944DC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1707830787">
    <w:abstractNumId w:val="1"/>
  </w:num>
  <w:num w:numId="2" w16cid:durableId="15371625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6319"/>
    <w:rsid w:val="000214B8"/>
    <w:rsid w:val="000C6789"/>
    <w:rsid w:val="00151AF9"/>
    <w:rsid w:val="0018486F"/>
    <w:rsid w:val="001C776B"/>
    <w:rsid w:val="001D26E3"/>
    <w:rsid w:val="001E08F9"/>
    <w:rsid w:val="00212471"/>
    <w:rsid w:val="002133F4"/>
    <w:rsid w:val="00215906"/>
    <w:rsid w:val="00220664"/>
    <w:rsid w:val="00293714"/>
    <w:rsid w:val="002B57EB"/>
    <w:rsid w:val="002C3DCC"/>
    <w:rsid w:val="00332D98"/>
    <w:rsid w:val="003858AC"/>
    <w:rsid w:val="003D5BB0"/>
    <w:rsid w:val="003E22E2"/>
    <w:rsid w:val="003F14C3"/>
    <w:rsid w:val="004039FE"/>
    <w:rsid w:val="004447FB"/>
    <w:rsid w:val="0046312C"/>
    <w:rsid w:val="0048761D"/>
    <w:rsid w:val="004A2EDF"/>
    <w:rsid w:val="004E69B9"/>
    <w:rsid w:val="0051160D"/>
    <w:rsid w:val="0051308E"/>
    <w:rsid w:val="00546306"/>
    <w:rsid w:val="005479B3"/>
    <w:rsid w:val="00563CF2"/>
    <w:rsid w:val="00591D33"/>
    <w:rsid w:val="005B65FF"/>
    <w:rsid w:val="005B702D"/>
    <w:rsid w:val="005F0D04"/>
    <w:rsid w:val="006009E5"/>
    <w:rsid w:val="006711A1"/>
    <w:rsid w:val="00675EEC"/>
    <w:rsid w:val="00676163"/>
    <w:rsid w:val="00682FC0"/>
    <w:rsid w:val="006A7E08"/>
    <w:rsid w:val="006F29E3"/>
    <w:rsid w:val="00723EE7"/>
    <w:rsid w:val="0073385D"/>
    <w:rsid w:val="00781BAB"/>
    <w:rsid w:val="0078766F"/>
    <w:rsid w:val="007B043C"/>
    <w:rsid w:val="007B6505"/>
    <w:rsid w:val="007E5554"/>
    <w:rsid w:val="00827A30"/>
    <w:rsid w:val="00885A7A"/>
    <w:rsid w:val="009E7AC9"/>
    <w:rsid w:val="00A049CC"/>
    <w:rsid w:val="00A24DBC"/>
    <w:rsid w:val="00A36319"/>
    <w:rsid w:val="00AE31B1"/>
    <w:rsid w:val="00B0049E"/>
    <w:rsid w:val="00B31AFE"/>
    <w:rsid w:val="00B3422A"/>
    <w:rsid w:val="00B539E8"/>
    <w:rsid w:val="00BB3CB7"/>
    <w:rsid w:val="00BD7E88"/>
    <w:rsid w:val="00BF534E"/>
    <w:rsid w:val="00C050AD"/>
    <w:rsid w:val="00CD20DD"/>
    <w:rsid w:val="00D17B21"/>
    <w:rsid w:val="00D217C7"/>
    <w:rsid w:val="00D6734D"/>
    <w:rsid w:val="00D825FB"/>
    <w:rsid w:val="00D8522B"/>
    <w:rsid w:val="00DB0BE1"/>
    <w:rsid w:val="00DB3240"/>
    <w:rsid w:val="00E07176"/>
    <w:rsid w:val="00E55198"/>
    <w:rsid w:val="00E70116"/>
    <w:rsid w:val="00E81617"/>
    <w:rsid w:val="00E96F2B"/>
    <w:rsid w:val="00F10853"/>
    <w:rsid w:val="00F45C46"/>
    <w:rsid w:val="00F6035F"/>
    <w:rsid w:val="00F746E3"/>
    <w:rsid w:val="00F77951"/>
    <w:rsid w:val="00FB2545"/>
    <w:rsid w:val="00FC3EFB"/>
    <w:rsid w:val="00FC4C44"/>
  </w:rsids>
  <m:mathPr>
    <m:mathFont m:val="Cambria Math"/>
    <m:brkBin m:val="before"/>
    <m:brkBinSub m:val="--"/>
    <m:smallFrac m:val="0"/>
    <m:dispDef/>
    <m:lMargin m:val="0"/>
    <m:rMargin m:val="0"/>
    <m:defJc m:val="centerGroup"/>
    <m:wrapIndent m:val="1440"/>
    <m:intLim m:val="subSup"/>
    <m:naryLim m:val="undOvr"/>
  </m:mathPr>
  <w:themeFontLang w:val="en-Z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550F5F"/>
  <w15:chartTrackingRefBased/>
  <w15:docId w15:val="{0439FB94-C308-4293-A33C-EEF4563F09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17C7"/>
    <w:pPr>
      <w:spacing w:after="0" w:line="240" w:lineRule="auto"/>
    </w:pPr>
    <w:rPr>
      <w:rFonts w:ascii="Times New Roman" w:eastAsia="Times New Roman" w:hAnsi="Times New Roman" w:cs="Times New Roman"/>
      <w:sz w:val="24"/>
      <w:szCs w:val="24"/>
    </w:rPr>
  </w:style>
  <w:style w:type="paragraph" w:styleId="Heading2">
    <w:name w:val="heading 2"/>
    <w:basedOn w:val="Normal"/>
    <w:link w:val="Heading2Char"/>
    <w:uiPriority w:val="9"/>
    <w:qFormat/>
    <w:rsid w:val="00D217C7"/>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217C7"/>
    <w:rPr>
      <w:rFonts w:ascii="Times New Roman" w:eastAsia="Times New Roman" w:hAnsi="Times New Roman" w:cs="Times New Roman"/>
      <w:b/>
      <w:bCs/>
      <w:sz w:val="36"/>
      <w:szCs w:val="36"/>
    </w:rPr>
  </w:style>
  <w:style w:type="paragraph" w:styleId="Header">
    <w:name w:val="header"/>
    <w:basedOn w:val="Normal"/>
    <w:link w:val="HeaderChar"/>
    <w:uiPriority w:val="99"/>
    <w:unhideWhenUsed/>
    <w:rsid w:val="00D217C7"/>
    <w:pPr>
      <w:tabs>
        <w:tab w:val="center" w:pos="4513"/>
        <w:tab w:val="right" w:pos="9026"/>
      </w:tabs>
    </w:pPr>
  </w:style>
  <w:style w:type="character" w:customStyle="1" w:styleId="HeaderChar">
    <w:name w:val="Header Char"/>
    <w:basedOn w:val="DefaultParagraphFont"/>
    <w:link w:val="Header"/>
    <w:uiPriority w:val="99"/>
    <w:rsid w:val="00D217C7"/>
    <w:rPr>
      <w:rFonts w:ascii="Times New Roman" w:eastAsia="Times New Roman" w:hAnsi="Times New Roman" w:cs="Times New Roman"/>
      <w:sz w:val="24"/>
      <w:szCs w:val="24"/>
    </w:rPr>
  </w:style>
  <w:style w:type="paragraph" w:styleId="NormalWeb">
    <w:name w:val="Normal (Web)"/>
    <w:basedOn w:val="Normal"/>
    <w:uiPriority w:val="99"/>
    <w:unhideWhenUsed/>
    <w:rsid w:val="00D217C7"/>
    <w:pPr>
      <w:spacing w:before="100" w:beforeAutospacing="1" w:after="100" w:afterAutospacing="1"/>
    </w:pPr>
  </w:style>
  <w:style w:type="paragraph" w:styleId="FootnoteText">
    <w:name w:val="footnote text"/>
    <w:basedOn w:val="Normal"/>
    <w:link w:val="FootnoteTextChar"/>
    <w:uiPriority w:val="99"/>
    <w:semiHidden/>
    <w:unhideWhenUsed/>
    <w:rsid w:val="00D217C7"/>
    <w:rPr>
      <w:sz w:val="20"/>
      <w:szCs w:val="20"/>
    </w:rPr>
  </w:style>
  <w:style w:type="character" w:customStyle="1" w:styleId="FootnoteTextChar">
    <w:name w:val="Footnote Text Char"/>
    <w:basedOn w:val="DefaultParagraphFont"/>
    <w:link w:val="FootnoteText"/>
    <w:uiPriority w:val="99"/>
    <w:semiHidden/>
    <w:rsid w:val="00D217C7"/>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D217C7"/>
    <w:rPr>
      <w:vertAlign w:val="superscript"/>
    </w:rPr>
  </w:style>
  <w:style w:type="paragraph" w:styleId="ListParagraph">
    <w:name w:val="List Paragraph"/>
    <w:basedOn w:val="Normal"/>
    <w:uiPriority w:val="34"/>
    <w:qFormat/>
    <w:rsid w:val="00D217C7"/>
    <w:pPr>
      <w:ind w:left="720"/>
      <w:contextualSpacing/>
    </w:pPr>
  </w:style>
  <w:style w:type="character" w:styleId="Hyperlink">
    <w:name w:val="Hyperlink"/>
    <w:basedOn w:val="DefaultParagraphFont"/>
    <w:uiPriority w:val="99"/>
    <w:unhideWhenUsed/>
    <w:rsid w:val="001E08F9"/>
    <w:rPr>
      <w:color w:val="0563C1" w:themeColor="hyperlink"/>
      <w:u w:val="single"/>
    </w:rPr>
  </w:style>
  <w:style w:type="character" w:styleId="UnresolvedMention">
    <w:name w:val="Unresolved Mention"/>
    <w:basedOn w:val="DefaultParagraphFont"/>
    <w:uiPriority w:val="99"/>
    <w:semiHidden/>
    <w:unhideWhenUsed/>
    <w:rsid w:val="001E08F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2813310">
      <w:bodyDiv w:val="1"/>
      <w:marLeft w:val="0"/>
      <w:marRight w:val="0"/>
      <w:marTop w:val="0"/>
      <w:marBottom w:val="0"/>
      <w:divBdr>
        <w:top w:val="none" w:sz="0" w:space="0" w:color="auto"/>
        <w:left w:val="none" w:sz="0" w:space="0" w:color="auto"/>
        <w:bottom w:val="none" w:sz="0" w:space="0" w:color="auto"/>
        <w:right w:val="none" w:sz="0" w:space="0" w:color="auto"/>
      </w:divBdr>
      <w:divsChild>
        <w:div w:id="148714854">
          <w:marLeft w:val="0"/>
          <w:marRight w:val="0"/>
          <w:marTop w:val="0"/>
          <w:marBottom w:val="0"/>
          <w:divBdr>
            <w:top w:val="single" w:sz="2" w:space="0" w:color="D9D9E3"/>
            <w:left w:val="single" w:sz="2" w:space="0" w:color="D9D9E3"/>
            <w:bottom w:val="single" w:sz="2" w:space="0" w:color="D9D9E3"/>
            <w:right w:val="single" w:sz="2" w:space="0" w:color="D9D9E3"/>
          </w:divBdr>
          <w:divsChild>
            <w:div w:id="135220997">
              <w:marLeft w:val="0"/>
              <w:marRight w:val="0"/>
              <w:marTop w:val="0"/>
              <w:marBottom w:val="0"/>
              <w:divBdr>
                <w:top w:val="single" w:sz="2" w:space="0" w:color="D9D9E3"/>
                <w:left w:val="single" w:sz="2" w:space="0" w:color="D9D9E3"/>
                <w:bottom w:val="single" w:sz="2" w:space="0" w:color="D9D9E3"/>
                <w:right w:val="single" w:sz="2" w:space="0" w:color="D9D9E3"/>
              </w:divBdr>
              <w:divsChild>
                <w:div w:id="466242255">
                  <w:marLeft w:val="0"/>
                  <w:marRight w:val="0"/>
                  <w:marTop w:val="0"/>
                  <w:marBottom w:val="0"/>
                  <w:divBdr>
                    <w:top w:val="single" w:sz="2" w:space="0" w:color="D9D9E3"/>
                    <w:left w:val="single" w:sz="2" w:space="0" w:color="D9D9E3"/>
                    <w:bottom w:val="single" w:sz="2" w:space="0" w:color="D9D9E3"/>
                    <w:right w:val="single" w:sz="2" w:space="0" w:color="D9D9E3"/>
                  </w:divBdr>
                  <w:divsChild>
                    <w:div w:id="1693923019">
                      <w:marLeft w:val="0"/>
                      <w:marRight w:val="0"/>
                      <w:marTop w:val="0"/>
                      <w:marBottom w:val="0"/>
                      <w:divBdr>
                        <w:top w:val="single" w:sz="2" w:space="0" w:color="D9D9E3"/>
                        <w:left w:val="single" w:sz="2" w:space="0" w:color="D9D9E3"/>
                        <w:bottom w:val="single" w:sz="2" w:space="0" w:color="D9D9E3"/>
                        <w:right w:val="single" w:sz="2" w:space="0" w:color="D9D9E3"/>
                      </w:divBdr>
                      <w:divsChild>
                        <w:div w:id="102383223">
                          <w:marLeft w:val="0"/>
                          <w:marRight w:val="0"/>
                          <w:marTop w:val="0"/>
                          <w:marBottom w:val="0"/>
                          <w:divBdr>
                            <w:top w:val="single" w:sz="2" w:space="0" w:color="auto"/>
                            <w:left w:val="single" w:sz="2" w:space="0" w:color="auto"/>
                            <w:bottom w:val="single" w:sz="6" w:space="0" w:color="auto"/>
                            <w:right w:val="single" w:sz="2" w:space="0" w:color="auto"/>
                          </w:divBdr>
                          <w:divsChild>
                            <w:div w:id="66223440">
                              <w:marLeft w:val="0"/>
                              <w:marRight w:val="0"/>
                              <w:marTop w:val="100"/>
                              <w:marBottom w:val="100"/>
                              <w:divBdr>
                                <w:top w:val="single" w:sz="2" w:space="0" w:color="D9D9E3"/>
                                <w:left w:val="single" w:sz="2" w:space="0" w:color="D9D9E3"/>
                                <w:bottom w:val="single" w:sz="2" w:space="0" w:color="D9D9E3"/>
                                <w:right w:val="single" w:sz="2" w:space="0" w:color="D9D9E3"/>
                              </w:divBdr>
                              <w:divsChild>
                                <w:div w:id="2145585957">
                                  <w:marLeft w:val="0"/>
                                  <w:marRight w:val="0"/>
                                  <w:marTop w:val="0"/>
                                  <w:marBottom w:val="0"/>
                                  <w:divBdr>
                                    <w:top w:val="single" w:sz="2" w:space="0" w:color="D9D9E3"/>
                                    <w:left w:val="single" w:sz="2" w:space="0" w:color="D9D9E3"/>
                                    <w:bottom w:val="single" w:sz="2" w:space="0" w:color="D9D9E3"/>
                                    <w:right w:val="single" w:sz="2" w:space="0" w:color="D9D9E3"/>
                                  </w:divBdr>
                                  <w:divsChild>
                                    <w:div w:id="807892320">
                                      <w:marLeft w:val="0"/>
                                      <w:marRight w:val="0"/>
                                      <w:marTop w:val="0"/>
                                      <w:marBottom w:val="0"/>
                                      <w:divBdr>
                                        <w:top w:val="single" w:sz="2" w:space="0" w:color="D9D9E3"/>
                                        <w:left w:val="single" w:sz="2" w:space="0" w:color="D9D9E3"/>
                                        <w:bottom w:val="single" w:sz="2" w:space="0" w:color="D9D9E3"/>
                                        <w:right w:val="single" w:sz="2" w:space="0" w:color="D9D9E3"/>
                                      </w:divBdr>
                                      <w:divsChild>
                                        <w:div w:id="1586067389">
                                          <w:marLeft w:val="0"/>
                                          <w:marRight w:val="0"/>
                                          <w:marTop w:val="0"/>
                                          <w:marBottom w:val="0"/>
                                          <w:divBdr>
                                            <w:top w:val="single" w:sz="2" w:space="0" w:color="D9D9E3"/>
                                            <w:left w:val="single" w:sz="2" w:space="0" w:color="D9D9E3"/>
                                            <w:bottom w:val="single" w:sz="2" w:space="0" w:color="D9D9E3"/>
                                            <w:right w:val="single" w:sz="2" w:space="0" w:color="D9D9E3"/>
                                          </w:divBdr>
                                          <w:divsChild>
                                            <w:div w:id="20260539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038189149">
          <w:marLeft w:val="0"/>
          <w:marRight w:val="0"/>
          <w:marTop w:val="0"/>
          <w:marBottom w:val="0"/>
          <w:divBdr>
            <w:top w:val="single" w:sz="6" w:space="0" w:color="auto"/>
            <w:left w:val="single" w:sz="2" w:space="0" w:color="auto"/>
            <w:bottom w:val="single" w:sz="2" w:space="0" w:color="auto"/>
            <w:right w:val="single" w:sz="2" w:space="0" w:color="auto"/>
          </w:divBdr>
        </w:div>
      </w:divsChild>
    </w:div>
    <w:div w:id="1113594350">
      <w:bodyDiv w:val="1"/>
      <w:marLeft w:val="0"/>
      <w:marRight w:val="0"/>
      <w:marTop w:val="0"/>
      <w:marBottom w:val="0"/>
      <w:divBdr>
        <w:top w:val="none" w:sz="0" w:space="0" w:color="auto"/>
        <w:left w:val="none" w:sz="0" w:space="0" w:color="auto"/>
        <w:bottom w:val="none" w:sz="0" w:space="0" w:color="auto"/>
        <w:right w:val="none" w:sz="0" w:space="0" w:color="auto"/>
      </w:divBdr>
    </w:div>
    <w:div w:id="1610309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saflii.org/za/cases/ZACC/2002/15.pdf" TargetMode="Externa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450015769AB4F4CBF21961D63C664AE" ma:contentTypeVersion="11" ma:contentTypeDescription="Create a new document." ma:contentTypeScope="" ma:versionID="d314b13e939ebc64b843cbaa1d613782">
  <xsd:schema xmlns:xsd="http://www.w3.org/2001/XMLSchema" xmlns:xs="http://www.w3.org/2001/XMLSchema" xmlns:p="http://schemas.microsoft.com/office/2006/metadata/properties" xmlns:ns3="099e02f8-d900-49ca-abc9-aa93a541d2ec" xmlns:ns4="2bce0b72-c95b-4cc1-9035-2e7bfefeeff5" targetNamespace="http://schemas.microsoft.com/office/2006/metadata/properties" ma:root="true" ma:fieldsID="11d84ca0e33f2c1e30af43fcfc0e6a33" ns3:_="" ns4:_="">
    <xsd:import namespace="099e02f8-d900-49ca-abc9-aa93a541d2ec"/>
    <xsd:import namespace="2bce0b72-c95b-4cc1-9035-2e7bfefeeff5"/>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ServiceAutoTags" minOccurs="0"/>
                <xsd:element ref="ns3:MediaLengthInSecond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99e02f8-d900-49ca-abc9-aa93a541d2e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_activity" ma:index="18"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bce0b72-c95b-4cc1-9035-2e7bfefeeff5"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099e02f8-d900-49ca-abc9-aa93a541d2ec" xsi:nil="true"/>
  </documentManagement>
</p:properties>
</file>

<file path=customXml/itemProps1.xml><?xml version="1.0" encoding="utf-8"?>
<ds:datastoreItem xmlns:ds="http://schemas.openxmlformats.org/officeDocument/2006/customXml" ds:itemID="{3C93CC4B-6DAE-451A-ACF5-93F9ECA18C2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99e02f8-d900-49ca-abc9-aa93a541d2ec"/>
    <ds:schemaRef ds:uri="2bce0b72-c95b-4cc1-9035-2e7bfefeeff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AC56E5D-FD31-4FF1-8546-B6AD6AAC4A7C}">
  <ds:schemaRefs>
    <ds:schemaRef ds:uri="http://schemas.microsoft.com/sharepoint/v3/contenttype/forms"/>
  </ds:schemaRefs>
</ds:datastoreItem>
</file>

<file path=customXml/itemProps3.xml><?xml version="1.0" encoding="utf-8"?>
<ds:datastoreItem xmlns:ds="http://schemas.openxmlformats.org/officeDocument/2006/customXml" ds:itemID="{F2BDFABF-C96D-4345-919E-CD520B24D516}">
  <ds:schemaRefs>
    <ds:schemaRef ds:uri="http://schemas.microsoft.com/office/2006/metadata/properties"/>
    <ds:schemaRef ds:uri="http://schemas.microsoft.com/office/infopath/2007/PartnerControls"/>
    <ds:schemaRef ds:uri="099e02f8-d900-49ca-abc9-aa93a541d2ec"/>
  </ds:schemaRefs>
</ds:datastoreItem>
</file>

<file path=docProps/app.xml><?xml version="1.0" encoding="utf-8"?>
<Properties xmlns="http://schemas.openxmlformats.org/officeDocument/2006/extended-properties" xmlns:vt="http://schemas.openxmlformats.org/officeDocument/2006/docPropsVTypes">
  <Template>Normal</Template>
  <TotalTime>136</TotalTime>
  <Pages>3</Pages>
  <Words>683</Words>
  <Characters>3897</Characters>
  <Application>Microsoft Office Word</Application>
  <DocSecurity>0</DocSecurity>
  <Lines>32</Lines>
  <Paragraphs>9</Paragraphs>
  <ScaleCrop>false</ScaleCrop>
  <Company/>
  <LinksUpToDate>false</LinksUpToDate>
  <CharactersWithSpaces>4571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Suzanne Nyehita</dc:creator>
  <cp:keywords/>
  <dc:description/>
  <cp:lastModifiedBy>Inge Papp</cp:lastModifiedBy>
  <cp:revision>19</cp:revision>
  <dcterms:created xsi:type="dcterms:W3CDTF">2023-06-15T11:59:00Z</dcterms:created>
  <dcterms:modified xsi:type="dcterms:W3CDTF">2023-06-22T09:00:00Z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0x0101005450015769AB4F4CBF21961D63C664AE</vt:lpwstr>
  </property>
</Properties>
</file>