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6378"/>
      </w:tblGrid>
      <w:tr w:rsidR="00D217C7" w:rsidRPr="00942068" w14:paraId="422D7F50" w14:textId="77777777" w:rsidTr="00EA4B8C">
        <w:tc>
          <w:tcPr>
            <w:tcW w:w="9067" w:type="dxa"/>
            <w:gridSpan w:val="2"/>
          </w:tcPr>
          <w:p w14:paraId="417F0D49" w14:textId="18A88B7F" w:rsidR="00D217C7" w:rsidRPr="007A0CF1" w:rsidRDefault="00000000" w:rsidP="00711EE3">
            <w:pPr>
              <w:pStyle w:val="Heading2"/>
              <w:shd w:val="clear" w:color="auto" w:fill="FFFFFF"/>
              <w:spacing w:before="0" w:beforeAutospacing="0" w:after="0" w:afterAutospacing="0" w:line="288" w:lineRule="atLeast"/>
              <w:jc w:val="center"/>
              <w:rPr>
                <w:rFonts w:ascii="Gill Sans MT" w:hAnsi="Gill Sans MT" w:cstheme="minorHAnsi"/>
                <w:i/>
                <w:iCs/>
                <w:sz w:val="22"/>
                <w:szCs w:val="22"/>
              </w:rPr>
            </w:pPr>
            <w:hyperlink r:id="rId7" w:history="1">
              <w:r w:rsidR="00EA4B8C" w:rsidRPr="007A0CF1">
                <w:rPr>
                  <w:rStyle w:val="Hyperlink"/>
                  <w:rFonts w:ascii="Gill Sans MT" w:hAnsi="Gill Sans MT" w:cstheme="minorHAnsi"/>
                  <w:i/>
                  <w:iCs/>
                  <w:color w:val="auto"/>
                  <w:sz w:val="22"/>
                  <w:szCs w:val="22"/>
                  <w:u w:val="none"/>
                </w:rPr>
                <w:t xml:space="preserve">Frank Dominic Mjuni vs Republic (Criminal Appeal No. 12 of 2022) </w:t>
              </w:r>
            </w:hyperlink>
          </w:p>
        </w:tc>
      </w:tr>
      <w:tr w:rsidR="00D217C7" w:rsidRPr="00942068" w14:paraId="126BC173" w14:textId="77777777" w:rsidTr="00EA4B8C">
        <w:tc>
          <w:tcPr>
            <w:tcW w:w="2689" w:type="dxa"/>
          </w:tcPr>
          <w:p w14:paraId="6679F913" w14:textId="77777777" w:rsidR="00D217C7" w:rsidRPr="00942068" w:rsidRDefault="00D217C7" w:rsidP="00711EE3">
            <w:pPr>
              <w:jc w:val="both"/>
              <w:rPr>
                <w:rFonts w:ascii="Gill Sans MT" w:hAnsi="Gill Sans MT" w:cstheme="minorHAnsi"/>
                <w:color w:val="000000" w:themeColor="text1"/>
                <w:sz w:val="22"/>
                <w:szCs w:val="22"/>
              </w:rPr>
            </w:pPr>
            <w:r w:rsidRPr="001D2B71">
              <w:rPr>
                <w:rFonts w:ascii="Gill Sans MT" w:hAnsi="Gill Sans MT" w:cs="Arial"/>
                <w:sz w:val="22"/>
                <w:szCs w:val="22"/>
              </w:rPr>
              <w:t>Project code</w:t>
            </w:r>
            <w:r w:rsidRPr="001D2B71">
              <w:rPr>
                <w:rStyle w:val="FootnoteReference"/>
                <w:rFonts w:ascii="Gill Sans MT" w:hAnsi="Gill Sans MT" w:cs="Arial"/>
                <w:sz w:val="22"/>
                <w:szCs w:val="22"/>
              </w:rPr>
              <w:footnoteReference w:id="1"/>
            </w:r>
          </w:p>
        </w:tc>
        <w:tc>
          <w:tcPr>
            <w:tcW w:w="6378" w:type="dxa"/>
          </w:tcPr>
          <w:p w14:paraId="70554603" w14:textId="0138BA38" w:rsidR="00D217C7" w:rsidRPr="00942068" w:rsidRDefault="00C47850" w:rsidP="00711EE3">
            <w:pPr>
              <w:jc w:val="both"/>
              <w:rPr>
                <w:rFonts w:ascii="Gill Sans MT" w:hAnsi="Gill Sans MT" w:cstheme="minorHAnsi"/>
                <w:color w:val="000000" w:themeColor="text1"/>
                <w:sz w:val="22"/>
                <w:szCs w:val="22"/>
              </w:rPr>
            </w:pPr>
            <w:r>
              <w:rPr>
                <w:rFonts w:ascii="Gill Sans MT" w:hAnsi="Gill Sans MT" w:cstheme="minorHAnsi"/>
                <w:color w:val="000000" w:themeColor="text1"/>
                <w:sz w:val="22"/>
                <w:szCs w:val="22"/>
              </w:rPr>
              <w:t>TAN</w:t>
            </w:r>
          </w:p>
        </w:tc>
      </w:tr>
      <w:tr w:rsidR="00D217C7" w:rsidRPr="00942068" w14:paraId="11F7E7AC" w14:textId="77777777" w:rsidTr="00EA4B8C">
        <w:tc>
          <w:tcPr>
            <w:tcW w:w="2689" w:type="dxa"/>
          </w:tcPr>
          <w:p w14:paraId="4AE92308" w14:textId="77777777" w:rsidR="00D217C7" w:rsidRPr="00942068" w:rsidRDefault="00D217C7" w:rsidP="00711EE3">
            <w:pPr>
              <w:jc w:val="both"/>
              <w:rPr>
                <w:rFonts w:ascii="Gill Sans MT" w:hAnsi="Gill Sans MT" w:cstheme="minorHAnsi"/>
                <w:color w:val="000000" w:themeColor="text1"/>
                <w:sz w:val="22"/>
                <w:szCs w:val="22"/>
              </w:rPr>
            </w:pPr>
            <w:r w:rsidRPr="00942068">
              <w:rPr>
                <w:rFonts w:ascii="Gill Sans MT" w:hAnsi="Gill Sans MT" w:cstheme="minorHAnsi"/>
                <w:color w:val="000000" w:themeColor="text1"/>
                <w:sz w:val="22"/>
                <w:szCs w:val="22"/>
              </w:rPr>
              <w:t>URL</w:t>
            </w:r>
          </w:p>
        </w:tc>
        <w:tc>
          <w:tcPr>
            <w:tcW w:w="6378" w:type="dxa"/>
          </w:tcPr>
          <w:p w14:paraId="6CF1C3F8" w14:textId="5D6D421C" w:rsidR="00D217C7" w:rsidRPr="00942068" w:rsidRDefault="00000000" w:rsidP="00711EE3">
            <w:pPr>
              <w:jc w:val="both"/>
              <w:rPr>
                <w:rFonts w:ascii="Gill Sans MT" w:hAnsi="Gill Sans MT" w:cstheme="minorHAnsi"/>
                <w:color w:val="000000" w:themeColor="text1"/>
                <w:sz w:val="22"/>
                <w:szCs w:val="22"/>
              </w:rPr>
            </w:pPr>
            <w:hyperlink r:id="rId8" w:history="1">
              <w:r w:rsidR="00EA4B8C" w:rsidRPr="00EA4B8C">
                <w:rPr>
                  <w:rStyle w:val="Hyperlink"/>
                  <w:rFonts w:ascii="Gill Sans MT" w:hAnsi="Gill Sans MT" w:cstheme="minorHAnsi"/>
                  <w:sz w:val="22"/>
                  <w:szCs w:val="22"/>
                </w:rPr>
                <w:t>https://tanzlii.org/akn/tz/judgment/tzhc/2022/15786/eng@2022-10-21</w:t>
              </w:r>
            </w:hyperlink>
          </w:p>
        </w:tc>
      </w:tr>
      <w:tr w:rsidR="00D217C7" w:rsidRPr="00942068" w14:paraId="18FFE6A2" w14:textId="77777777" w:rsidTr="00EA4B8C">
        <w:tc>
          <w:tcPr>
            <w:tcW w:w="2689" w:type="dxa"/>
          </w:tcPr>
          <w:p w14:paraId="6E7F7E95" w14:textId="77777777" w:rsidR="00D217C7" w:rsidRPr="00942068" w:rsidRDefault="00D217C7" w:rsidP="00711EE3">
            <w:pPr>
              <w:jc w:val="both"/>
              <w:rPr>
                <w:rFonts w:ascii="Gill Sans MT" w:hAnsi="Gill Sans MT" w:cstheme="minorHAnsi"/>
                <w:color w:val="000000" w:themeColor="text1"/>
                <w:sz w:val="22"/>
                <w:szCs w:val="22"/>
              </w:rPr>
            </w:pPr>
            <w:r w:rsidRPr="00942068">
              <w:rPr>
                <w:rFonts w:ascii="Gill Sans MT" w:hAnsi="Gill Sans MT" w:cstheme="minorHAnsi"/>
                <w:color w:val="000000" w:themeColor="text1"/>
                <w:sz w:val="22"/>
                <w:szCs w:val="22"/>
              </w:rPr>
              <w:t>Citations</w:t>
            </w:r>
          </w:p>
        </w:tc>
        <w:tc>
          <w:tcPr>
            <w:tcW w:w="6378" w:type="dxa"/>
          </w:tcPr>
          <w:p w14:paraId="2C2816D0" w14:textId="17A2D50C" w:rsidR="00D217C7" w:rsidRPr="00942068" w:rsidRDefault="00EA4B8C" w:rsidP="00711EE3">
            <w:pPr>
              <w:pStyle w:val="Heading2"/>
              <w:shd w:val="clear" w:color="auto" w:fill="FFFFFF"/>
              <w:spacing w:before="0" w:beforeAutospacing="0" w:after="0" w:afterAutospacing="0" w:line="288" w:lineRule="atLeast"/>
              <w:jc w:val="both"/>
              <w:rPr>
                <w:rFonts w:ascii="Gill Sans MT" w:hAnsi="Gill Sans MT" w:cstheme="minorHAnsi"/>
                <w:b w:val="0"/>
                <w:bCs w:val="0"/>
                <w:color w:val="000000" w:themeColor="text1"/>
                <w:sz w:val="22"/>
                <w:szCs w:val="22"/>
              </w:rPr>
            </w:pPr>
            <w:r w:rsidRPr="00EA4B8C">
              <w:rPr>
                <w:rFonts w:ascii="Gill Sans MT" w:hAnsi="Gill Sans MT" w:cstheme="minorHAnsi"/>
                <w:b w:val="0"/>
                <w:bCs w:val="0"/>
                <w:color w:val="000000" w:themeColor="text1"/>
                <w:sz w:val="22"/>
                <w:szCs w:val="22"/>
              </w:rPr>
              <w:t>[2022] TZHC 15786</w:t>
            </w:r>
          </w:p>
        </w:tc>
      </w:tr>
      <w:tr w:rsidR="00D217C7" w:rsidRPr="00942068" w14:paraId="054276C1" w14:textId="77777777" w:rsidTr="00EA4B8C">
        <w:tc>
          <w:tcPr>
            <w:tcW w:w="2689" w:type="dxa"/>
          </w:tcPr>
          <w:p w14:paraId="2C3F89C1" w14:textId="77777777" w:rsidR="00D217C7" w:rsidRPr="00942068" w:rsidRDefault="00D217C7" w:rsidP="00711EE3">
            <w:pPr>
              <w:jc w:val="both"/>
              <w:rPr>
                <w:rFonts w:ascii="Gill Sans MT" w:hAnsi="Gill Sans MT" w:cstheme="minorHAnsi"/>
                <w:color w:val="000000" w:themeColor="text1"/>
                <w:sz w:val="22"/>
                <w:szCs w:val="22"/>
              </w:rPr>
            </w:pPr>
            <w:r w:rsidRPr="00942068">
              <w:rPr>
                <w:rFonts w:ascii="Gill Sans MT" w:hAnsi="Gill Sans MT" w:cstheme="minorHAnsi"/>
                <w:color w:val="000000" w:themeColor="text1"/>
                <w:sz w:val="22"/>
                <w:szCs w:val="22"/>
              </w:rPr>
              <w:t>Country</w:t>
            </w:r>
          </w:p>
        </w:tc>
        <w:tc>
          <w:tcPr>
            <w:tcW w:w="6378" w:type="dxa"/>
          </w:tcPr>
          <w:p w14:paraId="1C946DBC" w14:textId="065D52BB" w:rsidR="00D217C7" w:rsidRPr="00942068" w:rsidRDefault="00EA4B8C" w:rsidP="00711EE3">
            <w:pPr>
              <w:jc w:val="both"/>
              <w:rPr>
                <w:rFonts w:ascii="Gill Sans MT" w:hAnsi="Gill Sans MT" w:cstheme="minorHAnsi"/>
                <w:color w:val="000000" w:themeColor="text1"/>
                <w:sz w:val="22"/>
                <w:szCs w:val="22"/>
              </w:rPr>
            </w:pPr>
            <w:r>
              <w:rPr>
                <w:rFonts w:ascii="Gill Sans MT" w:hAnsi="Gill Sans MT" w:cstheme="minorHAnsi"/>
                <w:color w:val="000000" w:themeColor="text1"/>
                <w:sz w:val="22"/>
                <w:szCs w:val="22"/>
              </w:rPr>
              <w:t xml:space="preserve">The United Republic of Tanzania </w:t>
            </w:r>
          </w:p>
        </w:tc>
      </w:tr>
      <w:tr w:rsidR="00D217C7" w:rsidRPr="00942068" w14:paraId="58F9D1FE" w14:textId="77777777" w:rsidTr="00EA4B8C">
        <w:trPr>
          <w:trHeight w:val="339"/>
        </w:trPr>
        <w:tc>
          <w:tcPr>
            <w:tcW w:w="2689" w:type="dxa"/>
          </w:tcPr>
          <w:p w14:paraId="61D27917" w14:textId="77777777" w:rsidR="00D217C7" w:rsidRPr="00942068" w:rsidRDefault="00D217C7" w:rsidP="00711EE3">
            <w:pPr>
              <w:jc w:val="both"/>
              <w:rPr>
                <w:rFonts w:ascii="Gill Sans MT" w:hAnsi="Gill Sans MT" w:cstheme="minorHAnsi"/>
                <w:color w:val="000000" w:themeColor="text1"/>
                <w:sz w:val="22"/>
                <w:szCs w:val="22"/>
              </w:rPr>
            </w:pPr>
            <w:r w:rsidRPr="00942068">
              <w:rPr>
                <w:rFonts w:ascii="Gill Sans MT" w:hAnsi="Gill Sans MT" w:cstheme="minorHAnsi"/>
                <w:color w:val="000000" w:themeColor="text1"/>
                <w:sz w:val="22"/>
                <w:szCs w:val="22"/>
              </w:rPr>
              <w:t>Date of judgment</w:t>
            </w:r>
          </w:p>
        </w:tc>
        <w:tc>
          <w:tcPr>
            <w:tcW w:w="6378" w:type="dxa"/>
          </w:tcPr>
          <w:p w14:paraId="627C6349" w14:textId="3B85AA01" w:rsidR="00D217C7" w:rsidRPr="00942068" w:rsidRDefault="00EA4B8C" w:rsidP="00711EE3">
            <w:pPr>
              <w:jc w:val="both"/>
              <w:rPr>
                <w:rFonts w:ascii="Gill Sans MT" w:hAnsi="Gill Sans MT" w:cstheme="minorHAnsi"/>
                <w:color w:val="000000" w:themeColor="text1"/>
                <w:sz w:val="22"/>
                <w:szCs w:val="22"/>
              </w:rPr>
            </w:pPr>
            <w:r>
              <w:rPr>
                <w:rFonts w:ascii="Gill Sans MT" w:hAnsi="Gill Sans MT" w:cstheme="minorHAnsi"/>
                <w:color w:val="000000" w:themeColor="text1"/>
                <w:sz w:val="22"/>
                <w:szCs w:val="22"/>
              </w:rPr>
              <w:t>21 October 2022</w:t>
            </w:r>
          </w:p>
        </w:tc>
      </w:tr>
      <w:tr w:rsidR="00D217C7" w:rsidRPr="00942068" w14:paraId="3D1F6F6A" w14:textId="77777777" w:rsidTr="00EA4B8C">
        <w:tc>
          <w:tcPr>
            <w:tcW w:w="2689" w:type="dxa"/>
          </w:tcPr>
          <w:p w14:paraId="02F9DB63" w14:textId="77777777" w:rsidR="00D217C7" w:rsidRPr="00942068" w:rsidRDefault="00D217C7" w:rsidP="00711EE3">
            <w:pPr>
              <w:jc w:val="both"/>
              <w:rPr>
                <w:rFonts w:ascii="Gill Sans MT" w:hAnsi="Gill Sans MT" w:cstheme="minorHAnsi"/>
                <w:color w:val="000000" w:themeColor="text1"/>
                <w:sz w:val="22"/>
                <w:szCs w:val="22"/>
              </w:rPr>
            </w:pPr>
            <w:r w:rsidRPr="00942068">
              <w:rPr>
                <w:rFonts w:ascii="Gill Sans MT" w:hAnsi="Gill Sans MT" w:cstheme="minorHAnsi"/>
                <w:color w:val="000000" w:themeColor="text1"/>
                <w:sz w:val="22"/>
                <w:szCs w:val="22"/>
              </w:rPr>
              <w:t>Court</w:t>
            </w:r>
          </w:p>
        </w:tc>
        <w:tc>
          <w:tcPr>
            <w:tcW w:w="6378" w:type="dxa"/>
          </w:tcPr>
          <w:p w14:paraId="46621DD6" w14:textId="22AD80A5" w:rsidR="00D217C7" w:rsidRPr="007D521A" w:rsidRDefault="00EA4B8C" w:rsidP="00711EE3">
            <w:pPr>
              <w:jc w:val="both"/>
              <w:rPr>
                <w:rFonts w:ascii="Gill Sans MT" w:hAnsi="Gill Sans MT" w:cstheme="minorHAnsi"/>
                <w:b/>
                <w:bCs/>
                <w:color w:val="000000" w:themeColor="text1"/>
                <w:sz w:val="22"/>
                <w:szCs w:val="22"/>
              </w:rPr>
            </w:pPr>
            <w:r w:rsidRPr="007D521A">
              <w:rPr>
                <w:rFonts w:ascii="Gill Sans MT" w:hAnsi="Gill Sans MT"/>
                <w:sz w:val="22"/>
                <w:szCs w:val="22"/>
              </w:rPr>
              <w:t xml:space="preserve">High Court </w:t>
            </w:r>
          </w:p>
        </w:tc>
      </w:tr>
      <w:tr w:rsidR="00D217C7" w:rsidRPr="00942068" w14:paraId="088D4908" w14:textId="77777777" w:rsidTr="00EA4B8C">
        <w:tc>
          <w:tcPr>
            <w:tcW w:w="2689" w:type="dxa"/>
          </w:tcPr>
          <w:p w14:paraId="7A0209B9" w14:textId="77777777" w:rsidR="00D217C7" w:rsidRPr="00942068" w:rsidRDefault="00D217C7" w:rsidP="00711EE3">
            <w:pPr>
              <w:jc w:val="both"/>
              <w:rPr>
                <w:rFonts w:ascii="Gill Sans MT" w:hAnsi="Gill Sans MT" w:cstheme="minorHAnsi"/>
                <w:color w:val="000000" w:themeColor="text1"/>
                <w:sz w:val="22"/>
                <w:szCs w:val="22"/>
              </w:rPr>
            </w:pPr>
            <w:r w:rsidRPr="00942068">
              <w:rPr>
                <w:rFonts w:ascii="Gill Sans MT" w:hAnsi="Gill Sans MT" w:cstheme="minorHAnsi"/>
                <w:color w:val="000000" w:themeColor="text1"/>
                <w:sz w:val="22"/>
                <w:szCs w:val="22"/>
              </w:rPr>
              <w:t>Location</w:t>
            </w:r>
          </w:p>
        </w:tc>
        <w:tc>
          <w:tcPr>
            <w:tcW w:w="6378" w:type="dxa"/>
          </w:tcPr>
          <w:p w14:paraId="3B3C04B4" w14:textId="0B14AE08" w:rsidR="00D217C7" w:rsidRPr="00942068" w:rsidRDefault="00EA4B8C" w:rsidP="00711EE3">
            <w:pPr>
              <w:jc w:val="both"/>
              <w:rPr>
                <w:rFonts w:ascii="Gill Sans MT" w:hAnsi="Gill Sans MT" w:cstheme="minorHAnsi"/>
                <w:color w:val="000000" w:themeColor="text1"/>
                <w:sz w:val="22"/>
                <w:szCs w:val="22"/>
              </w:rPr>
            </w:pPr>
            <w:r>
              <w:rPr>
                <w:rFonts w:ascii="Gill Sans MT" w:hAnsi="Gill Sans MT" w:cstheme="minorHAnsi"/>
                <w:color w:val="000000" w:themeColor="text1"/>
                <w:sz w:val="22"/>
                <w:szCs w:val="22"/>
              </w:rPr>
              <w:t>Bukoba</w:t>
            </w:r>
          </w:p>
        </w:tc>
      </w:tr>
      <w:tr w:rsidR="00D217C7" w:rsidRPr="00942068" w14:paraId="295E3C9F" w14:textId="77777777" w:rsidTr="007D521A">
        <w:trPr>
          <w:trHeight w:val="60"/>
        </w:trPr>
        <w:tc>
          <w:tcPr>
            <w:tcW w:w="2689" w:type="dxa"/>
          </w:tcPr>
          <w:p w14:paraId="2F377101" w14:textId="77777777" w:rsidR="00D217C7" w:rsidRPr="00942068" w:rsidRDefault="00D217C7" w:rsidP="00711EE3">
            <w:pPr>
              <w:jc w:val="both"/>
              <w:rPr>
                <w:rFonts w:ascii="Gill Sans MT" w:hAnsi="Gill Sans MT" w:cstheme="minorHAnsi"/>
                <w:color w:val="000000" w:themeColor="text1"/>
                <w:sz w:val="22"/>
                <w:szCs w:val="22"/>
              </w:rPr>
            </w:pPr>
            <w:r w:rsidRPr="00BB35A1">
              <w:rPr>
                <w:rFonts w:ascii="Gill Sans MT" w:hAnsi="Gill Sans MT" w:cs="Arial"/>
                <w:sz w:val="22"/>
                <w:szCs w:val="22"/>
              </w:rPr>
              <w:t>Case type</w:t>
            </w:r>
            <w:r w:rsidRPr="00BB35A1">
              <w:rPr>
                <w:rFonts w:ascii="Gill Sans MT" w:hAnsi="Gill Sans MT" w:cs="Arial"/>
                <w:sz w:val="22"/>
                <w:szCs w:val="22"/>
                <w:vertAlign w:val="superscript"/>
              </w:rPr>
              <w:footnoteReference w:id="2"/>
            </w:r>
          </w:p>
        </w:tc>
        <w:tc>
          <w:tcPr>
            <w:tcW w:w="6378" w:type="dxa"/>
          </w:tcPr>
          <w:p w14:paraId="7CF6F692" w14:textId="26AD781A" w:rsidR="00D217C7" w:rsidRPr="00942068" w:rsidRDefault="00EA4B8C" w:rsidP="00711EE3">
            <w:pPr>
              <w:jc w:val="both"/>
              <w:rPr>
                <w:rFonts w:ascii="Gill Sans MT" w:hAnsi="Gill Sans MT" w:cstheme="minorHAnsi"/>
                <w:color w:val="000000" w:themeColor="text1"/>
                <w:sz w:val="22"/>
                <w:szCs w:val="22"/>
              </w:rPr>
            </w:pPr>
            <w:r>
              <w:rPr>
                <w:rFonts w:ascii="Gill Sans MT" w:hAnsi="Gill Sans MT" w:cstheme="minorHAnsi"/>
                <w:color w:val="000000" w:themeColor="text1"/>
                <w:sz w:val="22"/>
                <w:szCs w:val="22"/>
              </w:rPr>
              <w:t xml:space="preserve">Criminal Appeal </w:t>
            </w:r>
          </w:p>
        </w:tc>
      </w:tr>
      <w:tr w:rsidR="00D217C7" w:rsidRPr="00942068" w14:paraId="5B17F0B7" w14:textId="77777777" w:rsidTr="00EA4B8C">
        <w:tc>
          <w:tcPr>
            <w:tcW w:w="2689" w:type="dxa"/>
          </w:tcPr>
          <w:p w14:paraId="1F4863B9" w14:textId="77777777" w:rsidR="00D217C7" w:rsidRPr="00942068" w:rsidRDefault="00D217C7" w:rsidP="00711EE3">
            <w:pPr>
              <w:jc w:val="both"/>
              <w:rPr>
                <w:rFonts w:ascii="Gill Sans MT" w:hAnsi="Gill Sans MT" w:cstheme="minorHAnsi"/>
                <w:color w:val="000000" w:themeColor="text1"/>
                <w:sz w:val="22"/>
                <w:szCs w:val="22"/>
              </w:rPr>
            </w:pPr>
            <w:r w:rsidRPr="00942068">
              <w:rPr>
                <w:rFonts w:ascii="Gill Sans MT" w:hAnsi="Gill Sans MT" w:cstheme="minorHAnsi"/>
                <w:color w:val="000000" w:themeColor="text1"/>
                <w:sz w:val="22"/>
                <w:szCs w:val="22"/>
              </w:rPr>
              <w:t>Result</w:t>
            </w:r>
          </w:p>
        </w:tc>
        <w:tc>
          <w:tcPr>
            <w:tcW w:w="6378" w:type="dxa"/>
          </w:tcPr>
          <w:p w14:paraId="37268062" w14:textId="21C250FB" w:rsidR="00D217C7" w:rsidRPr="00942068" w:rsidRDefault="00EA4B8C" w:rsidP="00711EE3">
            <w:pPr>
              <w:jc w:val="both"/>
              <w:rPr>
                <w:rFonts w:ascii="Gill Sans MT" w:hAnsi="Gill Sans MT" w:cstheme="minorHAnsi"/>
                <w:color w:val="000000" w:themeColor="text1"/>
                <w:sz w:val="22"/>
                <w:szCs w:val="22"/>
              </w:rPr>
            </w:pPr>
            <w:r>
              <w:rPr>
                <w:rFonts w:ascii="Gill Sans MT" w:hAnsi="Gill Sans MT" w:cstheme="minorHAnsi"/>
                <w:color w:val="000000" w:themeColor="text1"/>
                <w:sz w:val="22"/>
                <w:szCs w:val="22"/>
              </w:rPr>
              <w:t xml:space="preserve">Appeal Dismissed </w:t>
            </w:r>
          </w:p>
        </w:tc>
      </w:tr>
      <w:tr w:rsidR="00D217C7" w:rsidRPr="00942068" w14:paraId="38C94FE5" w14:textId="77777777" w:rsidTr="00EA4B8C">
        <w:tc>
          <w:tcPr>
            <w:tcW w:w="2689" w:type="dxa"/>
          </w:tcPr>
          <w:p w14:paraId="407A7067" w14:textId="77777777" w:rsidR="00D217C7" w:rsidRPr="00942068" w:rsidRDefault="00D217C7" w:rsidP="00711EE3">
            <w:pPr>
              <w:jc w:val="both"/>
              <w:rPr>
                <w:rFonts w:ascii="Gill Sans MT" w:hAnsi="Gill Sans MT" w:cstheme="minorHAnsi"/>
                <w:color w:val="000000" w:themeColor="text1"/>
                <w:sz w:val="22"/>
                <w:szCs w:val="22"/>
              </w:rPr>
            </w:pPr>
            <w:r w:rsidRPr="00495C51">
              <w:rPr>
                <w:rFonts w:ascii="Gill Sans MT" w:hAnsi="Gill Sans MT" w:cs="Arial"/>
                <w:sz w:val="22"/>
                <w:szCs w:val="22"/>
              </w:rPr>
              <w:t>Flynote</w:t>
            </w:r>
            <w:r w:rsidRPr="00495C51">
              <w:rPr>
                <w:rFonts w:ascii="Gill Sans MT" w:hAnsi="Gill Sans MT" w:cs="Arial"/>
                <w:sz w:val="22"/>
                <w:szCs w:val="22"/>
                <w:vertAlign w:val="superscript"/>
              </w:rPr>
              <w:footnoteReference w:id="3"/>
            </w:r>
          </w:p>
        </w:tc>
        <w:tc>
          <w:tcPr>
            <w:tcW w:w="6378" w:type="dxa"/>
          </w:tcPr>
          <w:p w14:paraId="3436E3AE" w14:textId="72430385" w:rsidR="00A306D9" w:rsidRPr="00942068" w:rsidRDefault="004B7678" w:rsidP="00711EE3">
            <w:pPr>
              <w:jc w:val="both"/>
              <w:rPr>
                <w:rFonts w:ascii="Gill Sans MT" w:hAnsi="Gill Sans MT" w:cstheme="minorHAnsi"/>
                <w:color w:val="000000" w:themeColor="text1"/>
                <w:sz w:val="22"/>
                <w:szCs w:val="22"/>
              </w:rPr>
            </w:pPr>
            <w:r w:rsidRPr="00D213F0">
              <w:rPr>
                <w:rFonts w:ascii="Gill Sans MT" w:hAnsi="Gill Sans MT" w:cstheme="minorHAnsi"/>
                <w:b/>
                <w:bCs/>
                <w:color w:val="000000" w:themeColor="text1"/>
                <w:sz w:val="22"/>
                <w:szCs w:val="22"/>
              </w:rPr>
              <w:t>Criminal law</w:t>
            </w:r>
            <w:r>
              <w:rPr>
                <w:rFonts w:ascii="Gill Sans MT" w:hAnsi="Gill Sans MT" w:cstheme="minorHAnsi"/>
                <w:color w:val="000000" w:themeColor="text1"/>
                <w:sz w:val="22"/>
                <w:szCs w:val="22"/>
              </w:rPr>
              <w:t xml:space="preserve"> – </w:t>
            </w:r>
            <w:r w:rsidR="00EB5EEC">
              <w:rPr>
                <w:rFonts w:ascii="Gill Sans MT" w:hAnsi="Gill Sans MT" w:cstheme="minorHAnsi"/>
                <w:color w:val="000000" w:themeColor="text1"/>
                <w:sz w:val="22"/>
                <w:szCs w:val="22"/>
              </w:rPr>
              <w:t>s</w:t>
            </w:r>
            <w:r w:rsidR="00322BDE">
              <w:rPr>
                <w:rFonts w:ascii="Gill Sans MT" w:hAnsi="Gill Sans MT" w:cstheme="minorHAnsi"/>
                <w:color w:val="000000" w:themeColor="text1"/>
                <w:sz w:val="22"/>
                <w:szCs w:val="22"/>
              </w:rPr>
              <w:t xml:space="preserve">tatutory </w:t>
            </w:r>
            <w:r w:rsidR="00EB5EEC">
              <w:rPr>
                <w:rFonts w:ascii="Gill Sans MT" w:hAnsi="Gill Sans MT" w:cstheme="minorHAnsi"/>
                <w:color w:val="000000" w:themeColor="text1"/>
                <w:sz w:val="22"/>
                <w:szCs w:val="22"/>
              </w:rPr>
              <w:t>r</w:t>
            </w:r>
            <w:r w:rsidR="00D213F0">
              <w:rPr>
                <w:rFonts w:ascii="Gill Sans MT" w:hAnsi="Gill Sans MT" w:cstheme="minorHAnsi"/>
                <w:color w:val="000000" w:themeColor="text1"/>
                <w:sz w:val="22"/>
                <w:szCs w:val="22"/>
              </w:rPr>
              <w:t xml:space="preserve">ape </w:t>
            </w:r>
            <w:r w:rsidR="00322BDE">
              <w:rPr>
                <w:rFonts w:ascii="Gill Sans MT" w:hAnsi="Gill Sans MT" w:cstheme="minorHAnsi"/>
                <w:color w:val="000000" w:themeColor="text1"/>
                <w:sz w:val="22"/>
                <w:szCs w:val="22"/>
              </w:rPr>
              <w:t>- HIV transmission</w:t>
            </w:r>
            <w:r w:rsidR="00A24721">
              <w:rPr>
                <w:rFonts w:ascii="Gill Sans MT" w:hAnsi="Gill Sans MT" w:cstheme="minorHAnsi"/>
                <w:color w:val="000000" w:themeColor="text1"/>
                <w:sz w:val="22"/>
                <w:szCs w:val="22"/>
              </w:rPr>
              <w:t xml:space="preserve"> to a victim </w:t>
            </w:r>
            <w:r w:rsidR="00D213F0">
              <w:rPr>
                <w:rFonts w:ascii="Gill Sans MT" w:hAnsi="Gill Sans MT" w:cstheme="minorHAnsi"/>
                <w:color w:val="000000" w:themeColor="text1"/>
                <w:sz w:val="22"/>
                <w:szCs w:val="22"/>
              </w:rPr>
              <w:t>below the age of consent</w:t>
            </w:r>
            <w:r w:rsidR="00322BDE">
              <w:rPr>
                <w:rFonts w:ascii="Gill Sans MT" w:hAnsi="Gill Sans MT" w:cstheme="minorHAnsi"/>
                <w:color w:val="000000" w:themeColor="text1"/>
                <w:sz w:val="22"/>
                <w:szCs w:val="22"/>
              </w:rPr>
              <w:t xml:space="preserve"> </w:t>
            </w:r>
          </w:p>
        </w:tc>
      </w:tr>
      <w:tr w:rsidR="00D217C7" w:rsidRPr="00942068" w14:paraId="5ABB73F7" w14:textId="77777777" w:rsidTr="00EA4B8C">
        <w:tc>
          <w:tcPr>
            <w:tcW w:w="2689" w:type="dxa"/>
          </w:tcPr>
          <w:p w14:paraId="1E0ADB30" w14:textId="77777777" w:rsidR="00D217C7" w:rsidRPr="00942068" w:rsidRDefault="00D217C7" w:rsidP="00711EE3">
            <w:pPr>
              <w:jc w:val="both"/>
              <w:rPr>
                <w:rFonts w:ascii="Gill Sans MT" w:hAnsi="Gill Sans MT" w:cstheme="minorHAnsi"/>
                <w:color w:val="000000" w:themeColor="text1"/>
                <w:sz w:val="22"/>
                <w:szCs w:val="22"/>
              </w:rPr>
            </w:pPr>
            <w:r w:rsidRPr="001D2B71">
              <w:rPr>
                <w:rFonts w:ascii="Gill Sans MT" w:hAnsi="Gill Sans MT" w:cs="Arial"/>
                <w:sz w:val="22"/>
                <w:szCs w:val="22"/>
              </w:rPr>
              <w:t>Legislation and International Instruments</w:t>
            </w:r>
            <w:r w:rsidRPr="001D2B71">
              <w:rPr>
                <w:rFonts w:ascii="Gill Sans MT" w:hAnsi="Gill Sans MT" w:cs="Arial"/>
                <w:sz w:val="22"/>
                <w:szCs w:val="22"/>
                <w:vertAlign w:val="superscript"/>
              </w:rPr>
              <w:footnoteReference w:id="4"/>
            </w:r>
          </w:p>
        </w:tc>
        <w:tc>
          <w:tcPr>
            <w:tcW w:w="6378" w:type="dxa"/>
          </w:tcPr>
          <w:p w14:paraId="21876F7F" w14:textId="77777777" w:rsidR="00D217C7" w:rsidRPr="006B7D14" w:rsidRDefault="00D217C7" w:rsidP="00711EE3">
            <w:pPr>
              <w:jc w:val="both"/>
              <w:rPr>
                <w:rFonts w:ascii="Gill Sans MT" w:hAnsi="Gill Sans MT" w:cstheme="minorHAnsi"/>
                <w:b/>
                <w:bCs/>
                <w:color w:val="000000" w:themeColor="text1"/>
                <w:sz w:val="22"/>
                <w:szCs w:val="22"/>
              </w:rPr>
            </w:pPr>
            <w:r w:rsidRPr="006B7D14">
              <w:rPr>
                <w:rFonts w:ascii="Gill Sans MT" w:hAnsi="Gill Sans MT" w:cstheme="minorHAnsi"/>
                <w:b/>
                <w:bCs/>
                <w:color w:val="000000" w:themeColor="text1"/>
                <w:sz w:val="22"/>
                <w:szCs w:val="22"/>
              </w:rPr>
              <w:t>Legislation</w:t>
            </w:r>
          </w:p>
          <w:p w14:paraId="63CD114F" w14:textId="76AD0258" w:rsidR="00D217C7" w:rsidRDefault="00EA4B8C" w:rsidP="00711EE3">
            <w:pPr>
              <w:pStyle w:val="ListParagraph"/>
              <w:numPr>
                <w:ilvl w:val="0"/>
                <w:numId w:val="1"/>
              </w:numPr>
              <w:jc w:val="both"/>
              <w:rPr>
                <w:rFonts w:ascii="Gill Sans MT" w:hAnsi="Gill Sans MT" w:cstheme="minorHAnsi"/>
                <w:color w:val="000000" w:themeColor="text1"/>
                <w:sz w:val="22"/>
                <w:szCs w:val="22"/>
              </w:rPr>
            </w:pPr>
            <w:r>
              <w:rPr>
                <w:rFonts w:ascii="Gill Sans MT" w:hAnsi="Gill Sans MT" w:cstheme="minorHAnsi"/>
                <w:color w:val="000000" w:themeColor="text1"/>
                <w:sz w:val="22"/>
                <w:szCs w:val="22"/>
              </w:rPr>
              <w:t>S</w:t>
            </w:r>
            <w:r w:rsidRPr="00EA4B8C">
              <w:rPr>
                <w:rFonts w:ascii="Gill Sans MT" w:hAnsi="Gill Sans MT" w:cstheme="minorHAnsi"/>
                <w:color w:val="000000" w:themeColor="text1"/>
                <w:sz w:val="22"/>
                <w:szCs w:val="22"/>
              </w:rPr>
              <w:t>ections 130(2)(e) and 131(1) of the Penal Code, Cap. 16 RE 2002</w:t>
            </w:r>
          </w:p>
          <w:p w14:paraId="1AF6E746" w14:textId="1B9174D8" w:rsidR="0087506E" w:rsidRDefault="0087506E" w:rsidP="00711EE3">
            <w:pPr>
              <w:pStyle w:val="ListParagraph"/>
              <w:numPr>
                <w:ilvl w:val="0"/>
                <w:numId w:val="1"/>
              </w:numPr>
              <w:jc w:val="both"/>
              <w:rPr>
                <w:rFonts w:ascii="Gill Sans MT" w:hAnsi="Gill Sans MT" w:cstheme="minorHAnsi"/>
                <w:color w:val="000000" w:themeColor="text1"/>
                <w:sz w:val="22"/>
                <w:szCs w:val="22"/>
              </w:rPr>
            </w:pPr>
            <w:r>
              <w:rPr>
                <w:rFonts w:ascii="Gill Sans MT" w:hAnsi="Gill Sans MT" w:cstheme="minorHAnsi"/>
                <w:color w:val="000000" w:themeColor="text1"/>
                <w:sz w:val="22"/>
                <w:szCs w:val="22"/>
              </w:rPr>
              <w:t>S</w:t>
            </w:r>
            <w:r w:rsidRPr="0087506E">
              <w:rPr>
                <w:rFonts w:ascii="Gill Sans MT" w:hAnsi="Gill Sans MT" w:cstheme="minorHAnsi"/>
                <w:color w:val="000000" w:themeColor="text1"/>
                <w:sz w:val="22"/>
                <w:szCs w:val="22"/>
              </w:rPr>
              <w:t>ection 21(l)(b)(3) of the HIV and AIDS (Prevention and Control Act, No. 28 of 2008</w:t>
            </w:r>
          </w:p>
          <w:p w14:paraId="41B73683" w14:textId="6F66BB45" w:rsidR="0087506E" w:rsidRDefault="0087506E" w:rsidP="00711EE3">
            <w:pPr>
              <w:pStyle w:val="ListParagraph"/>
              <w:numPr>
                <w:ilvl w:val="0"/>
                <w:numId w:val="1"/>
              </w:numPr>
              <w:jc w:val="both"/>
              <w:rPr>
                <w:rFonts w:ascii="Gill Sans MT" w:hAnsi="Gill Sans MT" w:cstheme="minorHAnsi"/>
                <w:color w:val="000000" w:themeColor="text1"/>
                <w:sz w:val="22"/>
                <w:szCs w:val="22"/>
              </w:rPr>
            </w:pPr>
            <w:r>
              <w:rPr>
                <w:rFonts w:ascii="Gill Sans MT" w:hAnsi="Gill Sans MT" w:cstheme="minorHAnsi"/>
                <w:color w:val="000000" w:themeColor="text1"/>
                <w:sz w:val="22"/>
                <w:szCs w:val="22"/>
              </w:rPr>
              <w:t>S</w:t>
            </w:r>
            <w:r w:rsidRPr="0087506E">
              <w:rPr>
                <w:rFonts w:ascii="Gill Sans MT" w:hAnsi="Gill Sans MT" w:cstheme="minorHAnsi"/>
                <w:color w:val="000000" w:themeColor="text1"/>
                <w:sz w:val="22"/>
                <w:szCs w:val="22"/>
              </w:rPr>
              <w:t>ections 50 and 51 of the Criminal Procedure Act/ Cap. 20 RE 20</w:t>
            </w:r>
            <w:r>
              <w:rPr>
                <w:rFonts w:ascii="Gill Sans MT" w:hAnsi="Gill Sans MT" w:cstheme="minorHAnsi"/>
                <w:color w:val="000000" w:themeColor="text1"/>
                <w:sz w:val="22"/>
                <w:szCs w:val="22"/>
              </w:rPr>
              <w:t>19</w:t>
            </w:r>
          </w:p>
          <w:p w14:paraId="53C6E41B" w14:textId="5FDD7A34" w:rsidR="0087506E" w:rsidRDefault="0087506E" w:rsidP="00711EE3">
            <w:pPr>
              <w:pStyle w:val="ListParagraph"/>
              <w:numPr>
                <w:ilvl w:val="0"/>
                <w:numId w:val="1"/>
              </w:numPr>
              <w:jc w:val="both"/>
              <w:rPr>
                <w:rFonts w:ascii="Gill Sans MT" w:hAnsi="Gill Sans MT" w:cstheme="minorHAnsi"/>
                <w:color w:val="000000" w:themeColor="text1"/>
                <w:sz w:val="22"/>
                <w:szCs w:val="22"/>
              </w:rPr>
            </w:pPr>
            <w:r>
              <w:rPr>
                <w:rFonts w:ascii="Gill Sans MT" w:hAnsi="Gill Sans MT" w:cstheme="minorHAnsi"/>
                <w:color w:val="000000" w:themeColor="text1"/>
                <w:sz w:val="22"/>
                <w:szCs w:val="22"/>
              </w:rPr>
              <w:t xml:space="preserve">Section </w:t>
            </w:r>
            <w:r w:rsidRPr="0087506E">
              <w:rPr>
                <w:rFonts w:ascii="Gill Sans MT" w:hAnsi="Gill Sans MT" w:cstheme="minorHAnsi"/>
                <w:color w:val="000000" w:themeColor="text1"/>
                <w:sz w:val="22"/>
                <w:szCs w:val="22"/>
              </w:rPr>
              <w:t>395A of</w:t>
            </w:r>
            <w:r>
              <w:rPr>
                <w:rFonts w:ascii="Gill Sans MT" w:hAnsi="Gill Sans MT" w:cstheme="minorHAnsi"/>
                <w:color w:val="000000" w:themeColor="text1"/>
                <w:sz w:val="22"/>
                <w:szCs w:val="22"/>
              </w:rPr>
              <w:t xml:space="preserve"> </w:t>
            </w:r>
            <w:r w:rsidRPr="0087506E">
              <w:rPr>
                <w:rFonts w:ascii="Gill Sans MT" w:hAnsi="Gill Sans MT" w:cstheme="minorHAnsi"/>
                <w:color w:val="000000" w:themeColor="text1"/>
                <w:sz w:val="22"/>
                <w:szCs w:val="22"/>
              </w:rPr>
              <w:t>the C</w:t>
            </w:r>
            <w:r>
              <w:rPr>
                <w:rFonts w:ascii="Gill Sans MT" w:hAnsi="Gill Sans MT" w:cstheme="minorHAnsi"/>
                <w:color w:val="000000" w:themeColor="text1"/>
                <w:sz w:val="22"/>
                <w:szCs w:val="22"/>
              </w:rPr>
              <w:t xml:space="preserve">riminal </w:t>
            </w:r>
            <w:r w:rsidRPr="0087506E">
              <w:rPr>
                <w:rFonts w:ascii="Gill Sans MT" w:hAnsi="Gill Sans MT" w:cstheme="minorHAnsi"/>
                <w:color w:val="000000" w:themeColor="text1"/>
                <w:sz w:val="22"/>
                <w:szCs w:val="22"/>
              </w:rPr>
              <w:t>P</w:t>
            </w:r>
            <w:r>
              <w:rPr>
                <w:rFonts w:ascii="Gill Sans MT" w:hAnsi="Gill Sans MT" w:cstheme="minorHAnsi"/>
                <w:color w:val="000000" w:themeColor="text1"/>
                <w:sz w:val="22"/>
                <w:szCs w:val="22"/>
              </w:rPr>
              <w:t xml:space="preserve">rocedure </w:t>
            </w:r>
            <w:r w:rsidRPr="0087506E">
              <w:rPr>
                <w:rFonts w:ascii="Gill Sans MT" w:hAnsi="Gill Sans MT" w:cstheme="minorHAnsi"/>
                <w:color w:val="000000" w:themeColor="text1"/>
                <w:sz w:val="22"/>
                <w:szCs w:val="22"/>
              </w:rPr>
              <w:t>A</w:t>
            </w:r>
            <w:r>
              <w:rPr>
                <w:rFonts w:ascii="Gill Sans MT" w:hAnsi="Gill Sans MT" w:cstheme="minorHAnsi"/>
                <w:color w:val="000000" w:themeColor="text1"/>
                <w:sz w:val="22"/>
                <w:szCs w:val="22"/>
              </w:rPr>
              <w:t>ct</w:t>
            </w:r>
            <w:r w:rsidRPr="0087506E">
              <w:rPr>
                <w:rFonts w:ascii="Gill Sans MT" w:hAnsi="Gill Sans MT" w:cstheme="minorHAnsi"/>
                <w:color w:val="000000" w:themeColor="text1"/>
                <w:sz w:val="22"/>
                <w:szCs w:val="22"/>
              </w:rPr>
              <w:t xml:space="preserve"> Cap. 20 RE 2019</w:t>
            </w:r>
          </w:p>
          <w:p w14:paraId="3F0AD12D" w14:textId="70110BFE" w:rsidR="0087506E" w:rsidRPr="006B7D14" w:rsidRDefault="0087506E" w:rsidP="00711EE3">
            <w:pPr>
              <w:pStyle w:val="ListParagraph"/>
              <w:numPr>
                <w:ilvl w:val="0"/>
                <w:numId w:val="1"/>
              </w:numPr>
              <w:jc w:val="both"/>
              <w:rPr>
                <w:rFonts w:ascii="Gill Sans MT" w:hAnsi="Gill Sans MT" w:cstheme="minorHAnsi"/>
                <w:color w:val="000000" w:themeColor="text1"/>
                <w:sz w:val="22"/>
                <w:szCs w:val="22"/>
              </w:rPr>
            </w:pPr>
            <w:r>
              <w:rPr>
                <w:rFonts w:ascii="Gill Sans MT" w:hAnsi="Gill Sans MT" w:cstheme="minorHAnsi"/>
                <w:color w:val="000000" w:themeColor="text1"/>
                <w:sz w:val="22"/>
                <w:szCs w:val="22"/>
              </w:rPr>
              <w:t>S</w:t>
            </w:r>
            <w:r w:rsidRPr="0087506E">
              <w:rPr>
                <w:rFonts w:ascii="Gill Sans MT" w:hAnsi="Gill Sans MT" w:cstheme="minorHAnsi"/>
                <w:color w:val="000000" w:themeColor="text1"/>
                <w:sz w:val="22"/>
                <w:szCs w:val="22"/>
              </w:rPr>
              <w:t>ection 127(6) of the Evidence Act, Cap, 6 RE 2019</w:t>
            </w:r>
          </w:p>
          <w:p w14:paraId="0FA8D336" w14:textId="77777777" w:rsidR="00D217C7" w:rsidRPr="003779A9" w:rsidRDefault="00D217C7" w:rsidP="00322BDE">
            <w:pPr>
              <w:jc w:val="both"/>
              <w:rPr>
                <w:rFonts w:ascii="Gill Sans MT" w:hAnsi="Gill Sans MT" w:cstheme="minorHAnsi"/>
                <w:color w:val="000000" w:themeColor="text1"/>
                <w:sz w:val="22"/>
                <w:szCs w:val="22"/>
              </w:rPr>
            </w:pPr>
          </w:p>
        </w:tc>
      </w:tr>
      <w:tr w:rsidR="00D217C7" w:rsidRPr="00942068" w14:paraId="09350B24" w14:textId="77777777" w:rsidTr="00EA4B8C">
        <w:tc>
          <w:tcPr>
            <w:tcW w:w="2689" w:type="dxa"/>
          </w:tcPr>
          <w:p w14:paraId="645CB128" w14:textId="77777777" w:rsidR="00D217C7" w:rsidRPr="00942068" w:rsidRDefault="00D217C7" w:rsidP="00711EE3">
            <w:pPr>
              <w:jc w:val="both"/>
              <w:rPr>
                <w:rFonts w:ascii="Gill Sans MT" w:hAnsi="Gill Sans MT" w:cstheme="minorHAnsi"/>
                <w:color w:val="000000" w:themeColor="text1"/>
                <w:sz w:val="22"/>
                <w:szCs w:val="22"/>
              </w:rPr>
            </w:pPr>
            <w:r w:rsidRPr="001D2B71">
              <w:rPr>
                <w:rFonts w:ascii="Gill Sans MT" w:hAnsi="Gill Sans MT" w:cs="Arial"/>
                <w:sz w:val="22"/>
                <w:szCs w:val="22"/>
              </w:rPr>
              <w:t>Cases cited as authority</w:t>
            </w:r>
            <w:r w:rsidRPr="001D2B71">
              <w:rPr>
                <w:rStyle w:val="FootnoteReference"/>
                <w:rFonts w:ascii="Gill Sans MT" w:hAnsi="Gill Sans MT" w:cs="Arial"/>
                <w:sz w:val="22"/>
                <w:szCs w:val="22"/>
              </w:rPr>
              <w:footnoteReference w:id="5"/>
            </w:r>
          </w:p>
        </w:tc>
        <w:tc>
          <w:tcPr>
            <w:tcW w:w="6378" w:type="dxa"/>
          </w:tcPr>
          <w:p w14:paraId="07D645EE" w14:textId="63055E0B" w:rsidR="00534BBB" w:rsidRDefault="00534BBB" w:rsidP="00711EE3">
            <w:pPr>
              <w:pStyle w:val="ListParagraph"/>
              <w:numPr>
                <w:ilvl w:val="0"/>
                <w:numId w:val="1"/>
              </w:numPr>
              <w:jc w:val="both"/>
              <w:rPr>
                <w:rFonts w:ascii="Gill Sans MT" w:hAnsi="Gill Sans MT" w:cstheme="minorHAnsi"/>
                <w:color w:val="000000" w:themeColor="text1"/>
                <w:sz w:val="22"/>
                <w:szCs w:val="22"/>
              </w:rPr>
            </w:pPr>
            <w:r w:rsidRPr="00F5386F">
              <w:rPr>
                <w:rFonts w:ascii="Gill Sans MT" w:hAnsi="Gill Sans MT" w:cstheme="minorHAnsi"/>
                <w:i/>
                <w:iCs/>
                <w:color w:val="000000" w:themeColor="text1"/>
                <w:sz w:val="22"/>
                <w:szCs w:val="22"/>
              </w:rPr>
              <w:t>Shani Chamwela Suleiman v</w:t>
            </w:r>
            <w:r w:rsidR="00F5386F" w:rsidRPr="00F5386F">
              <w:rPr>
                <w:rFonts w:ascii="Gill Sans MT" w:hAnsi="Gill Sans MT" w:cstheme="minorHAnsi"/>
                <w:i/>
                <w:iCs/>
                <w:color w:val="000000" w:themeColor="text1"/>
                <w:sz w:val="22"/>
                <w:szCs w:val="22"/>
              </w:rPr>
              <w:t xml:space="preserve"> </w:t>
            </w:r>
            <w:r w:rsidRPr="00F5386F">
              <w:rPr>
                <w:rFonts w:ascii="Gill Sans MT" w:hAnsi="Gill Sans MT" w:cstheme="minorHAnsi"/>
                <w:i/>
                <w:iCs/>
                <w:color w:val="000000" w:themeColor="text1"/>
                <w:sz w:val="22"/>
                <w:szCs w:val="22"/>
              </w:rPr>
              <w:t>The Republic</w:t>
            </w:r>
            <w:r w:rsidRPr="00534BBB">
              <w:rPr>
                <w:rFonts w:ascii="Gill Sans MT" w:hAnsi="Gill Sans MT" w:cstheme="minorHAnsi"/>
                <w:color w:val="000000" w:themeColor="text1"/>
                <w:sz w:val="22"/>
                <w:szCs w:val="22"/>
              </w:rPr>
              <w:t>, Criminal Appeal No. 481 of 2021, CAT at Dar es salaam (unreported)</w:t>
            </w:r>
          </w:p>
          <w:p w14:paraId="377E74C8" w14:textId="69F2F56D" w:rsidR="00D217C7" w:rsidRDefault="00534BBB" w:rsidP="00711EE3">
            <w:pPr>
              <w:pStyle w:val="ListParagraph"/>
              <w:numPr>
                <w:ilvl w:val="0"/>
                <w:numId w:val="1"/>
              </w:numPr>
              <w:jc w:val="both"/>
              <w:rPr>
                <w:rFonts w:ascii="Gill Sans MT" w:hAnsi="Gill Sans MT" w:cstheme="minorHAnsi"/>
                <w:color w:val="000000" w:themeColor="text1"/>
                <w:sz w:val="22"/>
                <w:szCs w:val="22"/>
              </w:rPr>
            </w:pPr>
            <w:r w:rsidRPr="00F5386F">
              <w:rPr>
                <w:rFonts w:ascii="Gill Sans MT" w:hAnsi="Gill Sans MT" w:cstheme="minorHAnsi"/>
                <w:i/>
                <w:iCs/>
                <w:color w:val="000000" w:themeColor="text1"/>
                <w:sz w:val="22"/>
                <w:szCs w:val="22"/>
              </w:rPr>
              <w:t>Isaya Renatus v</w:t>
            </w:r>
            <w:r w:rsidR="00F5386F" w:rsidRPr="00F5386F">
              <w:rPr>
                <w:rFonts w:ascii="Gill Sans MT" w:hAnsi="Gill Sans MT" w:cstheme="minorHAnsi"/>
                <w:i/>
                <w:iCs/>
                <w:color w:val="000000" w:themeColor="text1"/>
                <w:sz w:val="22"/>
                <w:szCs w:val="22"/>
              </w:rPr>
              <w:t xml:space="preserve"> </w:t>
            </w:r>
            <w:r w:rsidRPr="00F5386F">
              <w:rPr>
                <w:rFonts w:ascii="Gill Sans MT" w:hAnsi="Gill Sans MT" w:cstheme="minorHAnsi"/>
                <w:i/>
                <w:iCs/>
                <w:color w:val="000000" w:themeColor="text1"/>
                <w:sz w:val="22"/>
                <w:szCs w:val="22"/>
              </w:rPr>
              <w:t>Republic</w:t>
            </w:r>
            <w:r w:rsidRPr="00534BBB">
              <w:rPr>
                <w:rFonts w:ascii="Gill Sans MT" w:hAnsi="Gill Sans MT" w:cstheme="minorHAnsi"/>
                <w:color w:val="000000" w:themeColor="text1"/>
                <w:sz w:val="22"/>
                <w:szCs w:val="22"/>
              </w:rPr>
              <w:t>, Criminal Appeal No. 542 of 2015, CAT (unreported)</w:t>
            </w:r>
          </w:p>
          <w:p w14:paraId="530530FC" w14:textId="2690E51E" w:rsidR="00534BBB" w:rsidRPr="00832E1D" w:rsidRDefault="00534BBB" w:rsidP="00711EE3">
            <w:pPr>
              <w:pStyle w:val="ListParagraph"/>
              <w:numPr>
                <w:ilvl w:val="0"/>
                <w:numId w:val="1"/>
              </w:numPr>
              <w:jc w:val="both"/>
              <w:rPr>
                <w:rFonts w:ascii="Gill Sans MT" w:hAnsi="Gill Sans MT" w:cstheme="minorHAnsi"/>
                <w:color w:val="000000" w:themeColor="text1"/>
                <w:sz w:val="22"/>
                <w:szCs w:val="22"/>
              </w:rPr>
            </w:pPr>
            <w:r w:rsidRPr="00F5386F">
              <w:rPr>
                <w:rFonts w:ascii="Gill Sans MT" w:hAnsi="Gill Sans MT" w:cstheme="minorHAnsi"/>
                <w:i/>
                <w:iCs/>
                <w:color w:val="000000" w:themeColor="text1"/>
                <w:sz w:val="22"/>
                <w:szCs w:val="22"/>
              </w:rPr>
              <w:t>Ndorosi Kudekei v R</w:t>
            </w:r>
            <w:r w:rsidRPr="00534BBB">
              <w:rPr>
                <w:rFonts w:ascii="Gill Sans MT" w:hAnsi="Gill Sans MT" w:cstheme="minorHAnsi"/>
                <w:color w:val="000000" w:themeColor="text1"/>
                <w:sz w:val="22"/>
                <w:szCs w:val="22"/>
              </w:rPr>
              <w:t>, Criminal Appeal No. 318 of 2016</w:t>
            </w:r>
          </w:p>
        </w:tc>
      </w:tr>
      <w:tr w:rsidR="00D217C7" w:rsidRPr="003A2D48" w14:paraId="199C3677" w14:textId="77777777" w:rsidTr="00BC0331">
        <w:trPr>
          <w:trHeight w:val="841"/>
        </w:trPr>
        <w:tc>
          <w:tcPr>
            <w:tcW w:w="2689" w:type="dxa"/>
          </w:tcPr>
          <w:p w14:paraId="52F92484" w14:textId="77777777" w:rsidR="00D217C7" w:rsidRPr="001D2B71" w:rsidRDefault="00D217C7" w:rsidP="00711EE3">
            <w:pPr>
              <w:tabs>
                <w:tab w:val="right" w:pos="2473"/>
              </w:tabs>
              <w:spacing w:line="276" w:lineRule="auto"/>
              <w:jc w:val="both"/>
              <w:rPr>
                <w:rFonts w:ascii="Gill Sans MT" w:eastAsia="Gill Sans" w:hAnsi="Gill Sans MT" w:cs="Gill Sans"/>
                <w:sz w:val="22"/>
                <w:szCs w:val="22"/>
              </w:rPr>
            </w:pPr>
            <w:r w:rsidRPr="001D2B71">
              <w:rPr>
                <w:rFonts w:ascii="Gill Sans MT" w:eastAsia="Gill Sans" w:hAnsi="Gill Sans MT" w:cs="Gill Sans"/>
                <w:sz w:val="22"/>
                <w:szCs w:val="22"/>
              </w:rPr>
              <w:t>Facts</w:t>
            </w:r>
            <w:r w:rsidRPr="001D2B71">
              <w:rPr>
                <w:rFonts w:ascii="Gill Sans MT" w:eastAsia="Gill Sans" w:hAnsi="Gill Sans MT" w:cs="Gill Sans"/>
                <w:sz w:val="22"/>
                <w:szCs w:val="22"/>
                <w:vertAlign w:val="superscript"/>
              </w:rPr>
              <w:footnoteReference w:id="6"/>
            </w:r>
            <w:r w:rsidRPr="001D2B71">
              <w:rPr>
                <w:rFonts w:ascii="Gill Sans MT" w:eastAsia="Gill Sans" w:hAnsi="Gill Sans MT" w:cs="Gill Sans"/>
                <w:sz w:val="22"/>
                <w:szCs w:val="22"/>
              </w:rPr>
              <w:tab/>
            </w:r>
          </w:p>
          <w:p w14:paraId="3AFABDE3" w14:textId="77777777" w:rsidR="00D217C7" w:rsidRPr="001D2B71" w:rsidRDefault="00D217C7" w:rsidP="00711EE3">
            <w:pPr>
              <w:tabs>
                <w:tab w:val="right" w:pos="2473"/>
              </w:tabs>
              <w:spacing w:line="276" w:lineRule="auto"/>
              <w:jc w:val="both"/>
              <w:rPr>
                <w:rFonts w:ascii="Gill Sans MT" w:eastAsia="Gill Sans" w:hAnsi="Gill Sans MT" w:cs="Gill Sans"/>
                <w:sz w:val="22"/>
                <w:szCs w:val="22"/>
              </w:rPr>
            </w:pPr>
          </w:p>
        </w:tc>
        <w:tc>
          <w:tcPr>
            <w:tcW w:w="6378" w:type="dxa"/>
          </w:tcPr>
          <w:p w14:paraId="0F1217EA" w14:textId="77777777" w:rsidR="000020A6" w:rsidRDefault="000020A6" w:rsidP="000020A6">
            <w:pPr>
              <w:jc w:val="both"/>
              <w:rPr>
                <w:rFonts w:ascii="Gill Sans MT" w:hAnsi="Gill Sans MT" w:cs="Arial"/>
                <w:sz w:val="22"/>
                <w:szCs w:val="22"/>
              </w:rPr>
            </w:pPr>
            <w:r w:rsidRPr="00D213F0">
              <w:rPr>
                <w:rFonts w:ascii="Gill Sans MT" w:hAnsi="Gill Sans MT" w:cs="Arial"/>
                <w:color w:val="000000" w:themeColor="text1"/>
                <w:sz w:val="22"/>
                <w:szCs w:val="22"/>
              </w:rPr>
              <w:t>The appellant was convicted and sentenced to life imprisonment</w:t>
            </w:r>
            <w:r>
              <w:rPr>
                <w:rFonts w:ascii="Gill Sans MT" w:hAnsi="Gill Sans MT" w:cs="Arial"/>
                <w:color w:val="000000" w:themeColor="text1"/>
                <w:sz w:val="22"/>
                <w:szCs w:val="22"/>
              </w:rPr>
              <w:t xml:space="preserve"> after being found guilty of </w:t>
            </w:r>
            <w:r>
              <w:rPr>
                <w:rFonts w:ascii="Gill Sans MT" w:hAnsi="Gill Sans MT" w:cs="Arial"/>
                <w:sz w:val="22"/>
                <w:szCs w:val="22"/>
              </w:rPr>
              <w:t>raping and transmitting HIV to a six-year-old child (the victim).</w:t>
            </w:r>
          </w:p>
          <w:p w14:paraId="442C2447" w14:textId="77777777" w:rsidR="000020A6" w:rsidRDefault="000020A6" w:rsidP="000020A6">
            <w:pPr>
              <w:jc w:val="both"/>
              <w:rPr>
                <w:rFonts w:ascii="Gill Sans MT" w:hAnsi="Gill Sans MT" w:cs="Arial"/>
                <w:color w:val="000000" w:themeColor="text1"/>
                <w:sz w:val="22"/>
                <w:szCs w:val="22"/>
              </w:rPr>
            </w:pPr>
          </w:p>
          <w:p w14:paraId="5C0DD473" w14:textId="43E766DA" w:rsidR="00A306D9" w:rsidRPr="000020A6" w:rsidRDefault="000020A6" w:rsidP="00711EE3">
            <w:pPr>
              <w:jc w:val="both"/>
              <w:rPr>
                <w:rFonts w:ascii="Gill Sans MT" w:hAnsi="Gill Sans MT" w:cs="Arial"/>
                <w:sz w:val="22"/>
                <w:szCs w:val="22"/>
              </w:rPr>
            </w:pPr>
            <w:r>
              <w:rPr>
                <w:rFonts w:ascii="Gill Sans MT" w:hAnsi="Gill Sans MT" w:cs="Arial"/>
                <w:color w:val="000000" w:themeColor="text1"/>
                <w:sz w:val="22"/>
                <w:szCs w:val="22"/>
              </w:rPr>
              <w:t xml:space="preserve">The appellant worked as a herdsman in the victim’s </w:t>
            </w:r>
            <w:r w:rsidRPr="00FF1D20">
              <w:rPr>
                <w:rFonts w:ascii="Gill Sans MT" w:hAnsi="Gill Sans MT" w:cs="Arial"/>
                <w:sz w:val="22"/>
                <w:szCs w:val="22"/>
              </w:rPr>
              <w:t xml:space="preserve">family </w:t>
            </w:r>
            <w:r>
              <w:rPr>
                <w:rFonts w:ascii="Gill Sans MT" w:hAnsi="Gill Sans MT" w:cs="Arial"/>
                <w:sz w:val="22"/>
                <w:szCs w:val="22"/>
              </w:rPr>
              <w:t xml:space="preserve">from 2008 to 2013 and lived at the victim’s family house at the time. After complaining to her parents, the victim was taken for a medical examination and tested positive for HIV.  </w:t>
            </w:r>
            <w:r>
              <w:rPr>
                <w:rFonts w:ascii="Gill Sans MT" w:hAnsi="Gill Sans MT" w:cs="Arial"/>
                <w:color w:val="000000" w:themeColor="text1"/>
                <w:sz w:val="22"/>
                <w:szCs w:val="22"/>
              </w:rPr>
              <w:t xml:space="preserve">The mother of the victim found a CTC card showing that the appellant was HIV positive and was under medication. </w:t>
            </w:r>
          </w:p>
        </w:tc>
      </w:tr>
      <w:tr w:rsidR="00D217C7" w:rsidRPr="00942068" w14:paraId="21B7AFC1" w14:textId="77777777" w:rsidTr="00EA4B8C">
        <w:tc>
          <w:tcPr>
            <w:tcW w:w="2689" w:type="dxa"/>
          </w:tcPr>
          <w:p w14:paraId="18E24248" w14:textId="77777777" w:rsidR="00D217C7" w:rsidRPr="00942068" w:rsidRDefault="00D217C7" w:rsidP="00711EE3">
            <w:pPr>
              <w:jc w:val="both"/>
              <w:rPr>
                <w:rFonts w:ascii="Gill Sans MT" w:hAnsi="Gill Sans MT" w:cstheme="minorHAnsi"/>
                <w:color w:val="000000" w:themeColor="text1"/>
                <w:sz w:val="22"/>
                <w:szCs w:val="22"/>
              </w:rPr>
            </w:pPr>
            <w:r w:rsidRPr="00BB35A1">
              <w:rPr>
                <w:rFonts w:ascii="Gill Sans MT" w:hAnsi="Gill Sans MT" w:cs="Arial"/>
                <w:sz w:val="22"/>
                <w:szCs w:val="22"/>
              </w:rPr>
              <w:t>Summary</w:t>
            </w:r>
            <w:r w:rsidRPr="00BB35A1">
              <w:rPr>
                <w:rFonts w:ascii="Gill Sans MT" w:hAnsi="Gill Sans MT" w:cs="Arial"/>
                <w:sz w:val="22"/>
                <w:szCs w:val="22"/>
                <w:vertAlign w:val="superscript"/>
              </w:rPr>
              <w:footnoteReference w:id="7"/>
            </w:r>
          </w:p>
        </w:tc>
        <w:tc>
          <w:tcPr>
            <w:tcW w:w="6378" w:type="dxa"/>
          </w:tcPr>
          <w:p w14:paraId="33AFEB5F" w14:textId="77777777" w:rsidR="002C1E6A" w:rsidRDefault="002C1E6A" w:rsidP="002C1E6A">
            <w:pPr>
              <w:jc w:val="both"/>
              <w:rPr>
                <w:rFonts w:ascii="Gill Sans MT" w:hAnsi="Gill Sans MT" w:cstheme="minorHAnsi"/>
                <w:color w:val="000000" w:themeColor="text1"/>
                <w:sz w:val="22"/>
                <w:szCs w:val="22"/>
              </w:rPr>
            </w:pPr>
            <w:r>
              <w:rPr>
                <w:rFonts w:ascii="Gill Sans MT" w:hAnsi="Gill Sans MT" w:cstheme="minorHAnsi"/>
                <w:color w:val="000000" w:themeColor="text1"/>
                <w:sz w:val="22"/>
                <w:szCs w:val="22"/>
              </w:rPr>
              <w:t>The court dismissed the four grounds of appeal.</w:t>
            </w:r>
          </w:p>
          <w:p w14:paraId="7EE55FD8" w14:textId="77777777" w:rsidR="002C1E6A" w:rsidRPr="0021588F" w:rsidRDefault="002C1E6A" w:rsidP="002C1E6A">
            <w:pPr>
              <w:jc w:val="both"/>
              <w:rPr>
                <w:rFonts w:ascii="Gill Sans MT" w:hAnsi="Gill Sans MT" w:cstheme="minorHAnsi"/>
                <w:color w:val="000000" w:themeColor="text1"/>
                <w:sz w:val="22"/>
                <w:szCs w:val="22"/>
              </w:rPr>
            </w:pPr>
          </w:p>
          <w:p w14:paraId="409AD47C" w14:textId="77777777" w:rsidR="002C1E6A" w:rsidRDefault="002C1E6A" w:rsidP="002C1E6A">
            <w:pPr>
              <w:jc w:val="both"/>
              <w:rPr>
                <w:rFonts w:ascii="Gill Sans MT" w:hAnsi="Gill Sans MT" w:cs="Arial"/>
                <w:sz w:val="22"/>
                <w:szCs w:val="22"/>
              </w:rPr>
            </w:pPr>
            <w:r>
              <w:rPr>
                <w:rFonts w:ascii="Gill Sans MT" w:hAnsi="Gill Sans MT" w:cs="Arial"/>
                <w:sz w:val="22"/>
                <w:szCs w:val="22"/>
              </w:rPr>
              <w:lastRenderedPageBreak/>
              <w:t>First, t</w:t>
            </w:r>
            <w:r w:rsidRPr="0021588F">
              <w:rPr>
                <w:rFonts w:ascii="Gill Sans MT" w:hAnsi="Gill Sans MT" w:cs="Arial"/>
                <w:sz w:val="22"/>
                <w:szCs w:val="22"/>
              </w:rPr>
              <w:t>he court determined that DNA evidence was not necessary to prove the rape case, as rape is often committed in secret. The court also found that an eyewitness was not required, as the prosecution relied on the victim's testimony, the appellant's statement, and other relevant evidence.</w:t>
            </w:r>
          </w:p>
          <w:p w14:paraId="0ED66BFF" w14:textId="77777777" w:rsidR="002C1E6A" w:rsidRPr="0021588F" w:rsidRDefault="002C1E6A" w:rsidP="002C1E6A">
            <w:pPr>
              <w:jc w:val="both"/>
              <w:rPr>
                <w:rFonts w:ascii="Gill Sans MT" w:hAnsi="Gill Sans MT" w:cs="Arial"/>
                <w:sz w:val="22"/>
                <w:szCs w:val="22"/>
              </w:rPr>
            </w:pPr>
          </w:p>
          <w:p w14:paraId="52F9CC09" w14:textId="77777777" w:rsidR="002C1E6A" w:rsidRDefault="002C1E6A" w:rsidP="002C1E6A">
            <w:pPr>
              <w:jc w:val="both"/>
              <w:rPr>
                <w:rFonts w:ascii="Gill Sans MT" w:hAnsi="Gill Sans MT" w:cs="Arial"/>
                <w:sz w:val="22"/>
                <w:szCs w:val="22"/>
              </w:rPr>
            </w:pPr>
            <w:r>
              <w:rPr>
                <w:rFonts w:ascii="Gill Sans MT" w:hAnsi="Gill Sans MT" w:cs="Arial"/>
                <w:sz w:val="22"/>
                <w:szCs w:val="22"/>
              </w:rPr>
              <w:t xml:space="preserve">Second, </w:t>
            </w:r>
            <w:r w:rsidRPr="0021588F">
              <w:rPr>
                <w:rFonts w:ascii="Gill Sans MT" w:hAnsi="Gill Sans MT" w:cs="Arial"/>
                <w:sz w:val="22"/>
                <w:szCs w:val="22"/>
              </w:rPr>
              <w:t xml:space="preserve">the court established that </w:t>
            </w:r>
            <w:r>
              <w:rPr>
                <w:rFonts w:ascii="Gill Sans MT" w:hAnsi="Gill Sans MT" w:cs="Arial"/>
                <w:sz w:val="22"/>
                <w:szCs w:val="22"/>
              </w:rPr>
              <w:t xml:space="preserve">the victim’s age </w:t>
            </w:r>
            <w:r w:rsidRPr="0021588F">
              <w:rPr>
                <w:rFonts w:ascii="Gill Sans MT" w:hAnsi="Gill Sans MT" w:cs="Arial"/>
                <w:sz w:val="22"/>
                <w:szCs w:val="22"/>
              </w:rPr>
              <w:t xml:space="preserve">had been proven through the testimony of the examining doctor and the trial magistrate. The </w:t>
            </w:r>
            <w:r>
              <w:rPr>
                <w:rFonts w:ascii="Gill Sans MT" w:hAnsi="Gill Sans MT" w:cs="Arial"/>
                <w:sz w:val="22"/>
                <w:szCs w:val="22"/>
              </w:rPr>
              <w:t>doctor and the trial magistrate complied with the law when they recorded that the victim was 6 years old.</w:t>
            </w:r>
          </w:p>
          <w:p w14:paraId="54154A2A" w14:textId="77777777" w:rsidR="002C1E6A" w:rsidRDefault="002C1E6A" w:rsidP="002C1E6A">
            <w:pPr>
              <w:jc w:val="both"/>
              <w:rPr>
                <w:rFonts w:ascii="Gill Sans MT" w:hAnsi="Gill Sans MT" w:cstheme="minorHAnsi"/>
                <w:color w:val="000000" w:themeColor="text1"/>
                <w:sz w:val="22"/>
                <w:szCs w:val="22"/>
              </w:rPr>
            </w:pPr>
          </w:p>
          <w:p w14:paraId="4FCAFF61" w14:textId="77777777" w:rsidR="002C1E6A" w:rsidRPr="0021588F" w:rsidRDefault="002C1E6A" w:rsidP="002C1E6A">
            <w:pPr>
              <w:jc w:val="both"/>
              <w:rPr>
                <w:rFonts w:ascii="Gill Sans MT" w:hAnsi="Gill Sans MT" w:cs="Arial"/>
                <w:sz w:val="22"/>
                <w:szCs w:val="22"/>
              </w:rPr>
            </w:pPr>
            <w:r>
              <w:rPr>
                <w:rFonts w:ascii="Gill Sans MT" w:hAnsi="Gill Sans MT" w:cstheme="minorHAnsi"/>
                <w:color w:val="000000" w:themeColor="text1"/>
                <w:sz w:val="22"/>
                <w:szCs w:val="22"/>
              </w:rPr>
              <w:t xml:space="preserve">Third, </w:t>
            </w:r>
            <w:r>
              <w:rPr>
                <w:rFonts w:ascii="Gill Sans MT" w:hAnsi="Gill Sans MT" w:cs="Arial"/>
                <w:sz w:val="22"/>
                <w:szCs w:val="22"/>
              </w:rPr>
              <w:t>t</w:t>
            </w:r>
            <w:r w:rsidRPr="0021588F">
              <w:rPr>
                <w:rFonts w:ascii="Gill Sans MT" w:hAnsi="Gill Sans MT" w:cs="Arial"/>
                <w:sz w:val="22"/>
                <w:szCs w:val="22"/>
              </w:rPr>
              <w:t xml:space="preserve">he court concluded that the cautioned statement was obtained within the legal timeframe, as it was recorded within </w:t>
            </w:r>
            <w:r>
              <w:rPr>
                <w:rFonts w:ascii="Gill Sans MT" w:hAnsi="Gill Sans MT" w:cs="Arial"/>
                <w:sz w:val="22"/>
                <w:szCs w:val="22"/>
              </w:rPr>
              <w:t xml:space="preserve">4 </w:t>
            </w:r>
            <w:r w:rsidRPr="0021588F">
              <w:rPr>
                <w:rFonts w:ascii="Gill Sans MT" w:hAnsi="Gill Sans MT" w:cs="Arial"/>
                <w:sz w:val="22"/>
                <w:szCs w:val="22"/>
              </w:rPr>
              <w:t>hours of the appellant's restraint or arrest.</w:t>
            </w:r>
          </w:p>
          <w:p w14:paraId="39B40913" w14:textId="77777777" w:rsidR="002C1E6A" w:rsidRDefault="002C1E6A" w:rsidP="002C1E6A">
            <w:pPr>
              <w:jc w:val="both"/>
              <w:rPr>
                <w:rFonts w:ascii="Gill Sans MT" w:hAnsi="Gill Sans MT" w:cs="Arial"/>
                <w:sz w:val="22"/>
                <w:szCs w:val="22"/>
              </w:rPr>
            </w:pPr>
          </w:p>
          <w:p w14:paraId="4ACCF9C4" w14:textId="77777777" w:rsidR="002C1E6A" w:rsidRPr="0021588F" w:rsidRDefault="002C1E6A" w:rsidP="002C1E6A">
            <w:pPr>
              <w:jc w:val="both"/>
              <w:rPr>
                <w:rFonts w:ascii="Gill Sans MT" w:hAnsi="Gill Sans MT" w:cs="Arial"/>
                <w:sz w:val="22"/>
                <w:szCs w:val="22"/>
              </w:rPr>
            </w:pPr>
            <w:r>
              <w:rPr>
                <w:rFonts w:ascii="Gill Sans MT" w:hAnsi="Gill Sans MT" w:cs="Arial"/>
                <w:sz w:val="22"/>
                <w:szCs w:val="22"/>
              </w:rPr>
              <w:t>Finally</w:t>
            </w:r>
            <w:r w:rsidRPr="0021588F">
              <w:rPr>
                <w:rFonts w:ascii="Gill Sans MT" w:hAnsi="Gill Sans MT" w:cs="Arial"/>
                <w:sz w:val="22"/>
                <w:szCs w:val="22"/>
              </w:rPr>
              <w:t xml:space="preserve">, the court dismissed the claim that the victim's evidence contradicted her mother's testimony regarding the place and time of the rape. The court </w:t>
            </w:r>
            <w:r>
              <w:rPr>
                <w:rFonts w:ascii="Gill Sans MT" w:hAnsi="Gill Sans MT" w:cs="Arial"/>
                <w:sz w:val="22"/>
                <w:szCs w:val="22"/>
              </w:rPr>
              <w:t>held</w:t>
            </w:r>
            <w:r w:rsidRPr="0021588F">
              <w:rPr>
                <w:rFonts w:ascii="Gill Sans MT" w:hAnsi="Gill Sans MT" w:cs="Arial"/>
                <w:sz w:val="22"/>
                <w:szCs w:val="22"/>
              </w:rPr>
              <w:t xml:space="preserve"> that there was no contradiction, as the appellant had raped the victim on multiple occasions.</w:t>
            </w:r>
          </w:p>
          <w:p w14:paraId="453BC9C0" w14:textId="6790A8FD" w:rsidR="00AD7043" w:rsidRPr="00942068" w:rsidRDefault="00AD7043" w:rsidP="002C1E6A">
            <w:pPr>
              <w:rPr>
                <w:rFonts w:ascii="Gill Sans MT" w:hAnsi="Gill Sans MT" w:cstheme="minorHAnsi"/>
                <w:color w:val="000000" w:themeColor="text1"/>
                <w:sz w:val="22"/>
                <w:szCs w:val="22"/>
              </w:rPr>
            </w:pPr>
          </w:p>
        </w:tc>
      </w:tr>
      <w:tr w:rsidR="00D217C7" w:rsidRPr="001D2B71" w14:paraId="1F3918C4" w14:textId="77777777" w:rsidTr="00EA4B8C">
        <w:trPr>
          <w:trHeight w:val="171"/>
        </w:trPr>
        <w:tc>
          <w:tcPr>
            <w:tcW w:w="2689" w:type="dxa"/>
          </w:tcPr>
          <w:p w14:paraId="1EDE5343" w14:textId="77777777" w:rsidR="00D217C7" w:rsidRPr="001D2B71" w:rsidRDefault="00D217C7" w:rsidP="00711EE3">
            <w:pPr>
              <w:spacing w:line="276" w:lineRule="auto"/>
              <w:jc w:val="both"/>
              <w:rPr>
                <w:rFonts w:ascii="Gill Sans MT" w:eastAsia="Gill Sans" w:hAnsi="Gill Sans MT" w:cs="Gill Sans"/>
                <w:sz w:val="22"/>
                <w:szCs w:val="22"/>
              </w:rPr>
            </w:pPr>
            <w:r w:rsidRPr="001D2B71">
              <w:rPr>
                <w:rFonts w:ascii="Gill Sans MT" w:eastAsia="Gill Sans" w:hAnsi="Gill Sans MT" w:cs="Gill Sans"/>
                <w:sz w:val="22"/>
                <w:szCs w:val="22"/>
              </w:rPr>
              <w:lastRenderedPageBreak/>
              <w:t>Decision/ Judgment</w:t>
            </w:r>
            <w:r w:rsidRPr="001D2B71">
              <w:rPr>
                <w:rFonts w:ascii="Gill Sans MT" w:eastAsia="Gill Sans" w:hAnsi="Gill Sans MT" w:cs="Gill Sans"/>
                <w:sz w:val="22"/>
                <w:szCs w:val="22"/>
                <w:vertAlign w:val="superscript"/>
              </w:rPr>
              <w:footnoteReference w:id="8"/>
            </w:r>
          </w:p>
        </w:tc>
        <w:tc>
          <w:tcPr>
            <w:tcW w:w="6378" w:type="dxa"/>
          </w:tcPr>
          <w:p w14:paraId="522CE424" w14:textId="4268A9AB" w:rsidR="00A471FE" w:rsidRPr="001D2B71" w:rsidRDefault="00E04D9E" w:rsidP="00711EE3">
            <w:pPr>
              <w:jc w:val="both"/>
              <w:rPr>
                <w:rFonts w:ascii="Gill Sans MT" w:eastAsia="Gill Sans" w:hAnsi="Gill Sans MT" w:cs="Gill Sans"/>
                <w:sz w:val="22"/>
                <w:szCs w:val="22"/>
              </w:rPr>
            </w:pPr>
            <w:r>
              <w:rPr>
                <w:rFonts w:ascii="Gill Sans MT" w:eastAsia="Gill Sans" w:hAnsi="Gill Sans MT" w:cs="Gill Sans"/>
                <w:sz w:val="22"/>
                <w:szCs w:val="22"/>
              </w:rPr>
              <w:t xml:space="preserve">The </w:t>
            </w:r>
            <w:r w:rsidR="00D213F0">
              <w:rPr>
                <w:rFonts w:ascii="Gill Sans MT" w:eastAsia="Gill Sans" w:hAnsi="Gill Sans MT" w:cs="Gill Sans"/>
                <w:sz w:val="22"/>
                <w:szCs w:val="22"/>
              </w:rPr>
              <w:t>conviction and sentence against the appellant were proved beyond reasonable doubt</w:t>
            </w:r>
            <w:r>
              <w:rPr>
                <w:rFonts w:ascii="Gill Sans MT" w:eastAsia="Gill Sans" w:hAnsi="Gill Sans MT" w:cs="Gill Sans"/>
                <w:sz w:val="22"/>
                <w:szCs w:val="22"/>
              </w:rPr>
              <w:t xml:space="preserve"> and the appeal was dismissed. </w:t>
            </w:r>
          </w:p>
        </w:tc>
      </w:tr>
      <w:tr w:rsidR="00D217C7" w:rsidRPr="007D20EC" w14:paraId="2603A215" w14:textId="77777777" w:rsidTr="00EA4B8C">
        <w:tc>
          <w:tcPr>
            <w:tcW w:w="2689" w:type="dxa"/>
          </w:tcPr>
          <w:p w14:paraId="6C77C8F4" w14:textId="77777777" w:rsidR="00D217C7" w:rsidRPr="001D2B71" w:rsidRDefault="00D217C7" w:rsidP="00711EE3">
            <w:pPr>
              <w:spacing w:line="276" w:lineRule="auto"/>
              <w:jc w:val="both"/>
              <w:rPr>
                <w:rFonts w:ascii="Gill Sans MT" w:eastAsia="Gill Sans" w:hAnsi="Gill Sans MT" w:cs="Gill Sans"/>
                <w:sz w:val="22"/>
                <w:szCs w:val="22"/>
              </w:rPr>
            </w:pPr>
            <w:r w:rsidRPr="001D2B71">
              <w:rPr>
                <w:rFonts w:ascii="Gill Sans MT" w:eastAsia="Gill Sans" w:hAnsi="Gill Sans MT" w:cs="Gill Sans"/>
                <w:sz w:val="22"/>
                <w:szCs w:val="22"/>
              </w:rPr>
              <w:t>Basis of the decision</w:t>
            </w:r>
            <w:r w:rsidRPr="001D2B71">
              <w:rPr>
                <w:rFonts w:ascii="Gill Sans MT" w:eastAsia="Gill Sans" w:hAnsi="Gill Sans MT" w:cs="Gill Sans"/>
                <w:sz w:val="22"/>
                <w:szCs w:val="22"/>
                <w:vertAlign w:val="superscript"/>
              </w:rPr>
              <w:footnoteReference w:id="9"/>
            </w:r>
          </w:p>
        </w:tc>
        <w:tc>
          <w:tcPr>
            <w:tcW w:w="6378" w:type="dxa"/>
          </w:tcPr>
          <w:p w14:paraId="71DD68CA" w14:textId="77777777" w:rsidR="007A39F0" w:rsidRDefault="007A39F0" w:rsidP="007A39F0">
            <w:pPr>
              <w:jc w:val="both"/>
              <w:rPr>
                <w:rFonts w:ascii="Gill Sans MT" w:hAnsi="Gill Sans MT" w:cs="Arial"/>
                <w:sz w:val="22"/>
                <w:szCs w:val="22"/>
              </w:rPr>
            </w:pPr>
            <w:bookmarkStart w:id="0" w:name="_heading=h.gjdgxs" w:colFirst="0" w:colLast="0"/>
            <w:bookmarkEnd w:id="0"/>
            <w:r w:rsidRPr="00BC2230">
              <w:rPr>
                <w:rFonts w:ascii="Gill Sans MT" w:hAnsi="Gill Sans MT" w:cs="Arial"/>
                <w:sz w:val="22"/>
                <w:szCs w:val="22"/>
              </w:rPr>
              <w:t xml:space="preserve">The court </w:t>
            </w:r>
            <w:r>
              <w:rPr>
                <w:rFonts w:ascii="Gill Sans MT" w:hAnsi="Gill Sans MT" w:cs="Arial"/>
                <w:sz w:val="22"/>
                <w:szCs w:val="22"/>
              </w:rPr>
              <w:t xml:space="preserve">relied on </w:t>
            </w:r>
            <w:r w:rsidRPr="00BC2230">
              <w:rPr>
                <w:rFonts w:ascii="Gill Sans MT" w:hAnsi="Gill Sans MT" w:cs="Arial"/>
                <w:sz w:val="22"/>
                <w:szCs w:val="22"/>
              </w:rPr>
              <w:t>section 127(6) of the Evidence Act, which allows the court to accept the testimony of a child</w:t>
            </w:r>
            <w:r>
              <w:rPr>
                <w:rFonts w:ascii="Gill Sans MT" w:hAnsi="Gill Sans MT" w:cs="Arial"/>
                <w:sz w:val="22"/>
                <w:szCs w:val="22"/>
              </w:rPr>
              <w:t xml:space="preserve"> of tender years</w:t>
            </w:r>
            <w:r w:rsidRPr="00BC2230">
              <w:rPr>
                <w:rFonts w:ascii="Gill Sans MT" w:hAnsi="Gill Sans MT" w:cs="Arial"/>
                <w:sz w:val="22"/>
                <w:szCs w:val="22"/>
              </w:rPr>
              <w:t xml:space="preserve"> or a victim of a sexual offense as the only independent evidence</w:t>
            </w:r>
            <w:r>
              <w:rPr>
                <w:rFonts w:ascii="Gill Sans MT" w:hAnsi="Gill Sans MT" w:cs="Arial"/>
                <w:sz w:val="22"/>
                <w:szCs w:val="22"/>
              </w:rPr>
              <w:t xml:space="preserve"> after assessing the credibility of the evidence.</w:t>
            </w:r>
          </w:p>
          <w:p w14:paraId="560A1381" w14:textId="77777777" w:rsidR="007A39F0" w:rsidRDefault="007A39F0" w:rsidP="007A39F0">
            <w:pPr>
              <w:jc w:val="both"/>
              <w:rPr>
                <w:rFonts w:ascii="Gill Sans MT" w:hAnsi="Gill Sans MT" w:cs="Arial"/>
                <w:sz w:val="22"/>
                <w:szCs w:val="22"/>
              </w:rPr>
            </w:pPr>
          </w:p>
          <w:p w14:paraId="5B9B1B19" w14:textId="77777777" w:rsidR="007A39F0" w:rsidRPr="0021588F" w:rsidRDefault="007A39F0" w:rsidP="007A39F0">
            <w:pPr>
              <w:jc w:val="both"/>
              <w:rPr>
                <w:rFonts w:ascii="Gill Sans MT" w:hAnsi="Gill Sans MT" w:cs="Arial"/>
                <w:vanish/>
                <w:sz w:val="22"/>
                <w:szCs w:val="22"/>
              </w:rPr>
            </w:pPr>
            <w:r>
              <w:rPr>
                <w:rFonts w:ascii="Gill Sans MT" w:hAnsi="Gill Sans MT" w:cs="Arial"/>
                <w:sz w:val="22"/>
                <w:szCs w:val="22"/>
              </w:rPr>
              <w:t xml:space="preserve">The </w:t>
            </w:r>
            <w:r w:rsidRPr="00BC2230">
              <w:rPr>
                <w:rFonts w:ascii="Gill Sans MT" w:hAnsi="Gill Sans MT" w:cs="Arial"/>
                <w:sz w:val="22"/>
                <w:szCs w:val="22"/>
              </w:rPr>
              <w:t xml:space="preserve">court found </w:t>
            </w:r>
            <w:r>
              <w:rPr>
                <w:rFonts w:ascii="Gill Sans MT" w:hAnsi="Gill Sans MT" w:cs="Arial"/>
                <w:sz w:val="22"/>
                <w:szCs w:val="22"/>
              </w:rPr>
              <w:t xml:space="preserve">the child’s evidence to be </w:t>
            </w:r>
            <w:r w:rsidRPr="00BC2230">
              <w:rPr>
                <w:rFonts w:ascii="Gill Sans MT" w:hAnsi="Gill Sans MT" w:cs="Arial"/>
                <w:sz w:val="22"/>
                <w:szCs w:val="22"/>
              </w:rPr>
              <w:t>consistent with the appellant's cautioned statement</w:t>
            </w:r>
            <w:r>
              <w:rPr>
                <w:rFonts w:ascii="Gill Sans MT" w:hAnsi="Gill Sans MT" w:cs="Arial"/>
                <w:sz w:val="22"/>
                <w:szCs w:val="22"/>
              </w:rPr>
              <w:t>.</w:t>
            </w:r>
            <w:r w:rsidRPr="0021588F">
              <w:rPr>
                <w:rFonts w:ascii="Gill Sans MT" w:hAnsi="Gill Sans MT" w:cs="Arial"/>
                <w:vanish/>
                <w:sz w:val="22"/>
                <w:szCs w:val="22"/>
              </w:rPr>
              <w:t>Top of Form</w:t>
            </w:r>
          </w:p>
          <w:p w14:paraId="4A6529DB" w14:textId="34426304" w:rsidR="00D217C7" w:rsidRPr="007D20EC" w:rsidRDefault="00D217C7" w:rsidP="00711EE3">
            <w:pPr>
              <w:pStyle w:val="NormalWeb"/>
              <w:spacing w:before="0" w:beforeAutospacing="0" w:after="300" w:afterAutospacing="0"/>
              <w:jc w:val="both"/>
              <w:textAlignment w:val="baseline"/>
              <w:rPr>
                <w:rFonts w:ascii="Gill Sans MT" w:hAnsi="Gill Sans MT" w:cs="Arial"/>
                <w:color w:val="000000" w:themeColor="text1"/>
                <w:sz w:val="22"/>
                <w:szCs w:val="22"/>
              </w:rPr>
            </w:pPr>
          </w:p>
        </w:tc>
      </w:tr>
      <w:tr w:rsidR="00D217C7" w:rsidRPr="00942068" w14:paraId="6493A33E" w14:textId="77777777" w:rsidTr="00EA4B8C">
        <w:tc>
          <w:tcPr>
            <w:tcW w:w="2689" w:type="dxa"/>
          </w:tcPr>
          <w:p w14:paraId="746DCC34" w14:textId="77777777" w:rsidR="00D217C7" w:rsidRPr="00942068" w:rsidRDefault="00D217C7" w:rsidP="00711EE3">
            <w:pPr>
              <w:jc w:val="both"/>
              <w:rPr>
                <w:rFonts w:ascii="Gill Sans MT" w:hAnsi="Gill Sans MT" w:cstheme="minorHAnsi"/>
                <w:color w:val="000000" w:themeColor="text1"/>
                <w:sz w:val="22"/>
                <w:szCs w:val="22"/>
              </w:rPr>
            </w:pPr>
            <w:r w:rsidRPr="00942068">
              <w:rPr>
                <w:rFonts w:ascii="Gill Sans MT" w:hAnsi="Gill Sans MT" w:cstheme="minorHAnsi"/>
                <w:color w:val="000000" w:themeColor="text1"/>
                <w:sz w:val="22"/>
                <w:szCs w:val="22"/>
              </w:rPr>
              <w:t>Reported by</w:t>
            </w:r>
          </w:p>
          <w:p w14:paraId="333FD928" w14:textId="77777777" w:rsidR="00D217C7" w:rsidRPr="00942068" w:rsidRDefault="00D217C7" w:rsidP="00711EE3">
            <w:pPr>
              <w:jc w:val="both"/>
              <w:rPr>
                <w:rFonts w:ascii="Gill Sans MT" w:hAnsi="Gill Sans MT" w:cstheme="minorHAnsi"/>
                <w:color w:val="000000" w:themeColor="text1"/>
                <w:sz w:val="22"/>
                <w:szCs w:val="22"/>
              </w:rPr>
            </w:pPr>
            <w:r w:rsidRPr="00942068">
              <w:rPr>
                <w:rFonts w:ascii="Gill Sans MT" w:hAnsi="Gill Sans MT" w:cstheme="minorHAnsi"/>
                <w:color w:val="000000" w:themeColor="text1"/>
                <w:sz w:val="22"/>
                <w:szCs w:val="22"/>
              </w:rPr>
              <w:t>Date</w:t>
            </w:r>
          </w:p>
        </w:tc>
        <w:tc>
          <w:tcPr>
            <w:tcW w:w="6378" w:type="dxa"/>
          </w:tcPr>
          <w:p w14:paraId="337AAD85" w14:textId="790D1021" w:rsidR="00D217C7" w:rsidRDefault="00EA4B8C" w:rsidP="00711EE3">
            <w:pPr>
              <w:jc w:val="both"/>
              <w:rPr>
                <w:rFonts w:ascii="Gill Sans MT" w:hAnsi="Gill Sans MT" w:cstheme="minorHAnsi"/>
                <w:color w:val="000000" w:themeColor="text1"/>
                <w:sz w:val="22"/>
                <w:szCs w:val="22"/>
              </w:rPr>
            </w:pPr>
            <w:r>
              <w:rPr>
                <w:rFonts w:ascii="Gill Sans MT" w:hAnsi="Gill Sans MT" w:cstheme="minorHAnsi"/>
                <w:color w:val="000000" w:themeColor="text1"/>
                <w:sz w:val="22"/>
                <w:szCs w:val="22"/>
              </w:rPr>
              <w:t xml:space="preserve">Rada Stoilova </w:t>
            </w:r>
          </w:p>
          <w:p w14:paraId="045FA6EE" w14:textId="34B7B5D6" w:rsidR="00D217C7" w:rsidRPr="00942068" w:rsidRDefault="00EA4B8C" w:rsidP="00711EE3">
            <w:pPr>
              <w:jc w:val="both"/>
              <w:rPr>
                <w:rFonts w:ascii="Gill Sans MT" w:hAnsi="Gill Sans MT" w:cstheme="minorHAnsi"/>
                <w:color w:val="000000" w:themeColor="text1"/>
                <w:sz w:val="22"/>
                <w:szCs w:val="22"/>
              </w:rPr>
            </w:pPr>
            <w:r>
              <w:rPr>
                <w:rFonts w:ascii="Gill Sans MT" w:hAnsi="Gill Sans MT" w:cstheme="minorHAnsi"/>
                <w:color w:val="000000" w:themeColor="text1"/>
                <w:sz w:val="22"/>
                <w:szCs w:val="22"/>
              </w:rPr>
              <w:t>16 June 2023</w:t>
            </w:r>
          </w:p>
        </w:tc>
      </w:tr>
    </w:tbl>
    <w:p w14:paraId="0EEA76DD" w14:textId="77777777" w:rsidR="00D217C7" w:rsidRPr="00942068" w:rsidRDefault="00D217C7" w:rsidP="00D217C7">
      <w:pPr>
        <w:jc w:val="both"/>
        <w:rPr>
          <w:rFonts w:ascii="Gill Sans MT" w:hAnsi="Gill Sans MT" w:cstheme="minorHAnsi"/>
          <w:color w:val="000000" w:themeColor="text1"/>
          <w:sz w:val="22"/>
          <w:szCs w:val="22"/>
        </w:rPr>
      </w:pPr>
    </w:p>
    <w:p w14:paraId="53DEC0FE" w14:textId="77777777" w:rsidR="00D217C7" w:rsidRDefault="00D217C7" w:rsidP="00D217C7"/>
    <w:p w14:paraId="53FC49AD" w14:textId="77777777" w:rsidR="005F0D04" w:rsidRDefault="005F0D04"/>
    <w:sectPr w:rsidR="005F0D04">
      <w:head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3C9F2" w14:textId="77777777" w:rsidR="00DC2A56" w:rsidRDefault="00DC2A56" w:rsidP="00D217C7">
      <w:r>
        <w:separator/>
      </w:r>
    </w:p>
  </w:endnote>
  <w:endnote w:type="continuationSeparator" w:id="0">
    <w:p w14:paraId="50E736F0" w14:textId="77777777" w:rsidR="00DC2A56" w:rsidRDefault="00DC2A56" w:rsidP="00D21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Gill San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23BA1" w14:textId="77777777" w:rsidR="00DC2A56" w:rsidRDefault="00DC2A56" w:rsidP="00D217C7">
      <w:r>
        <w:separator/>
      </w:r>
    </w:p>
  </w:footnote>
  <w:footnote w:type="continuationSeparator" w:id="0">
    <w:p w14:paraId="7E53F902" w14:textId="77777777" w:rsidR="00DC2A56" w:rsidRDefault="00DC2A56" w:rsidP="00D217C7">
      <w:r>
        <w:continuationSeparator/>
      </w:r>
    </w:p>
  </w:footnote>
  <w:footnote w:id="1">
    <w:p w14:paraId="239EBFC5" w14:textId="77777777" w:rsidR="00D217C7" w:rsidRPr="001D2B71" w:rsidRDefault="00D217C7" w:rsidP="00D217C7">
      <w:pPr>
        <w:pStyle w:val="FootnoteText"/>
        <w:jc w:val="both"/>
        <w:rPr>
          <w:rFonts w:ascii="Gill Sans MT" w:hAnsi="Gill Sans MT"/>
        </w:rPr>
      </w:pPr>
      <w:r w:rsidRPr="001D2B71">
        <w:rPr>
          <w:rStyle w:val="FootnoteReference"/>
          <w:rFonts w:ascii="Gill Sans MT" w:hAnsi="Gill Sans MT"/>
        </w:rPr>
        <w:footnoteRef/>
      </w:r>
      <w:r w:rsidRPr="001D2B71">
        <w:rPr>
          <w:rFonts w:ascii="Gill Sans MT" w:hAnsi="Gill Sans MT"/>
        </w:rPr>
        <w:t xml:space="preserve"> </w:t>
      </w:r>
      <w:r w:rsidRPr="001D2B71">
        <w:rPr>
          <w:rFonts w:ascii="Gill Sans MT" w:eastAsia="Gill Sans" w:hAnsi="Gill Sans MT" w:cs="Gill Sans"/>
          <w:color w:val="000000"/>
        </w:rPr>
        <w:t>Project code is the combination of the three jurisdiction letters (KEN for Kenya, SAF for South Africa etc) and the unique case identification number for the index. E.g., a project code could be KEN1, SAF34, ZAM12).</w:t>
      </w:r>
    </w:p>
  </w:footnote>
  <w:footnote w:id="2">
    <w:p w14:paraId="1C2FA6D6" w14:textId="77777777" w:rsidR="00D217C7" w:rsidRPr="001D2B71" w:rsidRDefault="00D217C7" w:rsidP="00D217C7">
      <w:pPr>
        <w:pBdr>
          <w:top w:val="nil"/>
          <w:left w:val="nil"/>
          <w:bottom w:val="nil"/>
          <w:right w:val="nil"/>
          <w:between w:val="nil"/>
        </w:pBdr>
        <w:jc w:val="both"/>
        <w:rPr>
          <w:rFonts w:ascii="Gill Sans MT" w:eastAsia="Gill Sans" w:hAnsi="Gill Sans MT" w:cs="Gill Sans"/>
          <w:color w:val="000000"/>
          <w:sz w:val="20"/>
          <w:szCs w:val="20"/>
        </w:rPr>
      </w:pPr>
      <w:r w:rsidRPr="001D2B71">
        <w:rPr>
          <w:rStyle w:val="FootnoteReference"/>
          <w:rFonts w:ascii="Gill Sans MT" w:hAnsi="Gill Sans MT"/>
          <w:sz w:val="20"/>
          <w:szCs w:val="20"/>
        </w:rPr>
        <w:footnoteRef/>
      </w:r>
      <w:r w:rsidRPr="001D2B71">
        <w:rPr>
          <w:rFonts w:ascii="Gill Sans MT" w:hAnsi="Gill Sans MT"/>
          <w:sz w:val="20"/>
          <w:szCs w:val="20"/>
        </w:rPr>
        <w:t xml:space="preserve"> </w:t>
      </w:r>
      <w:r w:rsidRPr="001D2B71">
        <w:rPr>
          <w:rFonts w:ascii="Gill Sans MT" w:eastAsia="Gill Sans" w:hAnsi="Gill Sans MT" w:cs="Gill Sans"/>
          <w:color w:val="000000"/>
          <w:sz w:val="20"/>
          <w:szCs w:val="20"/>
        </w:rPr>
        <w:t>Whether Trial, Application or Appeal.</w:t>
      </w:r>
    </w:p>
  </w:footnote>
  <w:footnote w:id="3">
    <w:p w14:paraId="6B20110B" w14:textId="77777777" w:rsidR="00D217C7" w:rsidRPr="001D2B71" w:rsidRDefault="00D217C7" w:rsidP="00D217C7">
      <w:pPr>
        <w:pStyle w:val="FootnoteText"/>
        <w:jc w:val="both"/>
        <w:rPr>
          <w:rFonts w:ascii="Gill Sans MT" w:hAnsi="Gill Sans MT"/>
        </w:rPr>
      </w:pPr>
      <w:r w:rsidRPr="001D2B71">
        <w:rPr>
          <w:rStyle w:val="FootnoteReference"/>
          <w:rFonts w:ascii="Gill Sans MT" w:hAnsi="Gill Sans MT"/>
        </w:rPr>
        <w:footnoteRef/>
      </w:r>
      <w:r w:rsidRPr="001D2B71">
        <w:rPr>
          <w:rFonts w:ascii="Gill Sans MT" w:hAnsi="Gill Sans MT"/>
        </w:rPr>
        <w:t xml:space="preserve"> </w:t>
      </w:r>
      <w:r w:rsidRPr="001D2B71">
        <w:rPr>
          <w:rFonts w:ascii="Gill Sans MT" w:eastAsia="Gill Sans" w:hAnsi="Gill Sans MT" w:cs="Gill Sans"/>
          <w:b/>
        </w:rPr>
        <w:t>Area of law</w:t>
      </w:r>
      <w:r w:rsidRPr="001D2B71">
        <w:rPr>
          <w:rFonts w:ascii="Gill Sans MT" w:eastAsia="Gill Sans" w:hAnsi="Gill Sans MT" w:cs="Gill Sans"/>
        </w:rPr>
        <w:t xml:space="preserve"> - topic – subtopic.</w:t>
      </w:r>
    </w:p>
  </w:footnote>
  <w:footnote w:id="4">
    <w:p w14:paraId="483AC0C4" w14:textId="77777777" w:rsidR="00D217C7" w:rsidRPr="001D2B71" w:rsidRDefault="00D217C7" w:rsidP="00D217C7">
      <w:pPr>
        <w:pBdr>
          <w:top w:val="nil"/>
          <w:left w:val="nil"/>
          <w:bottom w:val="nil"/>
          <w:right w:val="nil"/>
          <w:between w:val="nil"/>
        </w:pBdr>
        <w:jc w:val="both"/>
        <w:rPr>
          <w:rFonts w:ascii="Gill Sans MT" w:eastAsia="Gill Sans" w:hAnsi="Gill Sans MT" w:cs="Gill Sans"/>
          <w:color w:val="000000"/>
          <w:sz w:val="20"/>
          <w:szCs w:val="20"/>
        </w:rPr>
      </w:pPr>
      <w:r w:rsidRPr="001D2B71">
        <w:rPr>
          <w:rStyle w:val="FootnoteReference"/>
          <w:rFonts w:ascii="Gill Sans MT" w:eastAsia="Arial" w:hAnsi="Gill Sans MT"/>
          <w:sz w:val="20"/>
          <w:szCs w:val="20"/>
        </w:rPr>
        <w:footnoteRef/>
      </w:r>
      <w:r w:rsidRPr="001D2B71">
        <w:rPr>
          <w:rFonts w:ascii="Gill Sans MT" w:eastAsia="Gill Sans" w:hAnsi="Gill Sans MT" w:cs="Gill Sans"/>
          <w:color w:val="000000"/>
          <w:sz w:val="20"/>
          <w:szCs w:val="20"/>
        </w:rPr>
        <w:t xml:space="preserve"> Legislation/ International instrument title and section numbers.</w:t>
      </w:r>
    </w:p>
  </w:footnote>
  <w:footnote w:id="5">
    <w:p w14:paraId="1101FD17" w14:textId="77777777" w:rsidR="00D217C7" w:rsidRPr="00F87A06" w:rsidRDefault="00D217C7" w:rsidP="00D217C7">
      <w:pPr>
        <w:pBdr>
          <w:top w:val="nil"/>
          <w:left w:val="nil"/>
          <w:bottom w:val="nil"/>
          <w:right w:val="nil"/>
          <w:between w:val="nil"/>
        </w:pBdr>
        <w:jc w:val="both"/>
        <w:rPr>
          <w:rFonts w:ascii="Gill Sans MT" w:eastAsia="Gill Sans" w:hAnsi="Gill Sans MT" w:cs="Gill Sans"/>
          <w:color w:val="000000"/>
          <w:sz w:val="20"/>
          <w:szCs w:val="20"/>
          <w:lang w:eastAsia="en-ZA"/>
        </w:rPr>
      </w:pPr>
      <w:r w:rsidRPr="001D2B71">
        <w:rPr>
          <w:rStyle w:val="FootnoteReference"/>
          <w:rFonts w:ascii="Gill Sans MT" w:hAnsi="Gill Sans MT"/>
          <w:sz w:val="20"/>
          <w:szCs w:val="20"/>
        </w:rPr>
        <w:footnoteRef/>
      </w:r>
      <w:r w:rsidRPr="001D2B71">
        <w:rPr>
          <w:rFonts w:ascii="Gill Sans MT" w:hAnsi="Gill Sans MT"/>
          <w:sz w:val="20"/>
          <w:szCs w:val="20"/>
        </w:rPr>
        <w:t xml:space="preserve"> </w:t>
      </w:r>
      <w:r w:rsidRPr="001D2B71">
        <w:rPr>
          <w:rFonts w:ascii="Gill Sans MT" w:eastAsia="Gill Sans" w:hAnsi="Gill Sans MT" w:cs="Gill Sans"/>
          <w:color w:val="000000"/>
          <w:sz w:val="20"/>
          <w:szCs w:val="20"/>
          <w:lang w:eastAsia="en-ZA"/>
        </w:rPr>
        <w:t xml:space="preserve">List of cases considered to be </w:t>
      </w:r>
      <w:r w:rsidRPr="001D2B71">
        <w:rPr>
          <w:rFonts w:ascii="Gill Sans MT" w:eastAsia="Gill Sans" w:hAnsi="Gill Sans MT" w:cs="Gill Sans"/>
          <w:color w:val="000000"/>
          <w:sz w:val="20"/>
          <w:szCs w:val="20"/>
          <w:u w:val="single"/>
          <w:lang w:eastAsia="en-ZA"/>
        </w:rPr>
        <w:t>important precedent</w:t>
      </w:r>
      <w:r w:rsidRPr="001D2B71">
        <w:rPr>
          <w:rFonts w:ascii="Gill Sans MT" w:eastAsia="Gill Sans" w:hAnsi="Gill Sans MT" w:cs="Gill Sans"/>
          <w:color w:val="000000"/>
          <w:sz w:val="20"/>
          <w:szCs w:val="20"/>
          <w:lang w:eastAsia="en-ZA"/>
        </w:rPr>
        <w:t xml:space="preserve"> (case name and citation).</w:t>
      </w:r>
    </w:p>
  </w:footnote>
  <w:footnote w:id="6">
    <w:p w14:paraId="145725B0" w14:textId="77777777" w:rsidR="00D217C7" w:rsidRPr="001D2B71" w:rsidRDefault="00D217C7" w:rsidP="00D217C7">
      <w:pPr>
        <w:jc w:val="both"/>
        <w:rPr>
          <w:rFonts w:ascii="Gill Sans MT" w:eastAsia="Gill Sans" w:hAnsi="Gill Sans MT" w:cs="Gill Sans"/>
          <w:i/>
          <w:color w:val="000000"/>
          <w:sz w:val="20"/>
          <w:szCs w:val="20"/>
        </w:rPr>
      </w:pPr>
      <w:r w:rsidRPr="001D2B71">
        <w:rPr>
          <w:rStyle w:val="FootnoteReference"/>
          <w:rFonts w:ascii="Gill Sans MT" w:eastAsia="Arial" w:hAnsi="Gill Sans MT"/>
          <w:sz w:val="20"/>
          <w:szCs w:val="20"/>
        </w:rPr>
        <w:footnoteRef/>
      </w:r>
      <w:r w:rsidRPr="001D2B71">
        <w:rPr>
          <w:rFonts w:ascii="Gill Sans MT" w:eastAsia="Gill Sans" w:hAnsi="Gill Sans MT" w:cs="Gill Sans"/>
          <w:sz w:val="20"/>
          <w:szCs w:val="20"/>
        </w:rPr>
        <w:t xml:space="preserve"> Brief facts about the case (max 150 words).</w:t>
      </w:r>
    </w:p>
  </w:footnote>
  <w:footnote w:id="7">
    <w:p w14:paraId="6E4D8B9B" w14:textId="77777777" w:rsidR="00D217C7" w:rsidRPr="001D2B71" w:rsidRDefault="00D217C7" w:rsidP="00D217C7">
      <w:pPr>
        <w:pBdr>
          <w:top w:val="nil"/>
          <w:left w:val="nil"/>
          <w:bottom w:val="nil"/>
          <w:right w:val="nil"/>
          <w:between w:val="nil"/>
        </w:pBdr>
        <w:jc w:val="both"/>
        <w:rPr>
          <w:rFonts w:ascii="Gill Sans MT" w:eastAsia="Gill Sans" w:hAnsi="Gill Sans MT" w:cs="Gill Sans"/>
          <w:color w:val="000000"/>
          <w:sz w:val="20"/>
          <w:szCs w:val="20"/>
        </w:rPr>
      </w:pPr>
      <w:r w:rsidRPr="001D2B71">
        <w:rPr>
          <w:rStyle w:val="FootnoteReference"/>
          <w:rFonts w:ascii="Gill Sans MT" w:eastAsia="Arial" w:hAnsi="Gill Sans MT"/>
          <w:sz w:val="20"/>
          <w:szCs w:val="20"/>
        </w:rPr>
        <w:footnoteRef/>
      </w:r>
      <w:r w:rsidRPr="001D2B71">
        <w:rPr>
          <w:rFonts w:ascii="Gill Sans MT" w:eastAsia="Gill Sans" w:hAnsi="Gill Sans MT" w:cs="Gill Sans"/>
          <w:color w:val="000000"/>
          <w:sz w:val="20"/>
          <w:szCs w:val="20"/>
        </w:rPr>
        <w:t xml:space="preserve"> Summary of the determination of legal questions and/or grounds of appeal (between 150-250 words).</w:t>
      </w:r>
    </w:p>
  </w:footnote>
  <w:footnote w:id="8">
    <w:p w14:paraId="2FF19BC4" w14:textId="77777777" w:rsidR="00D217C7" w:rsidRPr="001D2B71" w:rsidRDefault="00D217C7" w:rsidP="00D217C7">
      <w:pPr>
        <w:jc w:val="both"/>
        <w:rPr>
          <w:rFonts w:ascii="Gill Sans MT" w:eastAsia="Gill Sans" w:hAnsi="Gill Sans MT" w:cs="Gill Sans"/>
          <w:sz w:val="20"/>
          <w:szCs w:val="20"/>
        </w:rPr>
      </w:pPr>
      <w:r w:rsidRPr="001D2B71">
        <w:rPr>
          <w:rStyle w:val="FootnoteReference"/>
          <w:rFonts w:ascii="Gill Sans MT" w:eastAsia="Arial" w:hAnsi="Gill Sans MT"/>
          <w:sz w:val="20"/>
          <w:szCs w:val="20"/>
        </w:rPr>
        <w:footnoteRef/>
      </w:r>
      <w:r w:rsidRPr="001D2B71">
        <w:rPr>
          <w:rFonts w:ascii="Gill Sans MT" w:eastAsia="Gill Sans" w:hAnsi="Gill Sans MT" w:cs="Gill Sans"/>
          <w:sz w:val="20"/>
          <w:szCs w:val="20"/>
        </w:rPr>
        <w:t xml:space="preserve"> A brief summary of the ruling/judgment of the court (max 100 words).</w:t>
      </w:r>
    </w:p>
  </w:footnote>
  <w:footnote w:id="9">
    <w:p w14:paraId="62F17BC1" w14:textId="77777777" w:rsidR="00D217C7" w:rsidRPr="001D2B71" w:rsidRDefault="00D217C7" w:rsidP="00D217C7">
      <w:pPr>
        <w:pBdr>
          <w:top w:val="nil"/>
          <w:left w:val="nil"/>
          <w:bottom w:val="nil"/>
          <w:right w:val="nil"/>
          <w:between w:val="nil"/>
        </w:pBdr>
        <w:jc w:val="both"/>
        <w:rPr>
          <w:rFonts w:ascii="Gill Sans MT" w:eastAsia="Gill Sans" w:hAnsi="Gill Sans MT" w:cs="Gill Sans"/>
          <w:color w:val="000000"/>
          <w:sz w:val="20"/>
          <w:szCs w:val="20"/>
        </w:rPr>
      </w:pPr>
      <w:r w:rsidRPr="001D2B71">
        <w:rPr>
          <w:rStyle w:val="FootnoteReference"/>
          <w:rFonts w:ascii="Gill Sans MT" w:eastAsia="Arial" w:hAnsi="Gill Sans MT"/>
          <w:sz w:val="20"/>
          <w:szCs w:val="20"/>
        </w:rPr>
        <w:footnoteRef/>
      </w:r>
      <w:r w:rsidRPr="001D2B71">
        <w:rPr>
          <w:rFonts w:ascii="Gill Sans MT" w:eastAsia="Gill Sans" w:hAnsi="Gill Sans MT" w:cs="Gill Sans"/>
          <w:color w:val="000000"/>
          <w:sz w:val="20"/>
          <w:szCs w:val="20"/>
        </w:rPr>
        <w:t xml:space="preserve"> A 1-2 sentence summary of the basis of the decision (i.e., which legal rules were relied 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574E0" w14:textId="77777777" w:rsidR="00A0607C" w:rsidRPr="00A0607C" w:rsidRDefault="00000000" w:rsidP="00A0607C">
    <w:pPr>
      <w:pStyle w:val="Header"/>
      <w:jc w:val="right"/>
      <w:rPr>
        <w:sz w:val="18"/>
      </w:rPr>
    </w:pPr>
  </w:p>
  <w:p w14:paraId="6901A671" w14:textId="77777777" w:rsidR="00A0607C" w:rsidRDefault="00000000" w:rsidP="00A0607C">
    <w:pPr>
      <w:pStyle w:val="Header"/>
      <w:jc w:val="right"/>
      <w:rPr>
        <w:sz w:val="18"/>
      </w:rPr>
    </w:pPr>
  </w:p>
  <w:p w14:paraId="7F5B1A8F" w14:textId="77777777" w:rsidR="00A0607C" w:rsidRDefault="00000000" w:rsidP="00A0607C">
    <w:pPr>
      <w:pStyle w:val="Header"/>
      <w:jc w:val="right"/>
      <w:rPr>
        <w:sz w:val="18"/>
      </w:rPr>
    </w:pPr>
  </w:p>
  <w:p w14:paraId="6516D429" w14:textId="77777777" w:rsidR="00A0607C" w:rsidRPr="00A0607C" w:rsidRDefault="00000000" w:rsidP="00A0607C">
    <w:pPr>
      <w:pStyle w:val="Header"/>
      <w:jc w:val="right"/>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561207"/>
    <w:multiLevelType w:val="hybridMultilevel"/>
    <w:tmpl w:val="36944D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707830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319"/>
    <w:rsid w:val="000020A6"/>
    <w:rsid w:val="000B0D40"/>
    <w:rsid w:val="00114F7A"/>
    <w:rsid w:val="00115B67"/>
    <w:rsid w:val="00140012"/>
    <w:rsid w:val="00176CF2"/>
    <w:rsid w:val="001B760D"/>
    <w:rsid w:val="00293F2E"/>
    <w:rsid w:val="002C1E6A"/>
    <w:rsid w:val="00322BDE"/>
    <w:rsid w:val="003A5549"/>
    <w:rsid w:val="003B1C8C"/>
    <w:rsid w:val="003C30DB"/>
    <w:rsid w:val="00416895"/>
    <w:rsid w:val="00461398"/>
    <w:rsid w:val="004B7678"/>
    <w:rsid w:val="00532394"/>
    <w:rsid w:val="00534BBB"/>
    <w:rsid w:val="005C415C"/>
    <w:rsid w:val="005F0D04"/>
    <w:rsid w:val="006F29E3"/>
    <w:rsid w:val="007125E6"/>
    <w:rsid w:val="00722FFD"/>
    <w:rsid w:val="00723D34"/>
    <w:rsid w:val="00740002"/>
    <w:rsid w:val="007A0CF1"/>
    <w:rsid w:val="007A13D7"/>
    <w:rsid w:val="007A39F0"/>
    <w:rsid w:val="007D521A"/>
    <w:rsid w:val="00870902"/>
    <w:rsid w:val="0087506E"/>
    <w:rsid w:val="009176FE"/>
    <w:rsid w:val="00946B36"/>
    <w:rsid w:val="009E29AB"/>
    <w:rsid w:val="009F04B2"/>
    <w:rsid w:val="00A24721"/>
    <w:rsid w:val="00A306D9"/>
    <w:rsid w:val="00A36319"/>
    <w:rsid w:val="00A471FE"/>
    <w:rsid w:val="00AC7AA3"/>
    <w:rsid w:val="00AD7043"/>
    <w:rsid w:val="00B3422A"/>
    <w:rsid w:val="00B71409"/>
    <w:rsid w:val="00BC0331"/>
    <w:rsid w:val="00C31AA1"/>
    <w:rsid w:val="00C47850"/>
    <w:rsid w:val="00C5666B"/>
    <w:rsid w:val="00CE6C47"/>
    <w:rsid w:val="00D213F0"/>
    <w:rsid w:val="00D217C7"/>
    <w:rsid w:val="00DC2A56"/>
    <w:rsid w:val="00DD7359"/>
    <w:rsid w:val="00DF1806"/>
    <w:rsid w:val="00E04D9E"/>
    <w:rsid w:val="00E53D20"/>
    <w:rsid w:val="00E8059E"/>
    <w:rsid w:val="00EA1604"/>
    <w:rsid w:val="00EA4B8C"/>
    <w:rsid w:val="00EB5EEC"/>
    <w:rsid w:val="00EF4861"/>
    <w:rsid w:val="00F23FB9"/>
    <w:rsid w:val="00F30C70"/>
    <w:rsid w:val="00F5386F"/>
    <w:rsid w:val="00FC7C96"/>
    <w:rsid w:val="00FF1D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50F5F"/>
  <w15:chartTrackingRefBased/>
  <w15:docId w15:val="{0439FB94-C308-4293-A33C-EEF4563F0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7C7"/>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D217C7"/>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17C7"/>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D217C7"/>
    <w:pPr>
      <w:tabs>
        <w:tab w:val="center" w:pos="4513"/>
        <w:tab w:val="right" w:pos="9026"/>
      </w:tabs>
    </w:pPr>
  </w:style>
  <w:style w:type="character" w:customStyle="1" w:styleId="HeaderChar">
    <w:name w:val="Header Char"/>
    <w:basedOn w:val="DefaultParagraphFont"/>
    <w:link w:val="Header"/>
    <w:uiPriority w:val="99"/>
    <w:rsid w:val="00D217C7"/>
    <w:rPr>
      <w:rFonts w:ascii="Times New Roman" w:eastAsia="Times New Roman" w:hAnsi="Times New Roman" w:cs="Times New Roman"/>
      <w:sz w:val="24"/>
      <w:szCs w:val="24"/>
    </w:rPr>
  </w:style>
  <w:style w:type="paragraph" w:styleId="NormalWeb">
    <w:name w:val="Normal (Web)"/>
    <w:basedOn w:val="Normal"/>
    <w:uiPriority w:val="99"/>
    <w:unhideWhenUsed/>
    <w:rsid w:val="00D217C7"/>
    <w:pPr>
      <w:spacing w:before="100" w:beforeAutospacing="1" w:after="100" w:afterAutospacing="1"/>
    </w:pPr>
  </w:style>
  <w:style w:type="paragraph" w:styleId="FootnoteText">
    <w:name w:val="footnote text"/>
    <w:basedOn w:val="Normal"/>
    <w:link w:val="FootnoteTextChar"/>
    <w:uiPriority w:val="99"/>
    <w:semiHidden/>
    <w:unhideWhenUsed/>
    <w:rsid w:val="00D217C7"/>
    <w:rPr>
      <w:sz w:val="20"/>
      <w:szCs w:val="20"/>
    </w:rPr>
  </w:style>
  <w:style w:type="character" w:customStyle="1" w:styleId="FootnoteTextChar">
    <w:name w:val="Footnote Text Char"/>
    <w:basedOn w:val="DefaultParagraphFont"/>
    <w:link w:val="FootnoteText"/>
    <w:uiPriority w:val="99"/>
    <w:semiHidden/>
    <w:rsid w:val="00D217C7"/>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D217C7"/>
    <w:rPr>
      <w:vertAlign w:val="superscript"/>
    </w:rPr>
  </w:style>
  <w:style w:type="paragraph" w:styleId="ListParagraph">
    <w:name w:val="List Paragraph"/>
    <w:basedOn w:val="Normal"/>
    <w:uiPriority w:val="34"/>
    <w:qFormat/>
    <w:rsid w:val="00D217C7"/>
    <w:pPr>
      <w:ind w:left="720"/>
      <w:contextualSpacing/>
    </w:pPr>
  </w:style>
  <w:style w:type="character" w:styleId="Hyperlink">
    <w:name w:val="Hyperlink"/>
    <w:basedOn w:val="DefaultParagraphFont"/>
    <w:uiPriority w:val="99"/>
    <w:unhideWhenUsed/>
    <w:rsid w:val="00EA4B8C"/>
    <w:rPr>
      <w:color w:val="0563C1" w:themeColor="hyperlink"/>
      <w:u w:val="single"/>
    </w:rPr>
  </w:style>
  <w:style w:type="character" w:styleId="UnresolvedMention">
    <w:name w:val="Unresolved Mention"/>
    <w:basedOn w:val="DefaultParagraphFont"/>
    <w:uiPriority w:val="99"/>
    <w:semiHidden/>
    <w:unhideWhenUsed/>
    <w:rsid w:val="00EA4B8C"/>
    <w:rPr>
      <w:color w:val="605E5C"/>
      <w:shd w:val="clear" w:color="auto" w:fill="E1DFDD"/>
    </w:rPr>
  </w:style>
  <w:style w:type="character" w:styleId="FollowedHyperlink">
    <w:name w:val="FollowedHyperlink"/>
    <w:basedOn w:val="DefaultParagraphFont"/>
    <w:uiPriority w:val="99"/>
    <w:semiHidden/>
    <w:unhideWhenUsed/>
    <w:rsid w:val="00A247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nzlii.org/akn/tz/judgment/tzhc/2022/15786/eng@2022-10-21" TargetMode="External"/><Relationship Id="rId3" Type="http://schemas.openxmlformats.org/officeDocument/2006/relationships/settings" Target="settings.xml"/><Relationship Id="rId7" Type="http://schemas.openxmlformats.org/officeDocument/2006/relationships/hyperlink" Target="https://tanzlii.org/akn/tz/judgment/tzhc/2022/15786/eng@2022-10-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2</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Nyehita</dc:creator>
  <cp:keywords/>
  <dc:description/>
  <cp:lastModifiedBy>Suzanne Nyehita</cp:lastModifiedBy>
  <cp:revision>33</cp:revision>
  <dcterms:created xsi:type="dcterms:W3CDTF">2023-06-14T10:42:00Z</dcterms:created>
  <dcterms:modified xsi:type="dcterms:W3CDTF">2023-06-21T02:29:00Z</dcterms:modified>
</cp:coreProperties>
</file>