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7E4F29" w14:textId="77777777" w:rsidR="00907732" w:rsidRPr="00907732" w:rsidRDefault="00907732" w:rsidP="0016369D">
      <w:pPr>
        <w:spacing w:line="360" w:lineRule="auto"/>
        <w:jc w:val="center"/>
        <w:rPr>
          <w:rFonts w:ascii="Arial" w:eastAsia="Calibri" w:hAnsi="Arial" w:cs="Arial"/>
          <w:b/>
          <w:lang w:val="en-US"/>
        </w:rPr>
      </w:pPr>
      <w:r w:rsidRPr="00907732">
        <w:rPr>
          <w:rFonts w:ascii="Arial" w:eastAsia="Calibri" w:hAnsi="Arial" w:cs="Arial"/>
          <w:b/>
          <w:lang w:val="en-US"/>
        </w:rPr>
        <w:t>REPUBLIC OF NAMIBIA</w:t>
      </w:r>
    </w:p>
    <w:p w14:paraId="47AFC7C3" w14:textId="77777777" w:rsidR="00907732" w:rsidRPr="00907732" w:rsidRDefault="00907732" w:rsidP="0016369D">
      <w:pPr>
        <w:spacing w:line="360" w:lineRule="auto"/>
        <w:jc w:val="center"/>
        <w:rPr>
          <w:rFonts w:ascii="Arial" w:eastAsia="Calibri" w:hAnsi="Arial" w:cs="Arial"/>
          <w:b/>
          <w:lang w:val="en-US"/>
        </w:rPr>
      </w:pPr>
      <w:r w:rsidRPr="00907732">
        <w:rPr>
          <w:rFonts w:ascii="Arial" w:eastAsia="Calibri" w:hAnsi="Arial" w:cs="Arial"/>
          <w:b/>
          <w:noProof/>
          <w:lang w:val="en-US"/>
        </w:rPr>
        <w:drawing>
          <wp:inline distT="0" distB="0" distL="0" distR="0" wp14:anchorId="05EB0A7D" wp14:editId="24FE0859">
            <wp:extent cx="1273175" cy="1325245"/>
            <wp:effectExtent l="0" t="0" r="0" b="0"/>
            <wp:docPr id="1" name="Picture 2" descr="Coat of Ar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at of Arms.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3175" cy="1325245"/>
                    </a:xfrm>
                    <a:prstGeom prst="rect">
                      <a:avLst/>
                    </a:prstGeom>
                    <a:noFill/>
                    <a:ln>
                      <a:noFill/>
                    </a:ln>
                  </pic:spPr>
                </pic:pic>
              </a:graphicData>
            </a:graphic>
          </wp:inline>
        </w:drawing>
      </w:r>
    </w:p>
    <w:p w14:paraId="5AE6A920" w14:textId="03E5290A" w:rsidR="006E486A" w:rsidRPr="00F45FF2" w:rsidRDefault="00907732" w:rsidP="00F45FF2">
      <w:pPr>
        <w:spacing w:line="360" w:lineRule="auto"/>
        <w:jc w:val="center"/>
        <w:rPr>
          <w:rFonts w:ascii="Arial" w:eastAsia="Calibri" w:hAnsi="Arial" w:cs="Arial"/>
          <w:b/>
          <w:lang w:val="en-US"/>
        </w:rPr>
      </w:pPr>
      <w:r w:rsidRPr="00907732">
        <w:rPr>
          <w:rFonts w:ascii="Arial" w:eastAsia="Calibri" w:hAnsi="Arial" w:cs="Arial"/>
          <w:b/>
          <w:lang w:val="en-US"/>
        </w:rPr>
        <w:t>HIGH COURT OF NAMIBIA, MAIN DIVISION, WINDHOEK</w:t>
      </w:r>
    </w:p>
    <w:p w14:paraId="5DF31A0C" w14:textId="77777777" w:rsidR="00217F8B" w:rsidRPr="00907732" w:rsidRDefault="00217F8B" w:rsidP="0016369D">
      <w:pPr>
        <w:spacing w:line="360" w:lineRule="auto"/>
        <w:jc w:val="center"/>
        <w:rPr>
          <w:rFonts w:ascii="Arial" w:hAnsi="Arial" w:cs="Arial"/>
          <w:b/>
        </w:rPr>
      </w:pPr>
    </w:p>
    <w:p w14:paraId="523B2E00" w14:textId="5AB29CF2" w:rsidR="00217F8B" w:rsidRPr="00907732" w:rsidRDefault="00217F8B" w:rsidP="0016369D">
      <w:pPr>
        <w:spacing w:line="360" w:lineRule="auto"/>
        <w:jc w:val="center"/>
        <w:rPr>
          <w:rFonts w:ascii="Arial" w:hAnsi="Arial" w:cs="Arial"/>
          <w:b/>
        </w:rPr>
      </w:pPr>
      <w:r w:rsidRPr="00907732">
        <w:rPr>
          <w:rFonts w:ascii="Arial" w:hAnsi="Arial" w:cs="Arial"/>
          <w:b/>
        </w:rPr>
        <w:t xml:space="preserve">RULING ON APPLICATION FOR ABSOLUTION FROM </w:t>
      </w:r>
      <w:r w:rsidR="00F45FF2">
        <w:rPr>
          <w:rFonts w:ascii="Arial" w:hAnsi="Arial" w:cs="Arial"/>
          <w:b/>
        </w:rPr>
        <w:t xml:space="preserve">THE </w:t>
      </w:r>
      <w:r w:rsidRPr="00907732">
        <w:rPr>
          <w:rFonts w:ascii="Arial" w:hAnsi="Arial" w:cs="Arial"/>
          <w:b/>
        </w:rPr>
        <w:t>INSTANCE</w:t>
      </w:r>
    </w:p>
    <w:p w14:paraId="4360A891" w14:textId="77777777" w:rsidR="00217F8B" w:rsidRPr="00907732" w:rsidRDefault="00217F8B" w:rsidP="0016369D">
      <w:pPr>
        <w:spacing w:line="360" w:lineRule="auto"/>
        <w:rPr>
          <w:rFonts w:ascii="Arial" w:hAnsi="Arial" w:cs="Arial"/>
          <w:b/>
        </w:rPr>
      </w:pPr>
    </w:p>
    <w:p w14:paraId="6E2F9219" w14:textId="6066DFDB" w:rsidR="00217F8B" w:rsidRPr="00907732" w:rsidRDefault="00217F8B" w:rsidP="0016369D">
      <w:pPr>
        <w:spacing w:line="360" w:lineRule="auto"/>
        <w:jc w:val="right"/>
        <w:rPr>
          <w:rFonts w:ascii="Arial" w:hAnsi="Arial" w:cs="Arial"/>
        </w:rPr>
      </w:pPr>
      <w:r w:rsidRPr="00907732">
        <w:rPr>
          <w:rFonts w:ascii="Arial" w:hAnsi="Arial" w:cs="Arial"/>
        </w:rPr>
        <w:t>CASE</w:t>
      </w:r>
      <w:r w:rsidR="0016369D">
        <w:rPr>
          <w:rFonts w:ascii="Arial" w:hAnsi="Arial" w:cs="Arial"/>
        </w:rPr>
        <w:t xml:space="preserve"> NO:</w:t>
      </w:r>
      <w:r w:rsidRPr="00907732">
        <w:rPr>
          <w:rFonts w:ascii="Arial" w:hAnsi="Arial" w:cs="Arial"/>
        </w:rPr>
        <w:t xml:space="preserve"> I 582/2010</w:t>
      </w:r>
    </w:p>
    <w:p w14:paraId="3204B79A" w14:textId="77777777" w:rsidR="00217F8B" w:rsidRPr="00907732" w:rsidRDefault="00217F8B" w:rsidP="0016369D">
      <w:pPr>
        <w:spacing w:line="360" w:lineRule="auto"/>
        <w:jc w:val="right"/>
        <w:rPr>
          <w:rFonts w:ascii="Arial" w:hAnsi="Arial" w:cs="Arial"/>
        </w:rPr>
      </w:pPr>
    </w:p>
    <w:p w14:paraId="7A0465C9" w14:textId="77777777" w:rsidR="00217F8B" w:rsidRDefault="00217F8B" w:rsidP="0016369D">
      <w:pPr>
        <w:spacing w:line="360" w:lineRule="auto"/>
        <w:rPr>
          <w:rFonts w:ascii="Arial" w:hAnsi="Arial" w:cs="Arial"/>
        </w:rPr>
      </w:pPr>
      <w:r w:rsidRPr="00907732">
        <w:rPr>
          <w:rFonts w:ascii="Arial" w:hAnsi="Arial" w:cs="Arial"/>
        </w:rPr>
        <w:t>In the matter between:</w:t>
      </w:r>
    </w:p>
    <w:p w14:paraId="4599EE4E" w14:textId="77777777" w:rsidR="002D5507" w:rsidRDefault="002D5507" w:rsidP="0016369D">
      <w:pPr>
        <w:spacing w:line="360" w:lineRule="auto"/>
        <w:rPr>
          <w:rFonts w:ascii="Arial" w:hAnsi="Arial" w:cs="Arial"/>
        </w:rPr>
      </w:pPr>
    </w:p>
    <w:p w14:paraId="449DAC37" w14:textId="729EA89C" w:rsidR="00217F8B" w:rsidRPr="00907732" w:rsidRDefault="00217F8B" w:rsidP="0016369D">
      <w:pPr>
        <w:spacing w:line="360" w:lineRule="auto"/>
        <w:rPr>
          <w:rFonts w:ascii="Arial" w:hAnsi="Arial" w:cs="Arial"/>
          <w:b/>
        </w:rPr>
      </w:pPr>
      <w:r w:rsidRPr="00907732">
        <w:rPr>
          <w:rFonts w:ascii="Arial" w:hAnsi="Arial" w:cs="Arial"/>
          <w:b/>
        </w:rPr>
        <w:t xml:space="preserve">FISH </w:t>
      </w:r>
      <w:r w:rsidR="0016369D">
        <w:rPr>
          <w:rFonts w:ascii="Arial" w:hAnsi="Arial" w:cs="Arial"/>
          <w:b/>
        </w:rPr>
        <w:t xml:space="preserve">ORANGE MINING CONSORTIUM (PTY) </w:t>
      </w:r>
      <w:r w:rsidRPr="00907732">
        <w:rPr>
          <w:rFonts w:ascii="Arial" w:hAnsi="Arial" w:cs="Arial"/>
          <w:b/>
        </w:rPr>
        <w:t xml:space="preserve">LTD </w:t>
      </w:r>
      <w:r w:rsidR="0016369D">
        <w:rPr>
          <w:rFonts w:ascii="Arial" w:hAnsi="Arial" w:cs="Arial"/>
          <w:b/>
        </w:rPr>
        <w:t xml:space="preserve"> </w:t>
      </w:r>
      <w:r w:rsidRPr="00907732">
        <w:rPr>
          <w:rFonts w:ascii="Arial" w:hAnsi="Arial" w:cs="Arial"/>
          <w:b/>
        </w:rPr>
        <w:t xml:space="preserve">                    PLAINTIFF</w:t>
      </w:r>
    </w:p>
    <w:p w14:paraId="6FE48727" w14:textId="77777777" w:rsidR="00217F8B" w:rsidRPr="00907732" w:rsidRDefault="00217F8B" w:rsidP="0016369D">
      <w:pPr>
        <w:spacing w:line="360" w:lineRule="auto"/>
        <w:rPr>
          <w:rFonts w:ascii="Arial" w:hAnsi="Arial" w:cs="Arial"/>
          <w:b/>
        </w:rPr>
      </w:pPr>
    </w:p>
    <w:p w14:paraId="2D21E6D2" w14:textId="77777777" w:rsidR="00217F8B" w:rsidRPr="00907732" w:rsidRDefault="00217F8B" w:rsidP="0016369D">
      <w:pPr>
        <w:spacing w:line="360" w:lineRule="auto"/>
        <w:rPr>
          <w:rFonts w:ascii="Arial" w:hAnsi="Arial" w:cs="Arial"/>
        </w:rPr>
      </w:pPr>
      <w:proofErr w:type="gramStart"/>
      <w:r w:rsidRPr="00907732">
        <w:rPr>
          <w:rFonts w:ascii="Arial" w:hAnsi="Arial" w:cs="Arial"/>
        </w:rPr>
        <w:t>and</w:t>
      </w:r>
      <w:proofErr w:type="gramEnd"/>
      <w:r w:rsidRPr="00907732">
        <w:rPr>
          <w:rFonts w:ascii="Arial" w:hAnsi="Arial" w:cs="Arial"/>
        </w:rPr>
        <w:t xml:space="preserve"> </w:t>
      </w:r>
    </w:p>
    <w:p w14:paraId="08A0BF50" w14:textId="77777777" w:rsidR="00217F8B" w:rsidRPr="00907732" w:rsidRDefault="00217F8B" w:rsidP="0016369D">
      <w:pPr>
        <w:spacing w:line="360" w:lineRule="auto"/>
        <w:rPr>
          <w:rFonts w:ascii="Arial" w:hAnsi="Arial" w:cs="Arial"/>
        </w:rPr>
      </w:pPr>
    </w:p>
    <w:p w14:paraId="19D81C4F" w14:textId="6C08EC87" w:rsidR="00217F8B" w:rsidRPr="00907732" w:rsidRDefault="00217F8B" w:rsidP="0016369D">
      <w:pPr>
        <w:spacing w:line="360" w:lineRule="auto"/>
        <w:rPr>
          <w:rFonts w:ascii="Arial" w:hAnsi="Arial" w:cs="Arial"/>
          <w:b/>
        </w:rPr>
      </w:pPr>
      <w:r w:rsidRPr="00907732">
        <w:rPr>
          <w:rFonts w:ascii="Arial" w:hAnsi="Arial" w:cs="Arial"/>
          <w:b/>
        </w:rPr>
        <w:t xml:space="preserve">GHANDY </w:t>
      </w:r>
      <w:proofErr w:type="gramStart"/>
      <w:r w:rsidRPr="00907732">
        <w:rPr>
          <w:rFonts w:ascii="Arial" w:hAnsi="Arial" w:cs="Arial"/>
          <w:b/>
        </w:rPr>
        <w:t>GERSON !GOASEB</w:t>
      </w:r>
      <w:proofErr w:type="gramEnd"/>
      <w:r w:rsidRPr="00907732">
        <w:rPr>
          <w:rFonts w:ascii="Arial" w:hAnsi="Arial" w:cs="Arial"/>
          <w:b/>
        </w:rPr>
        <w:t xml:space="preserve">              </w:t>
      </w:r>
      <w:r w:rsidR="0016369D">
        <w:rPr>
          <w:rFonts w:ascii="Arial" w:hAnsi="Arial" w:cs="Arial"/>
          <w:b/>
        </w:rPr>
        <w:t xml:space="preserve">                          </w:t>
      </w:r>
      <w:r w:rsidRPr="00907732">
        <w:rPr>
          <w:rFonts w:ascii="Arial" w:hAnsi="Arial" w:cs="Arial"/>
          <w:b/>
        </w:rPr>
        <w:t>FIRST DEFENDANT</w:t>
      </w:r>
    </w:p>
    <w:p w14:paraId="530D2B6F" w14:textId="3C95D894" w:rsidR="00217F8B" w:rsidRPr="00907732" w:rsidRDefault="00217F8B" w:rsidP="0016369D">
      <w:pPr>
        <w:spacing w:line="360" w:lineRule="auto"/>
        <w:rPr>
          <w:rFonts w:ascii="Arial" w:hAnsi="Arial" w:cs="Arial"/>
          <w:b/>
        </w:rPr>
      </w:pPr>
      <w:r w:rsidRPr="00907732">
        <w:rPr>
          <w:rFonts w:ascii="Arial" w:hAnsi="Arial" w:cs="Arial"/>
          <w:b/>
        </w:rPr>
        <w:t xml:space="preserve">JOSE N. SHIPEPE                                        </w:t>
      </w:r>
      <w:r w:rsidR="0016369D">
        <w:rPr>
          <w:rFonts w:ascii="Arial" w:hAnsi="Arial" w:cs="Arial"/>
          <w:b/>
        </w:rPr>
        <w:t xml:space="preserve">               </w:t>
      </w:r>
      <w:r w:rsidRPr="00907732">
        <w:rPr>
          <w:rFonts w:ascii="Arial" w:hAnsi="Arial" w:cs="Arial"/>
          <w:b/>
        </w:rPr>
        <w:t>SECOND DEFENDANT</w:t>
      </w:r>
    </w:p>
    <w:p w14:paraId="575B3689" w14:textId="0F2C03A0" w:rsidR="00217F8B" w:rsidRPr="00907732" w:rsidRDefault="00217F8B" w:rsidP="0016369D">
      <w:pPr>
        <w:spacing w:line="360" w:lineRule="auto"/>
        <w:rPr>
          <w:rFonts w:ascii="Arial" w:hAnsi="Arial" w:cs="Arial"/>
          <w:b/>
        </w:rPr>
      </w:pPr>
      <w:r w:rsidRPr="00907732">
        <w:rPr>
          <w:rFonts w:ascii="Arial" w:hAnsi="Arial" w:cs="Arial"/>
          <w:b/>
        </w:rPr>
        <w:t xml:space="preserve">EMINENT MINING HOLDING (PTY) LTD                    </w:t>
      </w:r>
      <w:r w:rsidR="0016369D">
        <w:rPr>
          <w:rFonts w:ascii="Arial" w:hAnsi="Arial" w:cs="Arial"/>
          <w:b/>
        </w:rPr>
        <w:t xml:space="preserve">  </w:t>
      </w:r>
      <w:r w:rsidRPr="00907732">
        <w:rPr>
          <w:rFonts w:ascii="Arial" w:hAnsi="Arial" w:cs="Arial"/>
          <w:b/>
        </w:rPr>
        <w:t xml:space="preserve"> THIRD DEFENDANT</w:t>
      </w:r>
    </w:p>
    <w:p w14:paraId="20FAE2CC" w14:textId="0D4659AF" w:rsidR="00217F8B" w:rsidRPr="00907732" w:rsidRDefault="00217F8B" w:rsidP="0016369D">
      <w:pPr>
        <w:spacing w:line="360" w:lineRule="auto"/>
        <w:rPr>
          <w:rFonts w:ascii="Arial" w:hAnsi="Arial" w:cs="Arial"/>
          <w:b/>
        </w:rPr>
      </w:pPr>
      <w:r w:rsidRPr="00907732">
        <w:rPr>
          <w:rFonts w:ascii="Arial" w:hAnsi="Arial" w:cs="Arial"/>
          <w:b/>
        </w:rPr>
        <w:t>MINISTER OF MINES AND EN</w:t>
      </w:r>
      <w:r w:rsidR="0016369D">
        <w:rPr>
          <w:rFonts w:ascii="Arial" w:hAnsi="Arial" w:cs="Arial"/>
          <w:b/>
        </w:rPr>
        <w:t xml:space="preserve">ERGY                         </w:t>
      </w:r>
      <w:r w:rsidRPr="00907732">
        <w:rPr>
          <w:rFonts w:ascii="Arial" w:hAnsi="Arial" w:cs="Arial"/>
          <w:b/>
        </w:rPr>
        <w:t xml:space="preserve">FOURTH DEFENDANT </w:t>
      </w:r>
    </w:p>
    <w:p w14:paraId="53DB65BA" w14:textId="77777777" w:rsidR="00217F8B" w:rsidRPr="00907732" w:rsidRDefault="00217F8B" w:rsidP="0016369D">
      <w:pPr>
        <w:spacing w:line="360" w:lineRule="auto"/>
        <w:rPr>
          <w:rFonts w:ascii="Arial" w:hAnsi="Arial" w:cs="Arial"/>
          <w:b/>
        </w:rPr>
      </w:pPr>
    </w:p>
    <w:p w14:paraId="2578535D" w14:textId="66A362E5" w:rsidR="0016369D" w:rsidRPr="005261D9" w:rsidRDefault="00217F8B" w:rsidP="0016369D">
      <w:pPr>
        <w:spacing w:line="360" w:lineRule="auto"/>
        <w:jc w:val="both"/>
        <w:rPr>
          <w:rFonts w:ascii="Arial" w:hAnsi="Arial" w:cs="Arial"/>
        </w:rPr>
      </w:pPr>
      <w:r w:rsidRPr="002D5507">
        <w:rPr>
          <w:rFonts w:ascii="Arial" w:hAnsi="Arial" w:cs="Arial"/>
          <w:b/>
        </w:rPr>
        <w:t>Neutral citation:</w:t>
      </w:r>
      <w:r w:rsidRPr="00907732">
        <w:rPr>
          <w:rFonts w:ascii="Arial" w:hAnsi="Arial" w:cs="Arial"/>
        </w:rPr>
        <w:t xml:space="preserve"> </w:t>
      </w:r>
      <w:r w:rsidRPr="00907732">
        <w:rPr>
          <w:rFonts w:ascii="Arial" w:hAnsi="Arial" w:cs="Arial"/>
          <w:i/>
        </w:rPr>
        <w:t>Fish Orange Mining Consortiu</w:t>
      </w:r>
      <w:r w:rsidR="002D5507">
        <w:rPr>
          <w:rFonts w:ascii="Arial" w:hAnsi="Arial" w:cs="Arial"/>
          <w:i/>
        </w:rPr>
        <w:t xml:space="preserve">m (Pty) Ltd </w:t>
      </w:r>
      <w:proofErr w:type="gramStart"/>
      <w:r w:rsidR="002D5507">
        <w:rPr>
          <w:rFonts w:ascii="Arial" w:hAnsi="Arial" w:cs="Arial"/>
          <w:i/>
        </w:rPr>
        <w:t xml:space="preserve">v </w:t>
      </w:r>
      <w:r w:rsidR="0016369D">
        <w:rPr>
          <w:rFonts w:ascii="Arial" w:hAnsi="Arial" w:cs="Arial"/>
          <w:i/>
        </w:rPr>
        <w:t>!</w:t>
      </w:r>
      <w:proofErr w:type="spellStart"/>
      <w:r w:rsidR="0016369D">
        <w:rPr>
          <w:rFonts w:ascii="Arial" w:hAnsi="Arial" w:cs="Arial"/>
          <w:i/>
        </w:rPr>
        <w:t>Goaseb</w:t>
      </w:r>
      <w:proofErr w:type="spellEnd"/>
      <w:proofErr w:type="gramEnd"/>
      <w:r w:rsidR="0016369D">
        <w:rPr>
          <w:rFonts w:ascii="Arial" w:hAnsi="Arial" w:cs="Arial"/>
          <w:i/>
        </w:rPr>
        <w:t xml:space="preserve"> </w:t>
      </w:r>
      <w:r w:rsidR="005C0CE2">
        <w:rPr>
          <w:rFonts w:ascii="Arial" w:hAnsi="Arial" w:cs="Arial"/>
          <w:i/>
        </w:rPr>
        <w:t xml:space="preserve">                 </w:t>
      </w:r>
      <w:r w:rsidR="0016369D">
        <w:rPr>
          <w:rFonts w:ascii="Arial" w:hAnsi="Arial" w:cs="Arial"/>
        </w:rPr>
        <w:t>(I</w:t>
      </w:r>
      <w:r w:rsidR="00C93426">
        <w:rPr>
          <w:rFonts w:ascii="Arial" w:hAnsi="Arial" w:cs="Arial"/>
        </w:rPr>
        <w:t xml:space="preserve"> </w:t>
      </w:r>
      <w:r w:rsidR="0016369D">
        <w:rPr>
          <w:rFonts w:ascii="Arial" w:hAnsi="Arial" w:cs="Arial"/>
        </w:rPr>
        <w:t xml:space="preserve">582/2010) </w:t>
      </w:r>
      <w:r w:rsidR="0016369D" w:rsidRPr="005261D9">
        <w:rPr>
          <w:rFonts w:ascii="Arial" w:hAnsi="Arial" w:cs="Arial"/>
        </w:rPr>
        <w:t xml:space="preserve">[2018] NAHCMD </w:t>
      </w:r>
      <w:r w:rsidR="00B27FF2">
        <w:rPr>
          <w:rFonts w:ascii="Arial" w:hAnsi="Arial" w:cs="Arial"/>
        </w:rPr>
        <w:t>154</w:t>
      </w:r>
      <w:r w:rsidR="0016369D">
        <w:rPr>
          <w:rFonts w:ascii="Arial" w:hAnsi="Arial" w:cs="Arial"/>
        </w:rPr>
        <w:t xml:space="preserve"> (</w:t>
      </w:r>
      <w:r w:rsidR="008252A6">
        <w:rPr>
          <w:rFonts w:ascii="Arial" w:hAnsi="Arial" w:cs="Arial"/>
        </w:rPr>
        <w:t>8 June</w:t>
      </w:r>
      <w:r w:rsidR="0016369D" w:rsidRPr="005261D9">
        <w:rPr>
          <w:rFonts w:ascii="Arial" w:hAnsi="Arial" w:cs="Arial"/>
        </w:rPr>
        <w:t xml:space="preserve"> 2018)</w:t>
      </w:r>
    </w:p>
    <w:p w14:paraId="22DA8490" w14:textId="51BB9F1C" w:rsidR="00217F8B" w:rsidRPr="00907732" w:rsidRDefault="00217F8B" w:rsidP="0016369D">
      <w:pPr>
        <w:spacing w:line="360" w:lineRule="auto"/>
        <w:rPr>
          <w:rFonts w:ascii="Arial" w:hAnsi="Arial" w:cs="Arial"/>
          <w:i/>
        </w:rPr>
      </w:pPr>
    </w:p>
    <w:p w14:paraId="4727AE6B" w14:textId="1E3DB8E9" w:rsidR="00217F8B" w:rsidRPr="002D5507" w:rsidRDefault="002D5507" w:rsidP="0016369D">
      <w:pPr>
        <w:spacing w:line="360" w:lineRule="auto"/>
        <w:rPr>
          <w:rFonts w:ascii="Arial" w:hAnsi="Arial" w:cs="Arial"/>
        </w:rPr>
      </w:pPr>
      <w:r>
        <w:rPr>
          <w:rFonts w:ascii="Arial" w:hAnsi="Arial" w:cs="Arial"/>
          <w:b/>
        </w:rPr>
        <w:t>CORAM</w:t>
      </w:r>
      <w:r w:rsidR="00217F8B" w:rsidRPr="00907732">
        <w:rPr>
          <w:rFonts w:ascii="Arial" w:hAnsi="Arial" w:cs="Arial"/>
          <w:b/>
        </w:rPr>
        <w:t xml:space="preserve">: </w:t>
      </w:r>
      <w:r>
        <w:rPr>
          <w:rFonts w:ascii="Arial" w:hAnsi="Arial" w:cs="Arial"/>
          <w:b/>
        </w:rPr>
        <w:tab/>
      </w:r>
      <w:r w:rsidR="00217F8B" w:rsidRPr="002D5507">
        <w:rPr>
          <w:rFonts w:ascii="Arial" w:hAnsi="Arial" w:cs="Arial"/>
        </w:rPr>
        <w:t>MASUKU J</w:t>
      </w:r>
    </w:p>
    <w:p w14:paraId="585B0933" w14:textId="385E1E79" w:rsidR="00217F8B" w:rsidRPr="002D5507" w:rsidRDefault="002D5507" w:rsidP="0016369D">
      <w:pPr>
        <w:spacing w:line="360" w:lineRule="auto"/>
        <w:rPr>
          <w:rFonts w:ascii="Arial" w:hAnsi="Arial" w:cs="Arial"/>
          <w:b/>
        </w:rPr>
      </w:pPr>
      <w:r w:rsidRPr="002D5507">
        <w:rPr>
          <w:rFonts w:ascii="Arial" w:hAnsi="Arial" w:cs="Arial"/>
          <w:b/>
        </w:rPr>
        <w:t>Heard</w:t>
      </w:r>
      <w:r w:rsidRPr="002D5507">
        <w:rPr>
          <w:rFonts w:ascii="Arial" w:hAnsi="Arial" w:cs="Arial"/>
          <w:b/>
        </w:rPr>
        <w:tab/>
      </w:r>
      <w:r w:rsidR="00217F8B" w:rsidRPr="002D5507">
        <w:rPr>
          <w:rFonts w:ascii="Arial" w:hAnsi="Arial" w:cs="Arial"/>
          <w:b/>
        </w:rPr>
        <w:t xml:space="preserve">: </w:t>
      </w:r>
      <w:r w:rsidRPr="002D5507">
        <w:rPr>
          <w:rFonts w:ascii="Arial" w:hAnsi="Arial" w:cs="Arial"/>
          <w:b/>
        </w:rPr>
        <w:tab/>
      </w:r>
      <w:r w:rsidR="00A25A6C" w:rsidRPr="002D5507">
        <w:rPr>
          <w:rFonts w:ascii="Arial" w:hAnsi="Arial" w:cs="Arial"/>
          <w:b/>
        </w:rPr>
        <w:t>4, 5, 6, 7 Sep</w:t>
      </w:r>
      <w:r>
        <w:rPr>
          <w:rFonts w:ascii="Arial" w:hAnsi="Arial" w:cs="Arial"/>
          <w:b/>
        </w:rPr>
        <w:t>tember 2017 and 8 February 2018</w:t>
      </w:r>
    </w:p>
    <w:p w14:paraId="4973B268" w14:textId="74BB4A63" w:rsidR="00217F8B" w:rsidRPr="002D5507" w:rsidRDefault="002D5507" w:rsidP="0016369D">
      <w:pPr>
        <w:spacing w:line="360" w:lineRule="auto"/>
        <w:rPr>
          <w:rFonts w:ascii="Arial" w:hAnsi="Arial" w:cs="Arial"/>
          <w:b/>
        </w:rPr>
      </w:pPr>
      <w:r w:rsidRPr="002D5507">
        <w:rPr>
          <w:rFonts w:ascii="Arial" w:hAnsi="Arial" w:cs="Arial"/>
          <w:b/>
        </w:rPr>
        <w:t>Delivered</w:t>
      </w:r>
      <w:r w:rsidR="00217F8B" w:rsidRPr="002D5507">
        <w:rPr>
          <w:rFonts w:ascii="Arial" w:hAnsi="Arial" w:cs="Arial"/>
          <w:b/>
        </w:rPr>
        <w:t xml:space="preserve">: </w:t>
      </w:r>
      <w:r w:rsidRPr="002D5507">
        <w:rPr>
          <w:rFonts w:ascii="Arial" w:hAnsi="Arial" w:cs="Arial"/>
          <w:b/>
        </w:rPr>
        <w:tab/>
      </w:r>
      <w:r>
        <w:rPr>
          <w:rFonts w:ascii="Arial" w:hAnsi="Arial" w:cs="Arial"/>
          <w:b/>
        </w:rPr>
        <w:t>8 June 2018</w:t>
      </w:r>
    </w:p>
    <w:p w14:paraId="76900D2E" w14:textId="77777777" w:rsidR="00217F8B" w:rsidRPr="00907732" w:rsidRDefault="00217F8B" w:rsidP="0016369D">
      <w:pPr>
        <w:spacing w:line="360" w:lineRule="auto"/>
        <w:rPr>
          <w:rFonts w:ascii="Arial" w:hAnsi="Arial" w:cs="Arial"/>
        </w:rPr>
      </w:pPr>
    </w:p>
    <w:p w14:paraId="0F568FE8" w14:textId="085DC1E8" w:rsidR="00217F8B" w:rsidRPr="00907732" w:rsidRDefault="00217F8B" w:rsidP="00BC47A9">
      <w:pPr>
        <w:spacing w:line="360" w:lineRule="auto"/>
        <w:jc w:val="both"/>
        <w:rPr>
          <w:rFonts w:ascii="Arial" w:hAnsi="Arial" w:cs="Arial"/>
          <w:b/>
        </w:rPr>
      </w:pPr>
      <w:r w:rsidRPr="00907732">
        <w:rPr>
          <w:rFonts w:ascii="Arial" w:hAnsi="Arial" w:cs="Arial"/>
          <w:b/>
        </w:rPr>
        <w:t>Flynote:</w:t>
      </w:r>
      <w:r w:rsidR="00BC47A9">
        <w:rPr>
          <w:rFonts w:ascii="Arial" w:hAnsi="Arial" w:cs="Arial"/>
          <w:b/>
        </w:rPr>
        <w:tab/>
      </w:r>
      <w:r w:rsidR="00BC47A9">
        <w:rPr>
          <w:rFonts w:ascii="Arial" w:hAnsi="Arial" w:cs="Arial"/>
        </w:rPr>
        <w:t xml:space="preserve">Civil Procedure – application for absolution from the instance –   </w:t>
      </w:r>
      <w:r w:rsidR="00CE1B93">
        <w:rPr>
          <w:rFonts w:ascii="Arial" w:hAnsi="Arial" w:cs="Arial"/>
        </w:rPr>
        <w:t xml:space="preserve">Rules of Court - </w:t>
      </w:r>
      <w:r w:rsidR="00BC47A9">
        <w:rPr>
          <w:rFonts w:ascii="Arial" w:hAnsi="Arial" w:cs="Arial"/>
        </w:rPr>
        <w:t>Rule 100 – principles governing the applica</w:t>
      </w:r>
      <w:r w:rsidR="00CE1B93">
        <w:rPr>
          <w:rFonts w:ascii="Arial" w:hAnsi="Arial" w:cs="Arial"/>
        </w:rPr>
        <w:t xml:space="preserve">tion discussed </w:t>
      </w:r>
      <w:r w:rsidR="00BC47A9">
        <w:rPr>
          <w:rFonts w:ascii="Arial" w:hAnsi="Arial" w:cs="Arial"/>
        </w:rPr>
        <w:t>–</w:t>
      </w:r>
      <w:r w:rsidR="00D521B2">
        <w:rPr>
          <w:rFonts w:ascii="Arial" w:hAnsi="Arial" w:cs="Arial"/>
        </w:rPr>
        <w:t xml:space="preserve"> requirement for absolution from the instance - whethe</w:t>
      </w:r>
      <w:r w:rsidR="00CE1B93">
        <w:rPr>
          <w:rFonts w:ascii="Arial" w:hAnsi="Arial" w:cs="Arial"/>
        </w:rPr>
        <w:t>r or not the plaintiff</w:t>
      </w:r>
      <w:r w:rsidR="00D521B2">
        <w:rPr>
          <w:rFonts w:ascii="Arial" w:hAnsi="Arial" w:cs="Arial"/>
        </w:rPr>
        <w:t xml:space="preserve"> set </w:t>
      </w:r>
      <w:r w:rsidR="00D521B2">
        <w:rPr>
          <w:rFonts w:ascii="Arial" w:hAnsi="Arial" w:cs="Arial"/>
        </w:rPr>
        <w:lastRenderedPageBreak/>
        <w:t xml:space="preserve">out a </w:t>
      </w:r>
      <w:r w:rsidR="00D521B2" w:rsidRPr="00CE1B93">
        <w:rPr>
          <w:rFonts w:ascii="Arial" w:hAnsi="Arial" w:cs="Arial"/>
          <w:i/>
        </w:rPr>
        <w:t>prima facie</w:t>
      </w:r>
      <w:r w:rsidR="00CE1B93">
        <w:rPr>
          <w:rFonts w:ascii="Arial" w:hAnsi="Arial" w:cs="Arial"/>
        </w:rPr>
        <w:t xml:space="preserve"> case </w:t>
      </w:r>
      <w:r w:rsidR="00D521B2">
        <w:rPr>
          <w:rFonts w:ascii="Arial" w:hAnsi="Arial" w:cs="Arial"/>
        </w:rPr>
        <w:t xml:space="preserve"> – </w:t>
      </w:r>
      <w:r w:rsidR="00CE1B93">
        <w:rPr>
          <w:rFonts w:ascii="Arial" w:hAnsi="Arial" w:cs="Arial"/>
        </w:rPr>
        <w:t>Law of Evidence - whether failure to examine an expert who has filed his report results in the court attaching no value to the expert report</w:t>
      </w:r>
      <w:r w:rsidR="00D521B2">
        <w:rPr>
          <w:rFonts w:ascii="Arial" w:hAnsi="Arial" w:cs="Arial"/>
        </w:rPr>
        <w:t xml:space="preserve"> – commercial </w:t>
      </w:r>
      <w:r w:rsidR="00CE1B93">
        <w:rPr>
          <w:rFonts w:ascii="Arial" w:hAnsi="Arial" w:cs="Arial"/>
        </w:rPr>
        <w:t>value attached to the Exclusive Prospecting Licence</w:t>
      </w:r>
      <w:r w:rsidR="00D521B2">
        <w:rPr>
          <w:rFonts w:ascii="Arial" w:hAnsi="Arial" w:cs="Arial"/>
        </w:rPr>
        <w:t xml:space="preserve"> – court’s discretion </w:t>
      </w:r>
      <w:r w:rsidR="00033084">
        <w:rPr>
          <w:rFonts w:ascii="Arial" w:hAnsi="Arial" w:cs="Arial"/>
        </w:rPr>
        <w:t xml:space="preserve">on how </w:t>
      </w:r>
      <w:r w:rsidR="00D521B2">
        <w:rPr>
          <w:rFonts w:ascii="Arial" w:hAnsi="Arial" w:cs="Arial"/>
        </w:rPr>
        <w:t>the value of the EPL License</w:t>
      </w:r>
      <w:r w:rsidR="00033084">
        <w:rPr>
          <w:rFonts w:ascii="Arial" w:hAnsi="Arial" w:cs="Arial"/>
        </w:rPr>
        <w:t xml:space="preserve"> is computed</w:t>
      </w:r>
      <w:r w:rsidR="00BC47A9">
        <w:rPr>
          <w:rFonts w:ascii="Arial" w:hAnsi="Arial" w:cs="Arial"/>
        </w:rPr>
        <w:t xml:space="preserve">.  </w:t>
      </w:r>
    </w:p>
    <w:p w14:paraId="06DB63DE" w14:textId="77777777" w:rsidR="00217F8B" w:rsidRPr="00907732" w:rsidRDefault="00217F8B" w:rsidP="0016369D">
      <w:pPr>
        <w:spacing w:line="360" w:lineRule="auto"/>
        <w:rPr>
          <w:rFonts w:ascii="Arial" w:hAnsi="Arial" w:cs="Arial"/>
          <w:b/>
        </w:rPr>
      </w:pPr>
    </w:p>
    <w:p w14:paraId="1B124D55" w14:textId="481BBECA" w:rsidR="003833F0" w:rsidRDefault="00217F8B" w:rsidP="003833F0">
      <w:pPr>
        <w:spacing w:line="360" w:lineRule="auto"/>
        <w:jc w:val="both"/>
        <w:rPr>
          <w:rFonts w:ascii="Arial" w:hAnsi="Arial" w:cs="Arial"/>
        </w:rPr>
      </w:pPr>
      <w:r w:rsidRPr="00907732">
        <w:rPr>
          <w:rFonts w:ascii="Arial" w:hAnsi="Arial" w:cs="Arial"/>
          <w:b/>
        </w:rPr>
        <w:t>Summary:</w:t>
      </w:r>
      <w:r w:rsidR="00F8791D">
        <w:rPr>
          <w:rFonts w:ascii="Arial" w:hAnsi="Arial" w:cs="Arial"/>
          <w:b/>
        </w:rPr>
        <w:tab/>
      </w:r>
      <w:r w:rsidR="00F8791D" w:rsidRPr="00F8791D">
        <w:rPr>
          <w:rFonts w:ascii="Arial" w:hAnsi="Arial" w:cs="Arial"/>
        </w:rPr>
        <w:t>The</w:t>
      </w:r>
      <w:r w:rsidR="00212BAD">
        <w:rPr>
          <w:rFonts w:ascii="Arial" w:hAnsi="Arial" w:cs="Arial"/>
        </w:rPr>
        <w:t xml:space="preserve"> plaintiff</w:t>
      </w:r>
      <w:r w:rsidR="00F8791D" w:rsidRPr="00907732">
        <w:rPr>
          <w:rFonts w:ascii="Arial" w:hAnsi="Arial" w:cs="Arial"/>
        </w:rPr>
        <w:t xml:space="preserve"> sued the defendants for payment of</w:t>
      </w:r>
      <w:r w:rsidR="00212BAD">
        <w:rPr>
          <w:rFonts w:ascii="Arial" w:hAnsi="Arial" w:cs="Arial"/>
        </w:rPr>
        <w:t xml:space="preserve"> an amount of N$ 5 Million. The</w:t>
      </w:r>
      <w:r w:rsidR="00CE1B93">
        <w:rPr>
          <w:rFonts w:ascii="Arial" w:hAnsi="Arial" w:cs="Arial"/>
        </w:rPr>
        <w:t xml:space="preserve"> amount</w:t>
      </w:r>
      <w:r w:rsidR="00F8791D" w:rsidRPr="00907732">
        <w:rPr>
          <w:rFonts w:ascii="Arial" w:hAnsi="Arial" w:cs="Arial"/>
        </w:rPr>
        <w:t xml:space="preserve"> claimed </w:t>
      </w:r>
      <w:r w:rsidR="00212BAD">
        <w:rPr>
          <w:rFonts w:ascii="Arial" w:hAnsi="Arial" w:cs="Arial"/>
        </w:rPr>
        <w:t>is in</w:t>
      </w:r>
      <w:r w:rsidR="00F8791D" w:rsidRPr="00907732">
        <w:rPr>
          <w:rFonts w:ascii="Arial" w:hAnsi="Arial" w:cs="Arial"/>
        </w:rPr>
        <w:t xml:space="preserve"> respect of the plaintiff sustain</w:t>
      </w:r>
      <w:r w:rsidR="00212BAD">
        <w:rPr>
          <w:rFonts w:ascii="Arial" w:hAnsi="Arial" w:cs="Arial"/>
        </w:rPr>
        <w:t xml:space="preserve">ing </w:t>
      </w:r>
      <w:r w:rsidR="00F8791D" w:rsidRPr="00907732">
        <w:rPr>
          <w:rFonts w:ascii="Arial" w:hAnsi="Arial" w:cs="Arial"/>
        </w:rPr>
        <w:t xml:space="preserve"> damages </w:t>
      </w:r>
      <w:r w:rsidR="00DC4FE3">
        <w:rPr>
          <w:rFonts w:ascii="Arial" w:hAnsi="Arial" w:cs="Arial"/>
        </w:rPr>
        <w:t xml:space="preserve">as a result of the </w:t>
      </w:r>
      <w:r w:rsidR="00F8791D" w:rsidRPr="00907732">
        <w:rPr>
          <w:rFonts w:ascii="Arial" w:hAnsi="Arial" w:cs="Arial"/>
        </w:rPr>
        <w:t xml:space="preserve">unlawful and wrongful transfer of a </w:t>
      </w:r>
      <w:r w:rsidR="00212BAD">
        <w:rPr>
          <w:rFonts w:ascii="Arial" w:hAnsi="Arial" w:cs="Arial"/>
        </w:rPr>
        <w:t>exclusive prospecting  licence</w:t>
      </w:r>
      <w:r w:rsidR="00DC4FE3">
        <w:rPr>
          <w:rFonts w:ascii="Arial" w:hAnsi="Arial" w:cs="Arial"/>
        </w:rPr>
        <w:t xml:space="preserve"> </w:t>
      </w:r>
      <w:r w:rsidR="00CE1B93">
        <w:rPr>
          <w:rFonts w:ascii="Arial" w:hAnsi="Arial" w:cs="Arial"/>
        </w:rPr>
        <w:t xml:space="preserve">(E.P.L.) </w:t>
      </w:r>
      <w:r w:rsidR="00DC4FE3">
        <w:rPr>
          <w:rFonts w:ascii="Arial" w:hAnsi="Arial" w:cs="Arial"/>
        </w:rPr>
        <w:t xml:space="preserve">caused by the </w:t>
      </w:r>
      <w:r w:rsidR="00CE1B93">
        <w:rPr>
          <w:rFonts w:ascii="Arial" w:hAnsi="Arial" w:cs="Arial"/>
        </w:rPr>
        <w:t>1</w:t>
      </w:r>
      <w:r w:rsidR="00CE1B93" w:rsidRPr="00CE1B93">
        <w:rPr>
          <w:rFonts w:ascii="Arial" w:hAnsi="Arial" w:cs="Arial"/>
          <w:vertAlign w:val="superscript"/>
        </w:rPr>
        <w:t>st</w:t>
      </w:r>
      <w:r w:rsidR="00CE1B93">
        <w:rPr>
          <w:rFonts w:ascii="Arial" w:hAnsi="Arial" w:cs="Arial"/>
        </w:rPr>
        <w:t xml:space="preserve"> and 2</w:t>
      </w:r>
      <w:r w:rsidR="00CE1B93" w:rsidRPr="00CE1B93">
        <w:rPr>
          <w:rFonts w:ascii="Arial" w:hAnsi="Arial" w:cs="Arial"/>
          <w:vertAlign w:val="superscript"/>
        </w:rPr>
        <w:t>nd</w:t>
      </w:r>
      <w:r w:rsidR="00CE1B93">
        <w:rPr>
          <w:rFonts w:ascii="Arial" w:hAnsi="Arial" w:cs="Arial"/>
        </w:rPr>
        <w:t xml:space="preserve"> </w:t>
      </w:r>
      <w:r w:rsidR="00DC4FE3">
        <w:rPr>
          <w:rFonts w:ascii="Arial" w:hAnsi="Arial" w:cs="Arial"/>
        </w:rPr>
        <w:t>defendants</w:t>
      </w:r>
      <w:r w:rsidR="00CE1B93">
        <w:rPr>
          <w:rFonts w:ascii="Arial" w:hAnsi="Arial" w:cs="Arial"/>
        </w:rPr>
        <w:t xml:space="preserve"> to the 3</w:t>
      </w:r>
      <w:r w:rsidR="00CE1B93" w:rsidRPr="00CE1B93">
        <w:rPr>
          <w:rFonts w:ascii="Arial" w:hAnsi="Arial" w:cs="Arial"/>
          <w:vertAlign w:val="superscript"/>
        </w:rPr>
        <w:t>rd</w:t>
      </w:r>
      <w:r w:rsidR="00CE1B93">
        <w:rPr>
          <w:rFonts w:ascii="Arial" w:hAnsi="Arial" w:cs="Arial"/>
        </w:rPr>
        <w:t xml:space="preserve"> defendant</w:t>
      </w:r>
      <w:r w:rsidR="00212BAD">
        <w:rPr>
          <w:rFonts w:ascii="Arial" w:hAnsi="Arial" w:cs="Arial"/>
        </w:rPr>
        <w:t xml:space="preserve">. </w:t>
      </w:r>
      <w:r w:rsidR="00CE1B93">
        <w:rPr>
          <w:rFonts w:ascii="Arial" w:hAnsi="Arial" w:cs="Arial"/>
        </w:rPr>
        <w:t>At the close of the plaintiff’s case, t</w:t>
      </w:r>
      <w:r w:rsidR="00212BAD">
        <w:rPr>
          <w:rFonts w:ascii="Arial" w:hAnsi="Arial" w:cs="Arial"/>
        </w:rPr>
        <w:t xml:space="preserve">he </w:t>
      </w:r>
      <w:r w:rsidR="00CE1B93">
        <w:rPr>
          <w:rFonts w:ascii="Arial" w:hAnsi="Arial" w:cs="Arial"/>
        </w:rPr>
        <w:t>1</w:t>
      </w:r>
      <w:r w:rsidR="00CE1B93" w:rsidRPr="00CE1B93">
        <w:rPr>
          <w:rFonts w:ascii="Arial" w:hAnsi="Arial" w:cs="Arial"/>
          <w:vertAlign w:val="superscript"/>
        </w:rPr>
        <w:t>st</w:t>
      </w:r>
      <w:r w:rsidR="00CE1B93">
        <w:rPr>
          <w:rFonts w:ascii="Arial" w:hAnsi="Arial" w:cs="Arial"/>
        </w:rPr>
        <w:t xml:space="preserve"> and 2</w:t>
      </w:r>
      <w:r w:rsidR="00CE1B93" w:rsidRPr="00CE1B93">
        <w:rPr>
          <w:rFonts w:ascii="Arial" w:hAnsi="Arial" w:cs="Arial"/>
          <w:vertAlign w:val="superscript"/>
        </w:rPr>
        <w:t>nd</w:t>
      </w:r>
      <w:r w:rsidR="00CE1B93">
        <w:rPr>
          <w:rFonts w:ascii="Arial" w:hAnsi="Arial" w:cs="Arial"/>
        </w:rPr>
        <w:t xml:space="preserve"> </w:t>
      </w:r>
      <w:r w:rsidR="00DC4FE3">
        <w:rPr>
          <w:rFonts w:ascii="Arial" w:hAnsi="Arial" w:cs="Arial"/>
        </w:rPr>
        <w:t>defendant</w:t>
      </w:r>
      <w:r w:rsidR="00CE1B93">
        <w:rPr>
          <w:rFonts w:ascii="Arial" w:hAnsi="Arial" w:cs="Arial"/>
        </w:rPr>
        <w:t>s</w:t>
      </w:r>
      <w:r w:rsidR="00DC4FE3">
        <w:rPr>
          <w:rFonts w:ascii="Arial" w:hAnsi="Arial" w:cs="Arial"/>
        </w:rPr>
        <w:t xml:space="preserve"> brought</w:t>
      </w:r>
      <w:r w:rsidR="00CE1B93">
        <w:rPr>
          <w:rFonts w:ascii="Arial" w:hAnsi="Arial" w:cs="Arial"/>
        </w:rPr>
        <w:t xml:space="preserve"> an application for absolution </w:t>
      </w:r>
      <w:r w:rsidR="00DC4FE3">
        <w:rPr>
          <w:rFonts w:ascii="Arial" w:hAnsi="Arial" w:cs="Arial"/>
        </w:rPr>
        <w:t>f</w:t>
      </w:r>
      <w:r w:rsidR="00CE1B93">
        <w:rPr>
          <w:rFonts w:ascii="Arial" w:hAnsi="Arial" w:cs="Arial"/>
        </w:rPr>
        <w:t>rom</w:t>
      </w:r>
      <w:r w:rsidR="00DC4FE3">
        <w:rPr>
          <w:rFonts w:ascii="Arial" w:hAnsi="Arial" w:cs="Arial"/>
        </w:rPr>
        <w:t xml:space="preserve"> the instance</w:t>
      </w:r>
      <w:r w:rsidR="003833F0">
        <w:rPr>
          <w:rFonts w:ascii="Arial" w:hAnsi="Arial" w:cs="Arial"/>
        </w:rPr>
        <w:t xml:space="preserve"> on the following grounds - f</w:t>
      </w:r>
      <w:r w:rsidR="003833F0" w:rsidRPr="00907732">
        <w:rPr>
          <w:rFonts w:ascii="Arial" w:hAnsi="Arial" w:cs="Arial"/>
        </w:rPr>
        <w:t xml:space="preserve">irst, the </w:t>
      </w:r>
      <w:r w:rsidR="003833F0">
        <w:rPr>
          <w:rFonts w:ascii="Arial" w:hAnsi="Arial" w:cs="Arial"/>
        </w:rPr>
        <w:t>defendant</w:t>
      </w:r>
      <w:r w:rsidR="003833F0" w:rsidRPr="00907732">
        <w:rPr>
          <w:rFonts w:ascii="Arial" w:hAnsi="Arial" w:cs="Arial"/>
        </w:rPr>
        <w:t xml:space="preserve"> </w:t>
      </w:r>
      <w:r w:rsidR="003833F0">
        <w:rPr>
          <w:rFonts w:ascii="Arial" w:hAnsi="Arial" w:cs="Arial"/>
        </w:rPr>
        <w:t xml:space="preserve">submitted plaintiff </w:t>
      </w:r>
      <w:r w:rsidR="003833F0" w:rsidRPr="00907732">
        <w:rPr>
          <w:rFonts w:ascii="Arial" w:hAnsi="Arial" w:cs="Arial"/>
        </w:rPr>
        <w:t>failed to lead admissible evidence of an expert to prove that the EPL has some commercial value which would in turn prove the amount of damages allegedly suffered by the plaintiff</w:t>
      </w:r>
      <w:r w:rsidR="003833F0">
        <w:rPr>
          <w:rFonts w:ascii="Arial" w:hAnsi="Arial" w:cs="Arial"/>
        </w:rPr>
        <w:t xml:space="preserve">. </w:t>
      </w:r>
      <w:r w:rsidR="003833F0" w:rsidRPr="00907732">
        <w:rPr>
          <w:rFonts w:ascii="Arial" w:hAnsi="Arial" w:cs="Arial"/>
        </w:rPr>
        <w:t xml:space="preserve"> </w:t>
      </w:r>
      <w:r w:rsidR="003833F0">
        <w:rPr>
          <w:rFonts w:ascii="Arial" w:hAnsi="Arial" w:cs="Arial"/>
        </w:rPr>
        <w:t xml:space="preserve">The second point of </w:t>
      </w:r>
      <w:r w:rsidR="003833F0" w:rsidRPr="00907732">
        <w:rPr>
          <w:rFonts w:ascii="Arial" w:hAnsi="Arial" w:cs="Arial"/>
        </w:rPr>
        <w:t>argument relate</w:t>
      </w:r>
      <w:r w:rsidR="003833F0">
        <w:rPr>
          <w:rFonts w:ascii="Arial" w:hAnsi="Arial" w:cs="Arial"/>
        </w:rPr>
        <w:t>d</w:t>
      </w:r>
      <w:r w:rsidR="003833F0" w:rsidRPr="00907732">
        <w:rPr>
          <w:rFonts w:ascii="Arial" w:hAnsi="Arial" w:cs="Arial"/>
        </w:rPr>
        <w:t xml:space="preserve"> to </w:t>
      </w:r>
      <w:r w:rsidR="003833F0">
        <w:rPr>
          <w:rFonts w:ascii="Arial" w:hAnsi="Arial" w:cs="Arial"/>
        </w:rPr>
        <w:t xml:space="preserve">the </w:t>
      </w:r>
      <w:r w:rsidR="003833F0" w:rsidRPr="00907732">
        <w:rPr>
          <w:rFonts w:ascii="Arial" w:hAnsi="Arial" w:cs="Arial"/>
        </w:rPr>
        <w:t>laws</w:t>
      </w:r>
      <w:r w:rsidR="003833F0">
        <w:rPr>
          <w:rFonts w:ascii="Arial" w:hAnsi="Arial" w:cs="Arial"/>
        </w:rPr>
        <w:t xml:space="preserve"> relating to</w:t>
      </w:r>
      <w:r w:rsidR="003833F0" w:rsidRPr="00907732">
        <w:rPr>
          <w:rFonts w:ascii="Arial" w:hAnsi="Arial" w:cs="Arial"/>
        </w:rPr>
        <w:t xml:space="preserve"> the issue of extraction of minerals</w:t>
      </w:r>
      <w:r w:rsidR="00CE1B93">
        <w:rPr>
          <w:rFonts w:ascii="Arial" w:hAnsi="Arial" w:cs="Arial"/>
        </w:rPr>
        <w:t xml:space="preserve"> and that the plaintiff did not have the licence to mine and remove the minerals for sale</w:t>
      </w:r>
      <w:r w:rsidR="003833F0">
        <w:rPr>
          <w:rFonts w:ascii="Arial" w:hAnsi="Arial" w:cs="Arial"/>
        </w:rPr>
        <w:t xml:space="preserve">. </w:t>
      </w:r>
    </w:p>
    <w:p w14:paraId="78466270" w14:textId="77777777" w:rsidR="003833F0" w:rsidRDefault="003833F0" w:rsidP="003833F0">
      <w:pPr>
        <w:spacing w:line="360" w:lineRule="auto"/>
        <w:jc w:val="both"/>
        <w:rPr>
          <w:rFonts w:ascii="Arial" w:hAnsi="Arial" w:cs="Arial"/>
        </w:rPr>
      </w:pPr>
    </w:p>
    <w:p w14:paraId="4035599D" w14:textId="77777777" w:rsidR="00CE1B93" w:rsidRDefault="003833F0" w:rsidP="00684B40">
      <w:pPr>
        <w:spacing w:line="360" w:lineRule="auto"/>
        <w:jc w:val="both"/>
        <w:rPr>
          <w:rFonts w:ascii="Arial" w:hAnsi="Arial" w:cs="Arial"/>
        </w:rPr>
      </w:pPr>
      <w:r>
        <w:rPr>
          <w:rFonts w:ascii="Arial" w:hAnsi="Arial" w:cs="Arial"/>
          <w:i/>
        </w:rPr>
        <w:t>Held:</w:t>
      </w:r>
      <w:r w:rsidR="00CE1B93">
        <w:rPr>
          <w:rFonts w:ascii="Arial" w:hAnsi="Arial" w:cs="Arial"/>
          <w:i/>
        </w:rPr>
        <w:tab/>
      </w:r>
      <w:r w:rsidR="00CE1B93">
        <w:rPr>
          <w:rFonts w:ascii="Arial" w:hAnsi="Arial" w:cs="Arial"/>
        </w:rPr>
        <w:t>That the plaintiff had led evidence to suggest that the transfer of the licence by the said defendants was unlawful.</w:t>
      </w:r>
    </w:p>
    <w:p w14:paraId="1117C5BB" w14:textId="77777777" w:rsidR="00CE1B93" w:rsidRDefault="00CE1B93" w:rsidP="00684B40">
      <w:pPr>
        <w:spacing w:line="360" w:lineRule="auto"/>
        <w:jc w:val="both"/>
        <w:rPr>
          <w:rFonts w:ascii="Arial" w:hAnsi="Arial" w:cs="Arial"/>
        </w:rPr>
      </w:pPr>
    </w:p>
    <w:p w14:paraId="634E1B55" w14:textId="77777777" w:rsidR="00CE1B93" w:rsidRDefault="00CE1B93" w:rsidP="00684B40">
      <w:pPr>
        <w:spacing w:line="360" w:lineRule="auto"/>
        <w:jc w:val="both"/>
        <w:rPr>
          <w:rFonts w:ascii="Arial" w:hAnsi="Arial" w:cs="Arial"/>
        </w:rPr>
      </w:pPr>
      <w:r>
        <w:rPr>
          <w:rFonts w:ascii="Arial" w:hAnsi="Arial" w:cs="Arial"/>
          <w:i/>
        </w:rPr>
        <w:t xml:space="preserve">Held further: </w:t>
      </w:r>
      <w:r>
        <w:rPr>
          <w:rFonts w:ascii="Arial" w:hAnsi="Arial" w:cs="Arial"/>
        </w:rPr>
        <w:t xml:space="preserve">That the plaintiff did place evidence before court by an expert regarding the value of the E.P.L. (subject to certain safeguards) and that the court was not entitled to disregard that evidence merely because the said expert was not examined, considering that his report was admitted by the consent of the parties.  </w:t>
      </w:r>
    </w:p>
    <w:p w14:paraId="087592D6" w14:textId="77777777" w:rsidR="00CE1B93" w:rsidRDefault="00CE1B93" w:rsidP="00684B40">
      <w:pPr>
        <w:spacing w:line="360" w:lineRule="auto"/>
        <w:jc w:val="both"/>
        <w:rPr>
          <w:rFonts w:ascii="Arial" w:hAnsi="Arial" w:cs="Arial"/>
        </w:rPr>
      </w:pPr>
    </w:p>
    <w:p w14:paraId="63657BE5" w14:textId="6D3144EB" w:rsidR="002A64B7" w:rsidRDefault="00CE1B93" w:rsidP="00684B40">
      <w:pPr>
        <w:spacing w:line="360" w:lineRule="auto"/>
        <w:jc w:val="both"/>
        <w:rPr>
          <w:rFonts w:ascii="Arial" w:hAnsi="Arial" w:cs="Arial"/>
        </w:rPr>
      </w:pPr>
      <w:r>
        <w:rPr>
          <w:rFonts w:ascii="Arial" w:hAnsi="Arial" w:cs="Arial"/>
          <w:i/>
        </w:rPr>
        <w:t xml:space="preserve">Held: </w:t>
      </w:r>
      <w:r>
        <w:rPr>
          <w:rFonts w:ascii="Arial" w:hAnsi="Arial" w:cs="Arial"/>
        </w:rPr>
        <w:t>That the E.P.L. does have some commercial value and it is the duty of the court, subject to hearing the evidence of the defendants</w:t>
      </w:r>
      <w:r w:rsidR="006D0E44">
        <w:rPr>
          <w:rFonts w:ascii="Arial" w:hAnsi="Arial" w:cs="Arial"/>
        </w:rPr>
        <w:t>,</w:t>
      </w:r>
      <w:r>
        <w:rPr>
          <w:rFonts w:ascii="Arial" w:hAnsi="Arial" w:cs="Arial"/>
        </w:rPr>
        <w:t xml:space="preserve"> that has to decide</w:t>
      </w:r>
      <w:r w:rsidR="002A64B7">
        <w:rPr>
          <w:rFonts w:ascii="Arial" w:hAnsi="Arial" w:cs="Arial"/>
        </w:rPr>
        <w:t xml:space="preserve"> what damages</w:t>
      </w:r>
      <w:r w:rsidR="006D0E44">
        <w:rPr>
          <w:rFonts w:ascii="Arial" w:hAnsi="Arial" w:cs="Arial"/>
        </w:rPr>
        <w:t>, if any,</w:t>
      </w:r>
      <w:r w:rsidR="002A64B7">
        <w:rPr>
          <w:rFonts w:ascii="Arial" w:hAnsi="Arial" w:cs="Arial"/>
        </w:rPr>
        <w:t xml:space="preserve"> had been proved by the plaintiff.</w:t>
      </w:r>
    </w:p>
    <w:p w14:paraId="0DC3D822" w14:textId="77777777" w:rsidR="002D5507" w:rsidRDefault="002D5507" w:rsidP="00684B40">
      <w:pPr>
        <w:spacing w:line="360" w:lineRule="auto"/>
        <w:jc w:val="both"/>
        <w:rPr>
          <w:rFonts w:ascii="Arial" w:hAnsi="Arial" w:cs="Arial"/>
        </w:rPr>
      </w:pPr>
    </w:p>
    <w:p w14:paraId="60420DA3" w14:textId="3EA617EF" w:rsidR="002A64B7" w:rsidRPr="00907732" w:rsidRDefault="002A64B7" w:rsidP="002A64B7">
      <w:pPr>
        <w:spacing w:line="360" w:lineRule="auto"/>
        <w:jc w:val="both"/>
        <w:rPr>
          <w:rFonts w:ascii="Arial" w:hAnsi="Arial" w:cs="Arial"/>
        </w:rPr>
      </w:pPr>
      <w:proofErr w:type="gramStart"/>
      <w:r>
        <w:rPr>
          <w:rFonts w:ascii="Arial" w:hAnsi="Arial" w:cs="Arial"/>
          <w:i/>
        </w:rPr>
        <w:t xml:space="preserve">Held further that: </w:t>
      </w:r>
      <w:r>
        <w:rPr>
          <w:rFonts w:ascii="Arial" w:hAnsi="Arial" w:cs="Arial"/>
        </w:rPr>
        <w:t>The awarding of damages is primarily the duty</w:t>
      </w:r>
      <w:r w:rsidRPr="00907732">
        <w:rPr>
          <w:rFonts w:ascii="Arial" w:hAnsi="Arial" w:cs="Arial"/>
        </w:rPr>
        <w:t xml:space="preserve"> of the</w:t>
      </w:r>
      <w:r w:rsidR="002D5507">
        <w:rPr>
          <w:rFonts w:ascii="Arial" w:hAnsi="Arial" w:cs="Arial"/>
        </w:rPr>
        <w:t xml:space="preserve"> court </w:t>
      </w:r>
      <w:r w:rsidRPr="00907732">
        <w:rPr>
          <w:rFonts w:ascii="Arial" w:hAnsi="Arial" w:cs="Arial"/>
        </w:rPr>
        <w:t>and not that of the expert witness.</w:t>
      </w:r>
      <w:proofErr w:type="gramEnd"/>
      <w:r w:rsidRPr="00907732">
        <w:rPr>
          <w:rFonts w:ascii="Arial" w:hAnsi="Arial" w:cs="Arial"/>
        </w:rPr>
        <w:t xml:space="preserve">   </w:t>
      </w:r>
    </w:p>
    <w:p w14:paraId="37C72E4D" w14:textId="77777777" w:rsidR="002A64B7" w:rsidRDefault="002A64B7" w:rsidP="00684B40">
      <w:pPr>
        <w:spacing w:line="360" w:lineRule="auto"/>
        <w:jc w:val="both"/>
        <w:rPr>
          <w:rFonts w:ascii="Arial" w:hAnsi="Arial" w:cs="Arial"/>
        </w:rPr>
      </w:pPr>
    </w:p>
    <w:p w14:paraId="0AA77ECC" w14:textId="77777777" w:rsidR="002A64B7" w:rsidRDefault="002A64B7" w:rsidP="00684B40">
      <w:pPr>
        <w:spacing w:line="360" w:lineRule="auto"/>
        <w:jc w:val="both"/>
        <w:rPr>
          <w:rFonts w:ascii="Arial" w:hAnsi="Arial" w:cs="Arial"/>
        </w:rPr>
      </w:pPr>
      <w:r>
        <w:rPr>
          <w:rFonts w:ascii="Arial" w:hAnsi="Arial" w:cs="Arial"/>
          <w:i/>
        </w:rPr>
        <w:lastRenderedPageBreak/>
        <w:t xml:space="preserve">Held: </w:t>
      </w:r>
      <w:r>
        <w:rPr>
          <w:rFonts w:ascii="Arial" w:hAnsi="Arial" w:cs="Arial"/>
        </w:rPr>
        <w:t xml:space="preserve">That the plaintiff had succeeded to meet the threshold of absolution from the instance, namely that it had adduced evidence upon which a court acting reasonably may find for the plaintiff. </w:t>
      </w:r>
    </w:p>
    <w:p w14:paraId="6C5F59A5" w14:textId="77777777" w:rsidR="002A64B7" w:rsidRDefault="002A64B7" w:rsidP="00684B40">
      <w:pPr>
        <w:spacing w:line="360" w:lineRule="auto"/>
        <w:jc w:val="both"/>
        <w:rPr>
          <w:rFonts w:ascii="Arial" w:hAnsi="Arial" w:cs="Arial"/>
        </w:rPr>
      </w:pPr>
    </w:p>
    <w:p w14:paraId="2992F20C" w14:textId="1448DB35" w:rsidR="00217F8B" w:rsidRPr="002A64B7" w:rsidRDefault="002A64B7" w:rsidP="00212BAD">
      <w:pPr>
        <w:spacing w:line="360" w:lineRule="auto"/>
        <w:jc w:val="both"/>
        <w:rPr>
          <w:rFonts w:ascii="Arial" w:hAnsi="Arial" w:cs="Arial"/>
          <w:i/>
        </w:rPr>
      </w:pPr>
      <w:r>
        <w:rPr>
          <w:rFonts w:ascii="Arial" w:hAnsi="Arial" w:cs="Arial"/>
        </w:rPr>
        <w:t>The application for absolution from the instance was thus refused with costs and the defendants were ordered to open their defence.</w:t>
      </w:r>
      <w:r w:rsidR="00684B40">
        <w:rPr>
          <w:rFonts w:ascii="Arial" w:hAnsi="Arial" w:cs="Arial"/>
          <w:i/>
        </w:rPr>
        <w:tab/>
      </w:r>
    </w:p>
    <w:p w14:paraId="055C8B42" w14:textId="77777777" w:rsidR="00217F8B" w:rsidRPr="00907732" w:rsidRDefault="00217F8B" w:rsidP="003156D0">
      <w:pPr>
        <w:pBdr>
          <w:bottom w:val="single" w:sz="6" w:space="1" w:color="auto"/>
        </w:pBdr>
        <w:spacing w:line="360" w:lineRule="auto"/>
        <w:rPr>
          <w:rFonts w:ascii="Arial" w:hAnsi="Arial" w:cs="Arial"/>
          <w:b/>
        </w:rPr>
      </w:pPr>
    </w:p>
    <w:p w14:paraId="4A570EBC" w14:textId="77777777" w:rsidR="00217F8B" w:rsidRPr="00907732" w:rsidRDefault="00217F8B" w:rsidP="003156D0">
      <w:pPr>
        <w:spacing w:line="360" w:lineRule="auto"/>
        <w:rPr>
          <w:rFonts w:ascii="Arial" w:hAnsi="Arial" w:cs="Arial"/>
        </w:rPr>
      </w:pPr>
    </w:p>
    <w:p w14:paraId="08DD1F23" w14:textId="77777777" w:rsidR="00217F8B" w:rsidRPr="00907732" w:rsidRDefault="00217F8B" w:rsidP="003156D0">
      <w:pPr>
        <w:spacing w:line="360" w:lineRule="auto"/>
        <w:jc w:val="center"/>
        <w:rPr>
          <w:rFonts w:ascii="Arial" w:hAnsi="Arial" w:cs="Arial"/>
          <w:b/>
        </w:rPr>
      </w:pPr>
      <w:r w:rsidRPr="00907732">
        <w:rPr>
          <w:rFonts w:ascii="Arial" w:hAnsi="Arial" w:cs="Arial"/>
          <w:b/>
        </w:rPr>
        <w:t>ORDER</w:t>
      </w:r>
    </w:p>
    <w:p w14:paraId="26003737" w14:textId="77777777" w:rsidR="00217F8B" w:rsidRPr="00907732" w:rsidRDefault="00217F8B" w:rsidP="003156D0">
      <w:pPr>
        <w:pBdr>
          <w:bottom w:val="single" w:sz="6" w:space="1" w:color="auto"/>
        </w:pBdr>
        <w:spacing w:line="360" w:lineRule="auto"/>
        <w:jc w:val="center"/>
        <w:rPr>
          <w:rFonts w:ascii="Arial" w:hAnsi="Arial" w:cs="Arial"/>
          <w:b/>
        </w:rPr>
      </w:pPr>
    </w:p>
    <w:p w14:paraId="715306FA" w14:textId="77777777" w:rsidR="00217F8B" w:rsidRPr="00907732" w:rsidRDefault="00217F8B" w:rsidP="003156D0">
      <w:pPr>
        <w:spacing w:line="360" w:lineRule="auto"/>
        <w:rPr>
          <w:rFonts w:ascii="Arial" w:hAnsi="Arial" w:cs="Arial"/>
        </w:rPr>
      </w:pPr>
    </w:p>
    <w:p w14:paraId="193FA866" w14:textId="77777777" w:rsidR="00217F8B" w:rsidRPr="00907732" w:rsidRDefault="00217F8B" w:rsidP="002D5507">
      <w:pPr>
        <w:pStyle w:val="ListParagraph"/>
        <w:numPr>
          <w:ilvl w:val="0"/>
          <w:numId w:val="1"/>
        </w:numPr>
        <w:spacing w:line="360" w:lineRule="auto"/>
        <w:ind w:hanging="720"/>
        <w:rPr>
          <w:rFonts w:ascii="Arial" w:hAnsi="Arial" w:cs="Arial"/>
        </w:rPr>
      </w:pPr>
      <w:r w:rsidRPr="00907732">
        <w:rPr>
          <w:rFonts w:ascii="Arial" w:hAnsi="Arial" w:cs="Arial"/>
        </w:rPr>
        <w:t>The application for absolution from the instance is hereby dismissed.</w:t>
      </w:r>
    </w:p>
    <w:p w14:paraId="3A2C0308" w14:textId="77777777" w:rsidR="00217F8B" w:rsidRPr="00907732" w:rsidRDefault="00217F8B" w:rsidP="002D5507">
      <w:pPr>
        <w:pStyle w:val="ListParagraph"/>
        <w:spacing w:line="360" w:lineRule="auto"/>
        <w:ind w:hanging="720"/>
        <w:rPr>
          <w:rFonts w:ascii="Arial" w:hAnsi="Arial" w:cs="Arial"/>
        </w:rPr>
      </w:pPr>
    </w:p>
    <w:p w14:paraId="457D29AA" w14:textId="798D05BE" w:rsidR="00217F8B" w:rsidRPr="00907732" w:rsidRDefault="00A34F74" w:rsidP="002D5507">
      <w:pPr>
        <w:pStyle w:val="ListParagraph"/>
        <w:numPr>
          <w:ilvl w:val="0"/>
          <w:numId w:val="1"/>
        </w:numPr>
        <w:spacing w:line="360" w:lineRule="auto"/>
        <w:ind w:hanging="720"/>
        <w:jc w:val="both"/>
        <w:rPr>
          <w:rFonts w:ascii="Arial" w:hAnsi="Arial" w:cs="Arial"/>
        </w:rPr>
      </w:pPr>
      <w:r w:rsidRPr="00907732">
        <w:rPr>
          <w:rFonts w:ascii="Arial" w:hAnsi="Arial" w:cs="Arial"/>
        </w:rPr>
        <w:t>The First and Second D</w:t>
      </w:r>
      <w:r w:rsidR="00217F8B" w:rsidRPr="00907732">
        <w:rPr>
          <w:rFonts w:ascii="Arial" w:hAnsi="Arial" w:cs="Arial"/>
        </w:rPr>
        <w:t>efendants are ordered to pay the costs thereof jointly and severally, the one paying and the other being absolved, consequent upon the employment of one instructing and one instructed Counsel.</w:t>
      </w:r>
    </w:p>
    <w:p w14:paraId="6DB43DD7" w14:textId="77777777" w:rsidR="00217F8B" w:rsidRPr="00907732" w:rsidRDefault="00217F8B" w:rsidP="002D5507">
      <w:pPr>
        <w:spacing w:line="360" w:lineRule="auto"/>
        <w:ind w:hanging="720"/>
        <w:jc w:val="both"/>
        <w:rPr>
          <w:rFonts w:ascii="Arial" w:hAnsi="Arial" w:cs="Arial"/>
        </w:rPr>
      </w:pPr>
    </w:p>
    <w:p w14:paraId="36B54E34" w14:textId="625A0526" w:rsidR="00217F8B" w:rsidRPr="00907732" w:rsidRDefault="00A34F74" w:rsidP="002D5507">
      <w:pPr>
        <w:pStyle w:val="ListParagraph"/>
        <w:numPr>
          <w:ilvl w:val="0"/>
          <w:numId w:val="1"/>
        </w:numPr>
        <w:spacing w:line="360" w:lineRule="auto"/>
        <w:ind w:hanging="720"/>
        <w:jc w:val="both"/>
        <w:rPr>
          <w:rFonts w:ascii="Arial" w:hAnsi="Arial" w:cs="Arial"/>
        </w:rPr>
      </w:pPr>
      <w:r w:rsidRPr="00907732">
        <w:rPr>
          <w:rFonts w:ascii="Arial" w:hAnsi="Arial" w:cs="Arial"/>
        </w:rPr>
        <w:t>The matter is postponed to 21 June 2018 at 08:30</w:t>
      </w:r>
      <w:r w:rsidR="00217F8B" w:rsidRPr="00907732">
        <w:rPr>
          <w:rFonts w:ascii="Arial" w:hAnsi="Arial" w:cs="Arial"/>
        </w:rPr>
        <w:t xml:space="preserve"> for</w:t>
      </w:r>
      <w:r w:rsidRPr="00907732">
        <w:rPr>
          <w:rFonts w:ascii="Arial" w:hAnsi="Arial" w:cs="Arial"/>
        </w:rPr>
        <w:t xml:space="preserve"> setting dates </w:t>
      </w:r>
      <w:r w:rsidR="005C2A01" w:rsidRPr="00907732">
        <w:rPr>
          <w:rFonts w:ascii="Arial" w:hAnsi="Arial" w:cs="Arial"/>
        </w:rPr>
        <w:t>for continuation</w:t>
      </w:r>
      <w:r w:rsidR="00217F8B" w:rsidRPr="00907732">
        <w:rPr>
          <w:rFonts w:ascii="Arial" w:hAnsi="Arial" w:cs="Arial"/>
        </w:rPr>
        <w:t xml:space="preserve"> of the trial.</w:t>
      </w:r>
    </w:p>
    <w:p w14:paraId="6485E659" w14:textId="77777777" w:rsidR="00217F8B" w:rsidRPr="00907732" w:rsidRDefault="00217F8B" w:rsidP="0016369D">
      <w:pPr>
        <w:pBdr>
          <w:bottom w:val="single" w:sz="6" w:space="1" w:color="auto"/>
        </w:pBdr>
        <w:spacing w:line="360" w:lineRule="auto"/>
        <w:jc w:val="both"/>
        <w:rPr>
          <w:rFonts w:ascii="Arial" w:hAnsi="Arial" w:cs="Arial"/>
        </w:rPr>
      </w:pPr>
    </w:p>
    <w:p w14:paraId="7FE2CCC7" w14:textId="77777777" w:rsidR="00217F8B" w:rsidRPr="00907732" w:rsidRDefault="00217F8B" w:rsidP="0016369D">
      <w:pPr>
        <w:spacing w:line="360" w:lineRule="auto"/>
        <w:jc w:val="both"/>
        <w:rPr>
          <w:rFonts w:ascii="Arial" w:hAnsi="Arial" w:cs="Arial"/>
        </w:rPr>
      </w:pPr>
    </w:p>
    <w:p w14:paraId="3AD6F670" w14:textId="77777777" w:rsidR="00217F8B" w:rsidRPr="00907732" w:rsidRDefault="00217F8B" w:rsidP="0016369D">
      <w:pPr>
        <w:spacing w:line="360" w:lineRule="auto"/>
        <w:jc w:val="center"/>
        <w:rPr>
          <w:rFonts w:ascii="Arial" w:hAnsi="Arial" w:cs="Arial"/>
          <w:b/>
        </w:rPr>
      </w:pPr>
      <w:r w:rsidRPr="00907732">
        <w:rPr>
          <w:rFonts w:ascii="Arial" w:hAnsi="Arial" w:cs="Arial"/>
          <w:b/>
        </w:rPr>
        <w:t>RULING</w:t>
      </w:r>
    </w:p>
    <w:p w14:paraId="63B9022C" w14:textId="77777777" w:rsidR="00217F8B" w:rsidRPr="00907732" w:rsidRDefault="00217F8B" w:rsidP="0016369D">
      <w:pPr>
        <w:pBdr>
          <w:bottom w:val="single" w:sz="6" w:space="1" w:color="auto"/>
        </w:pBdr>
        <w:spacing w:line="360" w:lineRule="auto"/>
        <w:jc w:val="center"/>
        <w:rPr>
          <w:rFonts w:ascii="Arial" w:hAnsi="Arial" w:cs="Arial"/>
          <w:b/>
        </w:rPr>
      </w:pPr>
    </w:p>
    <w:p w14:paraId="393FBB77" w14:textId="77777777" w:rsidR="00217F8B" w:rsidRPr="002D5507" w:rsidRDefault="00217F8B" w:rsidP="0016369D">
      <w:pPr>
        <w:spacing w:line="360" w:lineRule="auto"/>
        <w:jc w:val="both"/>
        <w:rPr>
          <w:rFonts w:ascii="Arial" w:hAnsi="Arial" w:cs="Arial"/>
        </w:rPr>
      </w:pPr>
      <w:r w:rsidRPr="002D5507">
        <w:rPr>
          <w:rFonts w:ascii="Arial" w:hAnsi="Arial" w:cs="Arial"/>
        </w:rPr>
        <w:t>MASUKU J:</w:t>
      </w:r>
    </w:p>
    <w:p w14:paraId="5D079AB2" w14:textId="77777777" w:rsidR="00217F8B" w:rsidRPr="00907732" w:rsidRDefault="00217F8B" w:rsidP="0016369D">
      <w:pPr>
        <w:spacing w:line="360" w:lineRule="auto"/>
        <w:jc w:val="both"/>
        <w:rPr>
          <w:rFonts w:ascii="Arial" w:hAnsi="Arial" w:cs="Arial"/>
          <w:b/>
        </w:rPr>
      </w:pPr>
    </w:p>
    <w:p w14:paraId="07C69009" w14:textId="77777777" w:rsidR="00217F8B" w:rsidRPr="00907732" w:rsidRDefault="00217F8B" w:rsidP="0016369D">
      <w:pPr>
        <w:spacing w:line="360" w:lineRule="auto"/>
        <w:jc w:val="both"/>
        <w:rPr>
          <w:rFonts w:ascii="Arial" w:hAnsi="Arial" w:cs="Arial"/>
          <w:u w:val="single"/>
        </w:rPr>
      </w:pPr>
      <w:r w:rsidRPr="00907732">
        <w:rPr>
          <w:rFonts w:ascii="Arial" w:hAnsi="Arial" w:cs="Arial"/>
          <w:u w:val="single"/>
        </w:rPr>
        <w:t>Introduction</w:t>
      </w:r>
    </w:p>
    <w:p w14:paraId="679055ED" w14:textId="77777777" w:rsidR="00217F8B" w:rsidRPr="00907732" w:rsidRDefault="00217F8B" w:rsidP="0016369D">
      <w:pPr>
        <w:spacing w:line="360" w:lineRule="auto"/>
        <w:jc w:val="both"/>
        <w:rPr>
          <w:rFonts w:ascii="Arial" w:hAnsi="Arial" w:cs="Arial"/>
          <w:u w:val="single"/>
        </w:rPr>
      </w:pPr>
    </w:p>
    <w:p w14:paraId="273D48D4" w14:textId="77777777" w:rsidR="00217F8B" w:rsidRPr="00907732" w:rsidRDefault="00217F8B" w:rsidP="0016369D">
      <w:pPr>
        <w:spacing w:line="360" w:lineRule="auto"/>
        <w:jc w:val="both"/>
        <w:rPr>
          <w:rFonts w:ascii="Arial" w:hAnsi="Arial" w:cs="Arial"/>
        </w:rPr>
      </w:pPr>
      <w:r w:rsidRPr="00907732">
        <w:rPr>
          <w:rFonts w:ascii="Arial" w:hAnsi="Arial" w:cs="Arial"/>
        </w:rPr>
        <w:t>[1]</w:t>
      </w:r>
      <w:r w:rsidRPr="00907732">
        <w:rPr>
          <w:rFonts w:ascii="Arial" w:hAnsi="Arial" w:cs="Arial"/>
        </w:rPr>
        <w:tab/>
        <w:t xml:space="preserve">At the close of the case for the plaintiff, the defendant moved an application from the instance, alleging that for reasons to be adverted below, the </w:t>
      </w:r>
      <w:r w:rsidR="005F1D3C" w:rsidRPr="00907732">
        <w:rPr>
          <w:rFonts w:ascii="Arial" w:hAnsi="Arial" w:cs="Arial"/>
        </w:rPr>
        <w:t>plaintiff had failed to make a case requiring the defendants to be placed to their defence.</w:t>
      </w:r>
    </w:p>
    <w:p w14:paraId="5DC0C0E1" w14:textId="77777777" w:rsidR="005F1D3C" w:rsidRPr="00907732" w:rsidRDefault="005F1D3C" w:rsidP="0016369D">
      <w:pPr>
        <w:spacing w:line="360" w:lineRule="auto"/>
        <w:jc w:val="both"/>
        <w:rPr>
          <w:rFonts w:ascii="Arial" w:hAnsi="Arial" w:cs="Arial"/>
        </w:rPr>
      </w:pPr>
      <w:r w:rsidRPr="00907732">
        <w:rPr>
          <w:rFonts w:ascii="Arial" w:hAnsi="Arial" w:cs="Arial"/>
        </w:rPr>
        <w:lastRenderedPageBreak/>
        <w:t>[2]</w:t>
      </w:r>
      <w:r w:rsidRPr="00907732">
        <w:rPr>
          <w:rFonts w:ascii="Arial" w:hAnsi="Arial" w:cs="Arial"/>
        </w:rPr>
        <w:tab/>
        <w:t>In this ruling, the court will undertake, to the extent necessary, the evidence led, together with the argument by both parties and come to a decision whether the defendants are correct in their application.</w:t>
      </w:r>
    </w:p>
    <w:p w14:paraId="46B45121" w14:textId="77777777" w:rsidR="005F1D3C" w:rsidRPr="00907732" w:rsidRDefault="005F1D3C" w:rsidP="0016369D">
      <w:pPr>
        <w:spacing w:line="360" w:lineRule="auto"/>
        <w:jc w:val="both"/>
        <w:rPr>
          <w:rFonts w:ascii="Arial" w:hAnsi="Arial" w:cs="Arial"/>
        </w:rPr>
      </w:pPr>
    </w:p>
    <w:p w14:paraId="0E992D37" w14:textId="77777777" w:rsidR="005F1D3C" w:rsidRPr="00907732" w:rsidRDefault="005F1D3C" w:rsidP="0016369D">
      <w:pPr>
        <w:spacing w:line="360" w:lineRule="auto"/>
        <w:jc w:val="both"/>
        <w:rPr>
          <w:rFonts w:ascii="Arial" w:hAnsi="Arial" w:cs="Arial"/>
          <w:u w:val="single"/>
        </w:rPr>
      </w:pPr>
      <w:r w:rsidRPr="00907732">
        <w:rPr>
          <w:rFonts w:ascii="Arial" w:hAnsi="Arial" w:cs="Arial"/>
          <w:u w:val="single"/>
        </w:rPr>
        <w:t>Background</w:t>
      </w:r>
    </w:p>
    <w:p w14:paraId="256862BC" w14:textId="77777777" w:rsidR="005F1D3C" w:rsidRPr="00907732" w:rsidRDefault="005F1D3C" w:rsidP="0016369D">
      <w:pPr>
        <w:spacing w:line="360" w:lineRule="auto"/>
        <w:jc w:val="both"/>
        <w:rPr>
          <w:rFonts w:ascii="Arial" w:hAnsi="Arial" w:cs="Arial"/>
          <w:u w:val="single"/>
        </w:rPr>
      </w:pPr>
    </w:p>
    <w:p w14:paraId="30A09247" w14:textId="11EAC547" w:rsidR="005F1D3C" w:rsidRPr="00907732" w:rsidRDefault="005C2A01" w:rsidP="0016369D">
      <w:pPr>
        <w:spacing w:line="360" w:lineRule="auto"/>
        <w:jc w:val="both"/>
        <w:rPr>
          <w:rFonts w:ascii="Arial" w:hAnsi="Arial" w:cs="Arial"/>
        </w:rPr>
      </w:pPr>
      <w:r>
        <w:rPr>
          <w:rFonts w:ascii="Arial" w:hAnsi="Arial" w:cs="Arial"/>
        </w:rPr>
        <w:t>[3]</w:t>
      </w:r>
      <w:r>
        <w:rPr>
          <w:rFonts w:ascii="Arial" w:hAnsi="Arial" w:cs="Arial"/>
        </w:rPr>
        <w:tab/>
        <w:t>By combined summons dated 26 February 2010</w:t>
      </w:r>
      <w:r w:rsidR="00E06CCB" w:rsidRPr="00907732">
        <w:rPr>
          <w:rFonts w:ascii="Arial" w:hAnsi="Arial" w:cs="Arial"/>
        </w:rPr>
        <w:t xml:space="preserve"> the plaintiff, a company, duly incorporated in accordance with the company laws of this Republic, sued the defendants for payment of an amount of N$ 5 Million. This amount was claimed in respect of allegations that the plaintiff sustained damages for pure economic loss, caused by the unlawful and wrongful transfer of a exclusive prospecting  licence, hereafter referred to as the ‘EPL’ from it to the 3</w:t>
      </w:r>
      <w:r w:rsidR="00E06CCB" w:rsidRPr="00907732">
        <w:rPr>
          <w:rFonts w:ascii="Arial" w:hAnsi="Arial" w:cs="Arial"/>
          <w:vertAlign w:val="superscript"/>
        </w:rPr>
        <w:t>rd</w:t>
      </w:r>
      <w:r w:rsidR="00E06CCB" w:rsidRPr="00907732">
        <w:rPr>
          <w:rFonts w:ascii="Arial" w:hAnsi="Arial" w:cs="Arial"/>
        </w:rPr>
        <w:t xml:space="preserve"> defendant, Eminent Mining Holding (Pty) Ltd. I should pertinently mention that no relief whatsoever, was sought against the Minister of Mines and Energy.</w:t>
      </w:r>
    </w:p>
    <w:p w14:paraId="1B186851" w14:textId="77777777" w:rsidR="00E06CCB" w:rsidRPr="00907732" w:rsidRDefault="00E06CCB" w:rsidP="0016369D">
      <w:pPr>
        <w:spacing w:line="360" w:lineRule="auto"/>
        <w:jc w:val="both"/>
        <w:rPr>
          <w:rFonts w:ascii="Arial" w:hAnsi="Arial" w:cs="Arial"/>
        </w:rPr>
      </w:pPr>
    </w:p>
    <w:p w14:paraId="12669996" w14:textId="08B1B27A" w:rsidR="00E06CCB" w:rsidRPr="00907732" w:rsidRDefault="00E06CCB" w:rsidP="0016369D">
      <w:pPr>
        <w:spacing w:line="360" w:lineRule="auto"/>
        <w:jc w:val="both"/>
        <w:rPr>
          <w:rFonts w:ascii="Arial" w:hAnsi="Arial" w:cs="Arial"/>
        </w:rPr>
      </w:pPr>
      <w:r w:rsidRPr="00907732">
        <w:rPr>
          <w:rFonts w:ascii="Arial" w:hAnsi="Arial" w:cs="Arial"/>
        </w:rPr>
        <w:t>[4]</w:t>
      </w:r>
      <w:r w:rsidRPr="00907732">
        <w:rPr>
          <w:rFonts w:ascii="Arial" w:hAnsi="Arial" w:cs="Arial"/>
        </w:rPr>
        <w:tab/>
        <w:t xml:space="preserve">The claim was defended by the defendants, culminating in a trial in which the plaintiff called a single witness Mr. </w:t>
      </w:r>
      <w:proofErr w:type="spellStart"/>
      <w:r w:rsidRPr="00907732">
        <w:rPr>
          <w:rFonts w:ascii="Arial" w:hAnsi="Arial" w:cs="Arial"/>
        </w:rPr>
        <w:t>Lourens</w:t>
      </w:r>
      <w:proofErr w:type="spellEnd"/>
      <w:r w:rsidRPr="00907732">
        <w:rPr>
          <w:rFonts w:ascii="Arial" w:hAnsi="Arial" w:cs="Arial"/>
        </w:rPr>
        <w:t xml:space="preserve"> Le Grange</w:t>
      </w:r>
      <w:r w:rsidR="00EF7BF8" w:rsidRPr="00907732">
        <w:rPr>
          <w:rFonts w:ascii="Arial" w:hAnsi="Arial" w:cs="Arial"/>
        </w:rPr>
        <w:t>, to whom I shall refer as such or as ‘PWI’</w:t>
      </w:r>
      <w:r w:rsidRPr="00907732">
        <w:rPr>
          <w:rFonts w:ascii="Arial" w:hAnsi="Arial" w:cs="Arial"/>
        </w:rPr>
        <w:t xml:space="preserve">. Another witness, who </w:t>
      </w:r>
      <w:r w:rsidR="00EF7BF8" w:rsidRPr="00907732">
        <w:rPr>
          <w:rFonts w:ascii="Arial" w:hAnsi="Arial" w:cs="Arial"/>
        </w:rPr>
        <w:t>h</w:t>
      </w:r>
      <w:r w:rsidRPr="00907732">
        <w:rPr>
          <w:rFonts w:ascii="Arial" w:hAnsi="Arial" w:cs="Arial"/>
        </w:rPr>
        <w:t>ad been intimated to be called as an expert witness</w:t>
      </w:r>
      <w:r w:rsidR="00EF7BF8" w:rsidRPr="00907732">
        <w:rPr>
          <w:rFonts w:ascii="Arial" w:hAnsi="Arial" w:cs="Arial"/>
        </w:rPr>
        <w:t>,</w:t>
      </w:r>
      <w:r w:rsidRPr="00907732">
        <w:rPr>
          <w:rFonts w:ascii="Arial" w:hAnsi="Arial" w:cs="Arial"/>
        </w:rPr>
        <w:t xml:space="preserve"> ended up not adducing any oral evidence</w:t>
      </w:r>
      <w:r w:rsidR="00586D7E" w:rsidRPr="00907732">
        <w:rPr>
          <w:rFonts w:ascii="Arial" w:hAnsi="Arial" w:cs="Arial"/>
        </w:rPr>
        <w:t>, although his expert report was handed in by the consent of the parties</w:t>
      </w:r>
      <w:r w:rsidRPr="00907732">
        <w:rPr>
          <w:rFonts w:ascii="Arial" w:hAnsi="Arial" w:cs="Arial"/>
        </w:rPr>
        <w:t>. His role was simply limited to handing up his expert report</w:t>
      </w:r>
      <w:r w:rsidR="00586D7E" w:rsidRPr="00907732">
        <w:rPr>
          <w:rFonts w:ascii="Arial" w:hAnsi="Arial" w:cs="Arial"/>
        </w:rPr>
        <w:t>, which was received in evidence</w:t>
      </w:r>
      <w:r w:rsidRPr="00907732">
        <w:rPr>
          <w:rFonts w:ascii="Arial" w:hAnsi="Arial" w:cs="Arial"/>
        </w:rPr>
        <w:t xml:space="preserve">. He </w:t>
      </w:r>
      <w:r w:rsidR="00EF7BF8" w:rsidRPr="00907732">
        <w:rPr>
          <w:rFonts w:ascii="Arial" w:hAnsi="Arial" w:cs="Arial"/>
        </w:rPr>
        <w:t xml:space="preserve">was </w:t>
      </w:r>
      <w:r w:rsidRPr="00907732">
        <w:rPr>
          <w:rFonts w:ascii="Arial" w:hAnsi="Arial" w:cs="Arial"/>
        </w:rPr>
        <w:t>therefor never examined by either party.</w:t>
      </w:r>
    </w:p>
    <w:p w14:paraId="051EBEC7" w14:textId="77777777" w:rsidR="00E06CCB" w:rsidRPr="00907732" w:rsidRDefault="00E06CCB" w:rsidP="0016369D">
      <w:pPr>
        <w:spacing w:line="360" w:lineRule="auto"/>
        <w:jc w:val="both"/>
        <w:rPr>
          <w:rFonts w:ascii="Arial" w:hAnsi="Arial" w:cs="Arial"/>
        </w:rPr>
      </w:pPr>
    </w:p>
    <w:p w14:paraId="07897D03" w14:textId="77777777" w:rsidR="00E06CCB" w:rsidRPr="00907732" w:rsidRDefault="00E06CCB" w:rsidP="0016369D">
      <w:pPr>
        <w:spacing w:line="360" w:lineRule="auto"/>
        <w:jc w:val="both"/>
        <w:rPr>
          <w:rFonts w:ascii="Arial" w:hAnsi="Arial" w:cs="Arial"/>
          <w:u w:val="single"/>
        </w:rPr>
      </w:pPr>
      <w:r w:rsidRPr="00907732">
        <w:rPr>
          <w:rFonts w:ascii="Arial" w:hAnsi="Arial" w:cs="Arial"/>
          <w:u w:val="single"/>
        </w:rPr>
        <w:t>The plaintiff’s evidence</w:t>
      </w:r>
    </w:p>
    <w:p w14:paraId="408D8FB7" w14:textId="77777777" w:rsidR="00E06CCB" w:rsidRPr="00907732" w:rsidRDefault="00E06CCB" w:rsidP="0016369D">
      <w:pPr>
        <w:spacing w:line="360" w:lineRule="auto"/>
        <w:jc w:val="both"/>
        <w:rPr>
          <w:rFonts w:ascii="Arial" w:hAnsi="Arial" w:cs="Arial"/>
          <w:u w:val="single"/>
        </w:rPr>
      </w:pPr>
    </w:p>
    <w:p w14:paraId="11CF3F18" w14:textId="53E12282" w:rsidR="009E537B" w:rsidRPr="00907732" w:rsidRDefault="00E06CCB" w:rsidP="0016369D">
      <w:pPr>
        <w:spacing w:line="360" w:lineRule="auto"/>
        <w:jc w:val="both"/>
        <w:rPr>
          <w:rFonts w:ascii="Arial" w:hAnsi="Arial" w:cs="Arial"/>
        </w:rPr>
      </w:pPr>
      <w:r w:rsidRPr="00907732">
        <w:rPr>
          <w:rFonts w:ascii="Arial" w:hAnsi="Arial" w:cs="Arial"/>
        </w:rPr>
        <w:t>[5]</w:t>
      </w:r>
      <w:r w:rsidRPr="00907732">
        <w:rPr>
          <w:rFonts w:ascii="Arial" w:hAnsi="Arial" w:cs="Arial"/>
        </w:rPr>
        <w:tab/>
        <w:t>The plaintiff’s sole witness, to whom I shall refer as PW1,</w:t>
      </w:r>
      <w:r w:rsidR="00EF7BF8" w:rsidRPr="00907732">
        <w:rPr>
          <w:rFonts w:ascii="Arial" w:hAnsi="Arial" w:cs="Arial"/>
        </w:rPr>
        <w:t xml:space="preserve"> as previously stated,</w:t>
      </w:r>
      <w:r w:rsidRPr="00907732">
        <w:rPr>
          <w:rFonts w:ascii="Arial" w:hAnsi="Arial" w:cs="Arial"/>
        </w:rPr>
        <w:t xml:space="preserve"> testified as follows: He is the sole director of the plaintiff and also a 10% shareholder in the plaintiff. In 2005, he was approached by the 1</w:t>
      </w:r>
      <w:r w:rsidRPr="00907732">
        <w:rPr>
          <w:rFonts w:ascii="Arial" w:hAnsi="Arial" w:cs="Arial"/>
          <w:vertAlign w:val="superscript"/>
        </w:rPr>
        <w:t>st</w:t>
      </w:r>
      <w:r w:rsidRPr="00907732">
        <w:rPr>
          <w:rFonts w:ascii="Arial" w:hAnsi="Arial" w:cs="Arial"/>
        </w:rPr>
        <w:t xml:space="preserve"> defendant who came up with a proposal to fund a diamond mining enterprise on the North bank of the Orange River. The 3</w:t>
      </w:r>
      <w:r w:rsidRPr="00907732">
        <w:rPr>
          <w:rFonts w:ascii="Arial" w:hAnsi="Arial" w:cs="Arial"/>
          <w:vertAlign w:val="superscript"/>
        </w:rPr>
        <w:t>rd</w:t>
      </w:r>
      <w:r w:rsidRPr="00907732">
        <w:rPr>
          <w:rFonts w:ascii="Arial" w:hAnsi="Arial" w:cs="Arial"/>
        </w:rPr>
        <w:t xml:space="preserve"> defendant proposed in that regard that a new company be incorporated which will lease an EPL or a mining licence for a </w:t>
      </w:r>
      <w:r w:rsidR="00A34F74" w:rsidRPr="00907732">
        <w:rPr>
          <w:rFonts w:ascii="Arial" w:hAnsi="Arial" w:cs="Arial"/>
        </w:rPr>
        <w:t>short</w:t>
      </w:r>
      <w:r w:rsidRPr="00907732">
        <w:rPr>
          <w:rFonts w:ascii="Arial" w:hAnsi="Arial" w:cs="Arial"/>
        </w:rPr>
        <w:t xml:space="preserve"> period, after which the plaintiff would then apply for its own EPL in the event an </w:t>
      </w:r>
      <w:r w:rsidR="009E537B" w:rsidRPr="00907732">
        <w:rPr>
          <w:rFonts w:ascii="Arial" w:hAnsi="Arial" w:cs="Arial"/>
        </w:rPr>
        <w:t xml:space="preserve">a prospecting </w:t>
      </w:r>
      <w:r w:rsidRPr="00907732">
        <w:rPr>
          <w:rFonts w:ascii="Arial" w:hAnsi="Arial" w:cs="Arial"/>
        </w:rPr>
        <w:t>area</w:t>
      </w:r>
      <w:r w:rsidR="009E537B" w:rsidRPr="00907732">
        <w:rPr>
          <w:rFonts w:ascii="Arial" w:hAnsi="Arial" w:cs="Arial"/>
        </w:rPr>
        <w:t xml:space="preserve"> becomes vacant.</w:t>
      </w:r>
    </w:p>
    <w:p w14:paraId="5835F1D6" w14:textId="2C5D33CA" w:rsidR="00E06CCB" w:rsidRPr="00907732" w:rsidRDefault="009E537B" w:rsidP="0016369D">
      <w:pPr>
        <w:spacing w:line="360" w:lineRule="auto"/>
        <w:jc w:val="both"/>
        <w:rPr>
          <w:rFonts w:ascii="Arial" w:hAnsi="Arial" w:cs="Arial"/>
        </w:rPr>
      </w:pPr>
      <w:r w:rsidRPr="00907732">
        <w:rPr>
          <w:rFonts w:ascii="Arial" w:hAnsi="Arial" w:cs="Arial"/>
        </w:rPr>
        <w:lastRenderedPageBreak/>
        <w:t>[6]</w:t>
      </w:r>
      <w:r w:rsidRPr="00907732">
        <w:rPr>
          <w:rFonts w:ascii="Arial" w:hAnsi="Arial" w:cs="Arial"/>
        </w:rPr>
        <w:tab/>
        <w:t xml:space="preserve">In this regard, a shelf company was purchased in 2005, bearing the name </w:t>
      </w:r>
      <w:proofErr w:type="spellStart"/>
      <w:r w:rsidRPr="00907732">
        <w:rPr>
          <w:rFonts w:ascii="Arial" w:hAnsi="Arial" w:cs="Arial"/>
        </w:rPr>
        <w:t>Bellissima</w:t>
      </w:r>
      <w:proofErr w:type="spellEnd"/>
      <w:r w:rsidRPr="00907732">
        <w:rPr>
          <w:rFonts w:ascii="Arial" w:hAnsi="Arial" w:cs="Arial"/>
        </w:rPr>
        <w:t xml:space="preserve"> Investment Twenty Seven (Pty) Ltd. The directors of the </w:t>
      </w:r>
      <w:r w:rsidR="00A34F74" w:rsidRPr="00907732">
        <w:rPr>
          <w:rFonts w:ascii="Arial" w:hAnsi="Arial" w:cs="Arial"/>
        </w:rPr>
        <w:t>company</w:t>
      </w:r>
      <w:r w:rsidRPr="00907732">
        <w:rPr>
          <w:rFonts w:ascii="Arial" w:hAnsi="Arial" w:cs="Arial"/>
        </w:rPr>
        <w:t xml:space="preserve"> were </w:t>
      </w:r>
      <w:r w:rsidR="00A34F74" w:rsidRPr="00907732">
        <w:rPr>
          <w:rFonts w:ascii="Arial" w:hAnsi="Arial" w:cs="Arial"/>
        </w:rPr>
        <w:t>PW1 and</w:t>
      </w:r>
      <w:r w:rsidRPr="00907732">
        <w:rPr>
          <w:rFonts w:ascii="Arial" w:hAnsi="Arial" w:cs="Arial"/>
        </w:rPr>
        <w:t xml:space="preserve"> the 1</w:t>
      </w:r>
      <w:r w:rsidRPr="00907732">
        <w:rPr>
          <w:rFonts w:ascii="Arial" w:hAnsi="Arial" w:cs="Arial"/>
          <w:vertAlign w:val="superscript"/>
        </w:rPr>
        <w:t>st</w:t>
      </w:r>
      <w:r w:rsidRPr="00907732">
        <w:rPr>
          <w:rFonts w:ascii="Arial" w:hAnsi="Arial" w:cs="Arial"/>
        </w:rPr>
        <w:t xml:space="preserve"> defendant. Shareholders in the said company were the Henriette Trust, holding 85% of the shares, the 1</w:t>
      </w:r>
      <w:r w:rsidRPr="00907732">
        <w:rPr>
          <w:rFonts w:ascii="Arial" w:hAnsi="Arial" w:cs="Arial"/>
          <w:vertAlign w:val="superscript"/>
        </w:rPr>
        <w:t>st</w:t>
      </w:r>
      <w:r w:rsidRPr="00907732">
        <w:rPr>
          <w:rFonts w:ascii="Arial" w:hAnsi="Arial" w:cs="Arial"/>
        </w:rPr>
        <w:t xml:space="preserve"> defendant with 5% and PW1 holding the balance of 10%. The name of the </w:t>
      </w:r>
      <w:r w:rsidR="00A34F74" w:rsidRPr="00907732">
        <w:rPr>
          <w:rFonts w:ascii="Arial" w:hAnsi="Arial" w:cs="Arial"/>
        </w:rPr>
        <w:t>company</w:t>
      </w:r>
      <w:r w:rsidRPr="00907732">
        <w:rPr>
          <w:rFonts w:ascii="Arial" w:hAnsi="Arial" w:cs="Arial"/>
        </w:rPr>
        <w:t xml:space="preserve"> was subsequently changed to Fish Orange Mining Consortium (Pty) Ltd, the plaintiff herein.</w:t>
      </w:r>
    </w:p>
    <w:p w14:paraId="288B89D1" w14:textId="77777777" w:rsidR="009E537B" w:rsidRPr="00907732" w:rsidRDefault="009E537B" w:rsidP="0016369D">
      <w:pPr>
        <w:spacing w:line="360" w:lineRule="auto"/>
        <w:jc w:val="both"/>
        <w:rPr>
          <w:rFonts w:ascii="Arial" w:hAnsi="Arial" w:cs="Arial"/>
        </w:rPr>
      </w:pPr>
    </w:p>
    <w:p w14:paraId="0C32E00F" w14:textId="2A2A7E1C" w:rsidR="009E537B" w:rsidRPr="00907732" w:rsidRDefault="009E537B" w:rsidP="0016369D">
      <w:pPr>
        <w:spacing w:line="360" w:lineRule="auto"/>
        <w:jc w:val="both"/>
        <w:rPr>
          <w:rFonts w:ascii="Arial" w:hAnsi="Arial" w:cs="Arial"/>
        </w:rPr>
      </w:pPr>
      <w:r w:rsidRPr="00907732">
        <w:rPr>
          <w:rFonts w:ascii="Arial" w:hAnsi="Arial" w:cs="Arial"/>
        </w:rPr>
        <w:t>[7]</w:t>
      </w:r>
      <w:r w:rsidRPr="00907732">
        <w:rPr>
          <w:rFonts w:ascii="Arial" w:hAnsi="Arial" w:cs="Arial"/>
        </w:rPr>
        <w:tab/>
        <w:t>It was PW1’s further evidence that on 19 August 2001, the Henri</w:t>
      </w:r>
      <w:r w:rsidR="00355622">
        <w:rPr>
          <w:rFonts w:ascii="Arial" w:hAnsi="Arial" w:cs="Arial"/>
        </w:rPr>
        <w:t>e</w:t>
      </w:r>
      <w:r w:rsidRPr="00907732">
        <w:rPr>
          <w:rFonts w:ascii="Arial" w:hAnsi="Arial" w:cs="Arial"/>
        </w:rPr>
        <w:t xml:space="preserve">tte Trust concluded an agreement with </w:t>
      </w:r>
      <w:proofErr w:type="spellStart"/>
      <w:r w:rsidRPr="00907732">
        <w:rPr>
          <w:rFonts w:ascii="Arial" w:hAnsi="Arial" w:cs="Arial"/>
        </w:rPr>
        <w:t>Veralex</w:t>
      </w:r>
      <w:proofErr w:type="spellEnd"/>
      <w:r w:rsidRPr="00907732">
        <w:rPr>
          <w:rFonts w:ascii="Arial" w:hAnsi="Arial" w:cs="Arial"/>
        </w:rPr>
        <w:t xml:space="preserve"> Industries Ltd to carry out mining as a sub-contractor on Block 11, Sectors C and D under mining licence 130. PW1 represented the Trust and one Mr. </w:t>
      </w:r>
      <w:proofErr w:type="spellStart"/>
      <w:r w:rsidRPr="00907732">
        <w:rPr>
          <w:rFonts w:ascii="Arial" w:hAnsi="Arial" w:cs="Arial"/>
        </w:rPr>
        <w:t>Yury</w:t>
      </w:r>
      <w:proofErr w:type="spellEnd"/>
      <w:r w:rsidRPr="00907732">
        <w:rPr>
          <w:rFonts w:ascii="Arial" w:hAnsi="Arial" w:cs="Arial"/>
        </w:rPr>
        <w:t xml:space="preserve"> </w:t>
      </w:r>
      <w:proofErr w:type="spellStart"/>
      <w:r w:rsidRPr="00907732">
        <w:rPr>
          <w:rFonts w:ascii="Arial" w:hAnsi="Arial" w:cs="Arial"/>
        </w:rPr>
        <w:t>Naumov</w:t>
      </w:r>
      <w:proofErr w:type="spellEnd"/>
      <w:r w:rsidRPr="00907732">
        <w:rPr>
          <w:rFonts w:ascii="Arial" w:hAnsi="Arial" w:cs="Arial"/>
        </w:rPr>
        <w:t xml:space="preserve"> represented </w:t>
      </w:r>
      <w:proofErr w:type="spellStart"/>
      <w:r w:rsidRPr="00907732">
        <w:rPr>
          <w:rFonts w:ascii="Arial" w:hAnsi="Arial" w:cs="Arial"/>
        </w:rPr>
        <w:t>Veralex</w:t>
      </w:r>
      <w:proofErr w:type="spellEnd"/>
      <w:r w:rsidRPr="00907732">
        <w:rPr>
          <w:rFonts w:ascii="Arial" w:hAnsi="Arial" w:cs="Arial"/>
        </w:rPr>
        <w:t>. The agreement was essentially to conduct exploration, mining, production and marketing of prec</w:t>
      </w:r>
      <w:r w:rsidR="00EF7BF8" w:rsidRPr="00907732">
        <w:rPr>
          <w:rFonts w:ascii="Arial" w:hAnsi="Arial" w:cs="Arial"/>
        </w:rPr>
        <w:t xml:space="preserve">ious stones and minerals under </w:t>
      </w:r>
      <w:r w:rsidRPr="00907732">
        <w:rPr>
          <w:rFonts w:ascii="Arial" w:hAnsi="Arial" w:cs="Arial"/>
        </w:rPr>
        <w:t xml:space="preserve">licence ML 130 on Block 11, Sectors C and D. The plaintiff had to use its own funds to purchase </w:t>
      </w:r>
      <w:r w:rsidR="00A040AD" w:rsidRPr="00907732">
        <w:rPr>
          <w:rFonts w:ascii="Arial" w:hAnsi="Arial" w:cs="Arial"/>
        </w:rPr>
        <w:t>equipment and to fund the operation, PW1 further testified.</w:t>
      </w:r>
    </w:p>
    <w:p w14:paraId="16CA5DB8" w14:textId="77777777" w:rsidR="00A040AD" w:rsidRPr="00907732" w:rsidRDefault="00A040AD" w:rsidP="0016369D">
      <w:pPr>
        <w:spacing w:line="360" w:lineRule="auto"/>
        <w:jc w:val="both"/>
        <w:rPr>
          <w:rFonts w:ascii="Arial" w:hAnsi="Arial" w:cs="Arial"/>
        </w:rPr>
      </w:pPr>
    </w:p>
    <w:p w14:paraId="6C7A0D25" w14:textId="725292FE" w:rsidR="00A040AD" w:rsidRPr="00907732" w:rsidRDefault="00A040AD" w:rsidP="0016369D">
      <w:pPr>
        <w:spacing w:line="360" w:lineRule="auto"/>
        <w:jc w:val="both"/>
        <w:rPr>
          <w:rFonts w:ascii="Arial" w:hAnsi="Arial" w:cs="Arial"/>
        </w:rPr>
      </w:pPr>
      <w:r w:rsidRPr="00907732">
        <w:rPr>
          <w:rFonts w:ascii="Arial" w:hAnsi="Arial" w:cs="Arial"/>
        </w:rPr>
        <w:t>[8]</w:t>
      </w:r>
      <w:r w:rsidRPr="00907732">
        <w:rPr>
          <w:rFonts w:ascii="Arial" w:hAnsi="Arial" w:cs="Arial"/>
        </w:rPr>
        <w:tab/>
        <w:t xml:space="preserve">PW1 testified further that he went to South Africa where he bought all the necessary machinery and equipment for the activities and that the Trust provided the finance through loans to the Le Grange Family Trust to the plaintiff. He testified that the agreement between the plaintiff and </w:t>
      </w:r>
      <w:proofErr w:type="spellStart"/>
      <w:r w:rsidRPr="00907732">
        <w:rPr>
          <w:rFonts w:ascii="Arial" w:hAnsi="Arial" w:cs="Arial"/>
        </w:rPr>
        <w:t>Veralex</w:t>
      </w:r>
      <w:proofErr w:type="spellEnd"/>
      <w:r w:rsidRPr="00907732">
        <w:rPr>
          <w:rFonts w:ascii="Arial" w:hAnsi="Arial" w:cs="Arial"/>
        </w:rPr>
        <w:t xml:space="preserve"> was sanctioned by the 4</w:t>
      </w:r>
      <w:r w:rsidRPr="00907732">
        <w:rPr>
          <w:rFonts w:ascii="Arial" w:hAnsi="Arial" w:cs="Arial"/>
          <w:vertAlign w:val="superscript"/>
        </w:rPr>
        <w:t>th</w:t>
      </w:r>
      <w:r w:rsidR="00EF7BF8" w:rsidRPr="00907732">
        <w:rPr>
          <w:rFonts w:ascii="Arial" w:hAnsi="Arial" w:cs="Arial"/>
        </w:rPr>
        <w:t xml:space="preserve"> </w:t>
      </w:r>
      <w:r w:rsidRPr="00907732">
        <w:rPr>
          <w:rFonts w:ascii="Arial" w:hAnsi="Arial" w:cs="Arial"/>
        </w:rPr>
        <w:t xml:space="preserve">defendant’s ministry in October 2005. Mining commenced and proceeded for about a period of two months until December 2005. </w:t>
      </w:r>
    </w:p>
    <w:p w14:paraId="21573237" w14:textId="77777777" w:rsidR="00A040AD" w:rsidRPr="00907732" w:rsidRDefault="00A040AD" w:rsidP="0016369D">
      <w:pPr>
        <w:spacing w:line="360" w:lineRule="auto"/>
        <w:jc w:val="both"/>
        <w:rPr>
          <w:rFonts w:ascii="Arial" w:hAnsi="Arial" w:cs="Arial"/>
        </w:rPr>
      </w:pPr>
    </w:p>
    <w:p w14:paraId="698EE3F0" w14:textId="77777777" w:rsidR="003B2E91" w:rsidRPr="00907732" w:rsidRDefault="00A040AD" w:rsidP="0016369D">
      <w:pPr>
        <w:spacing w:line="360" w:lineRule="auto"/>
        <w:jc w:val="both"/>
        <w:rPr>
          <w:rFonts w:ascii="Arial" w:hAnsi="Arial" w:cs="Arial"/>
        </w:rPr>
      </w:pPr>
      <w:r w:rsidRPr="00907732">
        <w:rPr>
          <w:rFonts w:ascii="Arial" w:hAnsi="Arial" w:cs="Arial"/>
        </w:rPr>
        <w:t>[9]</w:t>
      </w:r>
      <w:r w:rsidRPr="00907732">
        <w:rPr>
          <w:rFonts w:ascii="Arial" w:hAnsi="Arial" w:cs="Arial"/>
        </w:rPr>
        <w:tab/>
        <w:t>It was PW1’s evidence that the 1</w:t>
      </w:r>
      <w:r w:rsidRPr="00907732">
        <w:rPr>
          <w:rFonts w:ascii="Arial" w:hAnsi="Arial" w:cs="Arial"/>
          <w:vertAlign w:val="superscript"/>
        </w:rPr>
        <w:t>st</w:t>
      </w:r>
      <w:r w:rsidRPr="00907732">
        <w:rPr>
          <w:rFonts w:ascii="Arial" w:hAnsi="Arial" w:cs="Arial"/>
        </w:rPr>
        <w:t xml:space="preserve"> defendant was appointed as a security officer and that all the operational expenses for the project</w:t>
      </w:r>
      <w:r w:rsidR="003B2E91" w:rsidRPr="00907732">
        <w:rPr>
          <w:rFonts w:ascii="Arial" w:hAnsi="Arial" w:cs="Arial"/>
        </w:rPr>
        <w:t>, which amounted to N$ 1, 442, 300,</w:t>
      </w:r>
      <w:r w:rsidRPr="00907732">
        <w:rPr>
          <w:rFonts w:ascii="Arial" w:hAnsi="Arial" w:cs="Arial"/>
        </w:rPr>
        <w:t xml:space="preserve"> were funded by the Henriette Trust, including the 1</w:t>
      </w:r>
      <w:r w:rsidRPr="00907732">
        <w:rPr>
          <w:rFonts w:ascii="Arial" w:hAnsi="Arial" w:cs="Arial"/>
          <w:vertAlign w:val="superscript"/>
        </w:rPr>
        <w:t>st</w:t>
      </w:r>
      <w:r w:rsidRPr="00907732">
        <w:rPr>
          <w:rFonts w:ascii="Arial" w:hAnsi="Arial" w:cs="Arial"/>
        </w:rPr>
        <w:t xml:space="preserve"> defendant’s salary in his aforesaid capacity.</w:t>
      </w:r>
      <w:r w:rsidR="003B2E91" w:rsidRPr="00907732">
        <w:rPr>
          <w:rFonts w:ascii="Arial" w:hAnsi="Arial" w:cs="Arial"/>
        </w:rPr>
        <w:t xml:space="preserve"> In January 2006, the plaintiff then applied for an EPL for precious stones and base and rare minerals. This was in respect of an area extending to 20 000 ha.</w:t>
      </w:r>
    </w:p>
    <w:p w14:paraId="7AC4561A" w14:textId="77777777" w:rsidR="003B2E91" w:rsidRPr="00907732" w:rsidRDefault="003B2E91" w:rsidP="0016369D">
      <w:pPr>
        <w:spacing w:line="360" w:lineRule="auto"/>
        <w:jc w:val="both"/>
        <w:rPr>
          <w:rFonts w:ascii="Arial" w:hAnsi="Arial" w:cs="Arial"/>
        </w:rPr>
      </w:pPr>
    </w:p>
    <w:p w14:paraId="292E1F81" w14:textId="28681466" w:rsidR="00A040AD" w:rsidRPr="00907732" w:rsidRDefault="003B2E91" w:rsidP="0016369D">
      <w:pPr>
        <w:spacing w:line="360" w:lineRule="auto"/>
        <w:jc w:val="both"/>
        <w:rPr>
          <w:rFonts w:ascii="Arial" w:hAnsi="Arial" w:cs="Arial"/>
        </w:rPr>
      </w:pPr>
      <w:r w:rsidRPr="00907732">
        <w:rPr>
          <w:rFonts w:ascii="Arial" w:hAnsi="Arial" w:cs="Arial"/>
        </w:rPr>
        <w:t>[10]</w:t>
      </w:r>
      <w:r w:rsidRPr="00907732">
        <w:rPr>
          <w:rFonts w:ascii="Arial" w:hAnsi="Arial" w:cs="Arial"/>
        </w:rPr>
        <w:tab/>
        <w:t>It was his further evidence that in around May 2006, the 1</w:t>
      </w:r>
      <w:r w:rsidRPr="00907732">
        <w:rPr>
          <w:rFonts w:ascii="Arial" w:hAnsi="Arial" w:cs="Arial"/>
          <w:vertAlign w:val="superscript"/>
        </w:rPr>
        <w:t>st</w:t>
      </w:r>
      <w:r w:rsidRPr="00907732">
        <w:rPr>
          <w:rFonts w:ascii="Arial" w:hAnsi="Arial" w:cs="Arial"/>
        </w:rPr>
        <w:t xml:space="preserve"> defendant informed him that the Ministry of Mines and Energy required the BEE </w:t>
      </w:r>
      <w:r w:rsidR="002A64B7">
        <w:rPr>
          <w:rFonts w:ascii="Arial" w:hAnsi="Arial" w:cs="Arial"/>
        </w:rPr>
        <w:t xml:space="preserve">(Black </w:t>
      </w:r>
      <w:r w:rsidR="002A64B7">
        <w:rPr>
          <w:rFonts w:ascii="Arial" w:hAnsi="Arial" w:cs="Arial"/>
        </w:rPr>
        <w:lastRenderedPageBreak/>
        <w:t xml:space="preserve">Economic Empowerment) </w:t>
      </w:r>
      <w:r w:rsidRPr="00907732">
        <w:rPr>
          <w:rFonts w:ascii="Arial" w:hAnsi="Arial" w:cs="Arial"/>
        </w:rPr>
        <w:t>component of the shareholding in the plaintiff to be increased. As a result, the 1</w:t>
      </w:r>
      <w:r w:rsidRPr="00907732">
        <w:rPr>
          <w:rFonts w:ascii="Arial" w:hAnsi="Arial" w:cs="Arial"/>
          <w:vertAlign w:val="superscript"/>
        </w:rPr>
        <w:t>st</w:t>
      </w:r>
      <w:r w:rsidRPr="00907732">
        <w:rPr>
          <w:rFonts w:ascii="Arial" w:hAnsi="Arial" w:cs="Arial"/>
        </w:rPr>
        <w:t xml:space="preserve"> defendant’s shareholding in the plaintiff was i</w:t>
      </w:r>
      <w:r w:rsidR="00B63039">
        <w:rPr>
          <w:rFonts w:ascii="Arial" w:hAnsi="Arial" w:cs="Arial"/>
        </w:rPr>
        <w:t>ncreased to by an additional 10</w:t>
      </w:r>
      <w:r w:rsidRPr="00907732">
        <w:rPr>
          <w:rFonts w:ascii="Arial" w:hAnsi="Arial" w:cs="Arial"/>
        </w:rPr>
        <w:t>% to 15% and the 2</w:t>
      </w:r>
      <w:r w:rsidRPr="00907732">
        <w:rPr>
          <w:rFonts w:ascii="Arial" w:hAnsi="Arial" w:cs="Arial"/>
          <w:vertAlign w:val="superscript"/>
        </w:rPr>
        <w:t>nd</w:t>
      </w:r>
      <w:r w:rsidRPr="00907732">
        <w:rPr>
          <w:rFonts w:ascii="Arial" w:hAnsi="Arial" w:cs="Arial"/>
        </w:rPr>
        <w:t xml:space="preserve"> defendant was given 7%. PW1’s shareholding was at 10%. After this restructuring of the shareholding in the plaintiff, the EPL was granted to the plaintiff on 22 May 2006, valid until 21 May 2009.</w:t>
      </w:r>
    </w:p>
    <w:p w14:paraId="4A35EEBC" w14:textId="77777777" w:rsidR="003B2E91" w:rsidRPr="00907732" w:rsidRDefault="003B2E91" w:rsidP="0016369D">
      <w:pPr>
        <w:spacing w:line="360" w:lineRule="auto"/>
        <w:jc w:val="both"/>
        <w:rPr>
          <w:rFonts w:ascii="Arial" w:hAnsi="Arial" w:cs="Arial"/>
        </w:rPr>
      </w:pPr>
    </w:p>
    <w:p w14:paraId="390D43D1" w14:textId="56D10F1A" w:rsidR="003B2E91" w:rsidRPr="00907732" w:rsidRDefault="003B2E91" w:rsidP="0016369D">
      <w:pPr>
        <w:spacing w:line="360" w:lineRule="auto"/>
        <w:jc w:val="both"/>
        <w:rPr>
          <w:rFonts w:ascii="Arial" w:hAnsi="Arial" w:cs="Arial"/>
        </w:rPr>
      </w:pPr>
      <w:r w:rsidRPr="00907732">
        <w:rPr>
          <w:rFonts w:ascii="Arial" w:hAnsi="Arial" w:cs="Arial"/>
        </w:rPr>
        <w:t>[11]</w:t>
      </w:r>
      <w:r w:rsidRPr="00907732">
        <w:rPr>
          <w:rFonts w:ascii="Arial" w:hAnsi="Arial" w:cs="Arial"/>
        </w:rPr>
        <w:tab/>
        <w:t>In the course of time, operations became difficult because of the amount of money required. A decision to sell the shareholding in the plaintiff to an interested party was taken. In this regard, the 1</w:t>
      </w:r>
      <w:r w:rsidRPr="00907732">
        <w:rPr>
          <w:rFonts w:ascii="Arial" w:hAnsi="Arial" w:cs="Arial"/>
          <w:vertAlign w:val="superscript"/>
        </w:rPr>
        <w:t>st</w:t>
      </w:r>
      <w:r w:rsidRPr="00907732">
        <w:rPr>
          <w:rFonts w:ascii="Arial" w:hAnsi="Arial" w:cs="Arial"/>
        </w:rPr>
        <w:t xml:space="preserve"> and 2</w:t>
      </w:r>
      <w:r w:rsidRPr="00907732">
        <w:rPr>
          <w:rFonts w:ascii="Arial" w:hAnsi="Arial" w:cs="Arial"/>
          <w:vertAlign w:val="superscript"/>
        </w:rPr>
        <w:t>nd</w:t>
      </w:r>
      <w:r w:rsidRPr="00907732">
        <w:rPr>
          <w:rFonts w:ascii="Arial" w:hAnsi="Arial" w:cs="Arial"/>
        </w:rPr>
        <w:t xml:space="preserve"> defendants took the decision to give PW1 a power of attorney to sell their shareholding in the plaintiff for USD 800 000. An offer was received from an entity known as Namibia Mining Holdi</w:t>
      </w:r>
      <w:r w:rsidR="000D682A">
        <w:rPr>
          <w:rFonts w:ascii="Arial" w:hAnsi="Arial" w:cs="Arial"/>
        </w:rPr>
        <w:t>ngs for the amount of N$ 5 840</w:t>
      </w:r>
      <w:r w:rsidRPr="00907732">
        <w:rPr>
          <w:rFonts w:ascii="Arial" w:hAnsi="Arial" w:cs="Arial"/>
        </w:rPr>
        <w:t xml:space="preserve"> 000. An agreement for the sanctioning of the sale was reached with the Ministry but the purchaser failed to abide by the contract.</w:t>
      </w:r>
    </w:p>
    <w:p w14:paraId="0AC37D5D" w14:textId="77777777" w:rsidR="003B2E91" w:rsidRPr="00907732" w:rsidRDefault="003B2E91" w:rsidP="0016369D">
      <w:pPr>
        <w:spacing w:line="360" w:lineRule="auto"/>
        <w:jc w:val="both"/>
        <w:rPr>
          <w:rFonts w:ascii="Arial" w:hAnsi="Arial" w:cs="Arial"/>
        </w:rPr>
      </w:pPr>
    </w:p>
    <w:p w14:paraId="710CDFE6" w14:textId="03CD92E6" w:rsidR="003B2E91" w:rsidRPr="00907732" w:rsidRDefault="002C3316" w:rsidP="0016369D">
      <w:pPr>
        <w:spacing w:line="360" w:lineRule="auto"/>
        <w:jc w:val="both"/>
        <w:rPr>
          <w:rFonts w:ascii="Arial" w:hAnsi="Arial" w:cs="Arial"/>
        </w:rPr>
      </w:pPr>
      <w:r w:rsidRPr="00907732">
        <w:rPr>
          <w:rFonts w:ascii="Arial" w:hAnsi="Arial" w:cs="Arial"/>
        </w:rPr>
        <w:t>[12]</w:t>
      </w:r>
      <w:r w:rsidRPr="00907732">
        <w:rPr>
          <w:rFonts w:ascii="Arial" w:hAnsi="Arial" w:cs="Arial"/>
        </w:rPr>
        <w:tab/>
        <w:t xml:space="preserve">In September 2007, a decision was taken to sell the shareholding in the plaintiff to the Henriette Trust. An agreement was then entered into between the Henriette Trust and an entity known as </w:t>
      </w:r>
      <w:proofErr w:type="spellStart"/>
      <w:r w:rsidRPr="00907732">
        <w:rPr>
          <w:rFonts w:ascii="Arial" w:hAnsi="Arial" w:cs="Arial"/>
        </w:rPr>
        <w:t>Ramador</w:t>
      </w:r>
      <w:proofErr w:type="spellEnd"/>
      <w:r w:rsidRPr="00907732">
        <w:rPr>
          <w:rFonts w:ascii="Arial" w:hAnsi="Arial" w:cs="Arial"/>
        </w:rPr>
        <w:t xml:space="preserve"> 105 (Pty) Ltd in terms of which the latter would purchase the shareholding of Henriette Trust in the plaintiff and an approval of this was obtained from the Ministry. This sale also did not see the light of day as the purchaser failed to deliver in terms of the agreement.</w:t>
      </w:r>
    </w:p>
    <w:p w14:paraId="5A9E3E6C" w14:textId="77777777" w:rsidR="002C3316" w:rsidRPr="00907732" w:rsidRDefault="002C3316" w:rsidP="0016369D">
      <w:pPr>
        <w:spacing w:line="360" w:lineRule="auto"/>
        <w:jc w:val="both"/>
        <w:rPr>
          <w:rFonts w:ascii="Arial" w:hAnsi="Arial" w:cs="Arial"/>
        </w:rPr>
      </w:pPr>
    </w:p>
    <w:p w14:paraId="008936FC" w14:textId="28829DBD" w:rsidR="002C3316" w:rsidRPr="00907732" w:rsidRDefault="002C3316" w:rsidP="0016369D">
      <w:pPr>
        <w:spacing w:line="360" w:lineRule="auto"/>
        <w:jc w:val="both"/>
        <w:rPr>
          <w:rFonts w:ascii="Arial" w:hAnsi="Arial" w:cs="Arial"/>
        </w:rPr>
      </w:pPr>
      <w:r w:rsidRPr="00907732">
        <w:rPr>
          <w:rFonts w:ascii="Arial" w:hAnsi="Arial" w:cs="Arial"/>
        </w:rPr>
        <w:t>[13]</w:t>
      </w:r>
      <w:r w:rsidRPr="00907732">
        <w:rPr>
          <w:rFonts w:ascii="Arial" w:hAnsi="Arial" w:cs="Arial"/>
        </w:rPr>
        <w:tab/>
        <w:t>The 1</w:t>
      </w:r>
      <w:r w:rsidRPr="00907732">
        <w:rPr>
          <w:rFonts w:ascii="Arial" w:hAnsi="Arial" w:cs="Arial"/>
          <w:vertAlign w:val="superscript"/>
        </w:rPr>
        <w:t>st</w:t>
      </w:r>
      <w:r w:rsidRPr="00907732">
        <w:rPr>
          <w:rFonts w:ascii="Arial" w:hAnsi="Arial" w:cs="Arial"/>
        </w:rPr>
        <w:t xml:space="preserve"> defendant in February 2008 requested the original EPL from </w:t>
      </w:r>
      <w:r w:rsidR="00A34F74" w:rsidRPr="00907732">
        <w:rPr>
          <w:rFonts w:ascii="Arial" w:hAnsi="Arial" w:cs="Arial"/>
        </w:rPr>
        <w:t>PW1,</w:t>
      </w:r>
      <w:r w:rsidRPr="00907732">
        <w:rPr>
          <w:rFonts w:ascii="Arial" w:hAnsi="Arial" w:cs="Arial"/>
        </w:rPr>
        <w:t xml:space="preserve"> as he needed to see a new potential buyer, who was desirous of confirming the authenticity of the EPL. PW1 obliged and gave the EPL to the 1</w:t>
      </w:r>
      <w:r w:rsidRPr="00907732">
        <w:rPr>
          <w:rFonts w:ascii="Arial" w:hAnsi="Arial" w:cs="Arial"/>
          <w:vertAlign w:val="superscript"/>
        </w:rPr>
        <w:t>st</w:t>
      </w:r>
      <w:r w:rsidRPr="00907732">
        <w:rPr>
          <w:rFonts w:ascii="Arial" w:hAnsi="Arial" w:cs="Arial"/>
        </w:rPr>
        <w:t xml:space="preserve"> defendant. It later transpired that the 1</w:t>
      </w:r>
      <w:r w:rsidRPr="00907732">
        <w:rPr>
          <w:rFonts w:ascii="Arial" w:hAnsi="Arial" w:cs="Arial"/>
          <w:vertAlign w:val="superscript"/>
        </w:rPr>
        <w:t>st</w:t>
      </w:r>
      <w:r w:rsidRPr="00907732">
        <w:rPr>
          <w:rFonts w:ascii="Arial" w:hAnsi="Arial" w:cs="Arial"/>
        </w:rPr>
        <w:t xml:space="preserve"> and 2</w:t>
      </w:r>
      <w:r w:rsidRPr="00907732">
        <w:rPr>
          <w:rFonts w:ascii="Arial" w:hAnsi="Arial" w:cs="Arial"/>
          <w:vertAlign w:val="superscript"/>
        </w:rPr>
        <w:t>nd</w:t>
      </w:r>
      <w:r w:rsidRPr="00907732">
        <w:rPr>
          <w:rFonts w:ascii="Arial" w:hAnsi="Arial" w:cs="Arial"/>
        </w:rPr>
        <w:t xml:space="preserve"> defendants took the EPL and caused same to be transferred to their own company, the 3</w:t>
      </w:r>
      <w:r w:rsidRPr="00907732">
        <w:rPr>
          <w:rFonts w:ascii="Arial" w:hAnsi="Arial" w:cs="Arial"/>
          <w:vertAlign w:val="superscript"/>
        </w:rPr>
        <w:t>rd</w:t>
      </w:r>
      <w:r w:rsidRPr="00907732">
        <w:rPr>
          <w:rFonts w:ascii="Arial" w:hAnsi="Arial" w:cs="Arial"/>
        </w:rPr>
        <w:t xml:space="preserve"> defendant. The approval for this transfer was sought and obtained from the Ministry.</w:t>
      </w:r>
    </w:p>
    <w:p w14:paraId="7846F4E0" w14:textId="77777777" w:rsidR="002C3316" w:rsidRPr="00907732" w:rsidRDefault="002C3316" w:rsidP="0016369D">
      <w:pPr>
        <w:spacing w:line="360" w:lineRule="auto"/>
        <w:jc w:val="both"/>
        <w:rPr>
          <w:rFonts w:ascii="Arial" w:hAnsi="Arial" w:cs="Arial"/>
        </w:rPr>
      </w:pPr>
    </w:p>
    <w:p w14:paraId="552D3E0B" w14:textId="2D3D3043" w:rsidR="002C3316" w:rsidRPr="00907732" w:rsidRDefault="002C3316" w:rsidP="0016369D">
      <w:pPr>
        <w:spacing w:line="360" w:lineRule="auto"/>
        <w:jc w:val="both"/>
        <w:rPr>
          <w:rFonts w:ascii="Arial" w:hAnsi="Arial" w:cs="Arial"/>
        </w:rPr>
      </w:pPr>
      <w:r w:rsidRPr="00907732">
        <w:rPr>
          <w:rFonts w:ascii="Arial" w:hAnsi="Arial" w:cs="Arial"/>
        </w:rPr>
        <w:t>[14]</w:t>
      </w:r>
      <w:r w:rsidRPr="00907732">
        <w:rPr>
          <w:rFonts w:ascii="Arial" w:hAnsi="Arial" w:cs="Arial"/>
        </w:rPr>
        <w:tab/>
        <w:t>PW1 further testified that he was unaware of the transfer and was only made alive thereto when he had to make payment for annual licence fees. A meeting was la</w:t>
      </w:r>
      <w:r w:rsidR="00226161" w:rsidRPr="00907732">
        <w:rPr>
          <w:rFonts w:ascii="Arial" w:hAnsi="Arial" w:cs="Arial"/>
        </w:rPr>
        <w:t>ter held at which the 1</w:t>
      </w:r>
      <w:r w:rsidR="00226161" w:rsidRPr="00907732">
        <w:rPr>
          <w:rFonts w:ascii="Arial" w:hAnsi="Arial" w:cs="Arial"/>
          <w:vertAlign w:val="superscript"/>
        </w:rPr>
        <w:t>st</w:t>
      </w:r>
      <w:r w:rsidR="00226161" w:rsidRPr="00907732">
        <w:rPr>
          <w:rFonts w:ascii="Arial" w:hAnsi="Arial" w:cs="Arial"/>
        </w:rPr>
        <w:t xml:space="preserve"> defendant was</w:t>
      </w:r>
      <w:r w:rsidRPr="00907732">
        <w:rPr>
          <w:rFonts w:ascii="Arial" w:hAnsi="Arial" w:cs="Arial"/>
        </w:rPr>
        <w:t xml:space="preserve"> </w:t>
      </w:r>
      <w:r w:rsidR="00226161" w:rsidRPr="00907732">
        <w:rPr>
          <w:rFonts w:ascii="Arial" w:hAnsi="Arial" w:cs="Arial"/>
        </w:rPr>
        <w:t xml:space="preserve">removed as directors of </w:t>
      </w:r>
      <w:r w:rsidR="00226161" w:rsidRPr="00907732">
        <w:rPr>
          <w:rFonts w:ascii="Arial" w:hAnsi="Arial" w:cs="Arial"/>
        </w:rPr>
        <w:lastRenderedPageBreak/>
        <w:t>the plaintiff. The EPL later lapsed because it was not renewed by the 3</w:t>
      </w:r>
      <w:r w:rsidR="00226161" w:rsidRPr="00907732">
        <w:rPr>
          <w:rFonts w:ascii="Arial" w:hAnsi="Arial" w:cs="Arial"/>
          <w:vertAlign w:val="superscript"/>
        </w:rPr>
        <w:t>rd</w:t>
      </w:r>
      <w:r w:rsidR="00226161" w:rsidRPr="00907732">
        <w:rPr>
          <w:rFonts w:ascii="Arial" w:hAnsi="Arial" w:cs="Arial"/>
        </w:rPr>
        <w:t xml:space="preserve"> defendant into whose name it was transferred. That was the extent of PW1’s evidence.</w:t>
      </w:r>
    </w:p>
    <w:p w14:paraId="22530FAE" w14:textId="77777777" w:rsidR="00226161" w:rsidRPr="00907732" w:rsidRDefault="00226161" w:rsidP="0016369D">
      <w:pPr>
        <w:spacing w:line="360" w:lineRule="auto"/>
        <w:jc w:val="both"/>
        <w:rPr>
          <w:rFonts w:ascii="Arial" w:hAnsi="Arial" w:cs="Arial"/>
        </w:rPr>
      </w:pPr>
    </w:p>
    <w:p w14:paraId="33ED1871" w14:textId="4C4E2374" w:rsidR="00226161" w:rsidRPr="00907732" w:rsidRDefault="00226161" w:rsidP="0016369D">
      <w:pPr>
        <w:spacing w:line="360" w:lineRule="auto"/>
        <w:jc w:val="both"/>
        <w:rPr>
          <w:rFonts w:ascii="Arial" w:hAnsi="Arial" w:cs="Arial"/>
        </w:rPr>
      </w:pPr>
      <w:r w:rsidRPr="00907732">
        <w:rPr>
          <w:rFonts w:ascii="Arial" w:hAnsi="Arial" w:cs="Arial"/>
        </w:rPr>
        <w:t>[15]</w:t>
      </w:r>
      <w:r w:rsidRPr="00907732">
        <w:rPr>
          <w:rFonts w:ascii="Arial" w:hAnsi="Arial" w:cs="Arial"/>
        </w:rPr>
        <w:tab/>
        <w:t>Mr. Namandje, for the defendants cross-examined PW1 at length regarding his evidence. I am not required to traverse the entire terrain covered by Mr. Namandje in his lengthy and searching cross-examination of PW1. I do so for the reason that I do not need, at this stage, for reasons that will be apparent, as the judgment unfolds, make any credibility findings. I will only put what I can refer as propositions and instruction</w:t>
      </w:r>
      <w:r w:rsidR="008E5046" w:rsidRPr="00907732">
        <w:rPr>
          <w:rFonts w:ascii="Arial" w:hAnsi="Arial" w:cs="Arial"/>
        </w:rPr>
        <w:t>s</w:t>
      </w:r>
      <w:r w:rsidRPr="00907732">
        <w:rPr>
          <w:rFonts w:ascii="Arial" w:hAnsi="Arial" w:cs="Arial"/>
        </w:rPr>
        <w:t xml:space="preserve"> to PW1 on behalf of the defendants.</w:t>
      </w:r>
    </w:p>
    <w:p w14:paraId="2418B815" w14:textId="77777777" w:rsidR="00586D7E" w:rsidRPr="00907732" w:rsidRDefault="00586D7E" w:rsidP="0016369D">
      <w:pPr>
        <w:spacing w:line="360" w:lineRule="auto"/>
        <w:jc w:val="both"/>
        <w:rPr>
          <w:rFonts w:ascii="Arial" w:hAnsi="Arial" w:cs="Arial"/>
        </w:rPr>
      </w:pPr>
    </w:p>
    <w:p w14:paraId="635AB539" w14:textId="5EE0DC89" w:rsidR="00586D7E" w:rsidRPr="00907732" w:rsidRDefault="00586D7E" w:rsidP="0016369D">
      <w:pPr>
        <w:spacing w:line="360" w:lineRule="auto"/>
        <w:jc w:val="both"/>
        <w:rPr>
          <w:rFonts w:ascii="Arial" w:hAnsi="Arial" w:cs="Arial"/>
        </w:rPr>
      </w:pPr>
      <w:r w:rsidRPr="00907732">
        <w:rPr>
          <w:rFonts w:ascii="Arial" w:hAnsi="Arial" w:cs="Arial"/>
        </w:rPr>
        <w:t>[16]</w:t>
      </w:r>
      <w:r w:rsidRPr="00907732">
        <w:rPr>
          <w:rFonts w:ascii="Arial" w:hAnsi="Arial" w:cs="Arial"/>
        </w:rPr>
        <w:tab/>
        <w:t>In cross-examination, PW1 conceded that the EPL did not allow the plaintiff to remove and sell controlled minerals as a different licence for doing same was required. He conceded that the plaintiff had not at the stage of the transfer of the EPL applied for the mining licence, which would enable the plaintiff to remove controlled minerals. PW1 further conceded that the damages claimed by the plaintiff against the relevant defendants were based on the valuation of diamonds that would be extracted and sold, which are controlled minerals in terms of the relevant legislation.</w:t>
      </w:r>
    </w:p>
    <w:p w14:paraId="5D5ECF73" w14:textId="77777777" w:rsidR="00B13158" w:rsidRPr="00907732" w:rsidRDefault="00B13158" w:rsidP="0016369D">
      <w:pPr>
        <w:spacing w:line="360" w:lineRule="auto"/>
        <w:jc w:val="both"/>
        <w:rPr>
          <w:rFonts w:ascii="Arial" w:hAnsi="Arial" w:cs="Arial"/>
        </w:rPr>
      </w:pPr>
    </w:p>
    <w:p w14:paraId="19495B6D" w14:textId="2E45269C" w:rsidR="00B13158" w:rsidRPr="00907732" w:rsidRDefault="00B13158" w:rsidP="0016369D">
      <w:pPr>
        <w:spacing w:line="360" w:lineRule="auto"/>
        <w:jc w:val="both"/>
        <w:rPr>
          <w:rFonts w:ascii="Arial" w:hAnsi="Arial" w:cs="Arial"/>
          <w:u w:val="single"/>
        </w:rPr>
      </w:pPr>
      <w:r w:rsidRPr="00907732">
        <w:rPr>
          <w:rFonts w:ascii="Arial" w:hAnsi="Arial" w:cs="Arial"/>
          <w:u w:val="single"/>
        </w:rPr>
        <w:t>Bases for absolution from the instance</w:t>
      </w:r>
    </w:p>
    <w:p w14:paraId="5132158B" w14:textId="77777777" w:rsidR="00586D7E" w:rsidRPr="00907732" w:rsidRDefault="00586D7E" w:rsidP="0016369D">
      <w:pPr>
        <w:spacing w:line="360" w:lineRule="auto"/>
        <w:jc w:val="both"/>
        <w:rPr>
          <w:rFonts w:ascii="Arial" w:hAnsi="Arial" w:cs="Arial"/>
        </w:rPr>
      </w:pPr>
    </w:p>
    <w:p w14:paraId="5FA9E6B6" w14:textId="77777777" w:rsidR="006C1012" w:rsidRPr="00907732" w:rsidRDefault="00586D7E" w:rsidP="0016369D">
      <w:pPr>
        <w:spacing w:line="360" w:lineRule="auto"/>
        <w:jc w:val="both"/>
        <w:rPr>
          <w:rFonts w:ascii="Arial" w:hAnsi="Arial" w:cs="Arial"/>
        </w:rPr>
      </w:pPr>
      <w:r w:rsidRPr="00907732">
        <w:rPr>
          <w:rFonts w:ascii="Arial" w:hAnsi="Arial" w:cs="Arial"/>
        </w:rPr>
        <w:t>[17]</w:t>
      </w:r>
      <w:r w:rsidRPr="00907732">
        <w:rPr>
          <w:rFonts w:ascii="Arial" w:hAnsi="Arial" w:cs="Arial"/>
        </w:rPr>
        <w:tab/>
        <w:t xml:space="preserve">In his submissions, Mr. Namandje submitted that the plaintiff’s claim should be shot down by an application for absolution from the instance at two different levels. </w:t>
      </w:r>
      <w:r w:rsidR="006C1012" w:rsidRPr="00907732">
        <w:rPr>
          <w:rFonts w:ascii="Arial" w:hAnsi="Arial" w:cs="Arial"/>
        </w:rPr>
        <w:t>Both levels, properly considered, relate to the argument that the plaintiff dismally failed to make a case for damages. This, it was submitted, was subject to the court finding that the plaintiff had in any event, made out a case for the alleged unlawful transfer of the licence by the 1</w:t>
      </w:r>
      <w:r w:rsidR="006C1012" w:rsidRPr="00907732">
        <w:rPr>
          <w:rFonts w:ascii="Arial" w:hAnsi="Arial" w:cs="Arial"/>
          <w:vertAlign w:val="superscript"/>
        </w:rPr>
        <w:t>st</w:t>
      </w:r>
      <w:r w:rsidR="006C1012" w:rsidRPr="00907732">
        <w:rPr>
          <w:rFonts w:ascii="Arial" w:hAnsi="Arial" w:cs="Arial"/>
        </w:rPr>
        <w:t xml:space="preserve"> and 2</w:t>
      </w:r>
      <w:r w:rsidR="006C1012" w:rsidRPr="00907732">
        <w:rPr>
          <w:rFonts w:ascii="Arial" w:hAnsi="Arial" w:cs="Arial"/>
          <w:vertAlign w:val="superscript"/>
        </w:rPr>
        <w:t>nd</w:t>
      </w:r>
      <w:r w:rsidR="006C1012" w:rsidRPr="00907732">
        <w:rPr>
          <w:rFonts w:ascii="Arial" w:hAnsi="Arial" w:cs="Arial"/>
        </w:rPr>
        <w:t xml:space="preserve"> defendants, which the said defendants hotly dispute.   </w:t>
      </w:r>
    </w:p>
    <w:p w14:paraId="14A88B25" w14:textId="77777777" w:rsidR="006C1012" w:rsidRPr="00907732" w:rsidRDefault="006C1012" w:rsidP="0016369D">
      <w:pPr>
        <w:spacing w:line="360" w:lineRule="auto"/>
        <w:jc w:val="both"/>
        <w:rPr>
          <w:rFonts w:ascii="Arial" w:hAnsi="Arial" w:cs="Arial"/>
        </w:rPr>
      </w:pPr>
    </w:p>
    <w:p w14:paraId="303E21C6" w14:textId="77777777" w:rsidR="006C1012" w:rsidRPr="00907732" w:rsidRDefault="006C1012" w:rsidP="0016369D">
      <w:pPr>
        <w:spacing w:line="360" w:lineRule="auto"/>
        <w:jc w:val="both"/>
        <w:rPr>
          <w:rFonts w:ascii="Arial" w:hAnsi="Arial" w:cs="Arial"/>
        </w:rPr>
      </w:pPr>
      <w:r w:rsidRPr="00907732">
        <w:rPr>
          <w:rFonts w:ascii="Arial" w:hAnsi="Arial" w:cs="Arial"/>
        </w:rPr>
        <w:t>[18]</w:t>
      </w:r>
      <w:r w:rsidRPr="00907732">
        <w:rPr>
          <w:rFonts w:ascii="Arial" w:hAnsi="Arial" w:cs="Arial"/>
        </w:rPr>
        <w:tab/>
      </w:r>
      <w:r w:rsidR="00586D7E" w:rsidRPr="00907732">
        <w:rPr>
          <w:rFonts w:ascii="Arial" w:hAnsi="Arial" w:cs="Arial"/>
        </w:rPr>
        <w:t xml:space="preserve">First, it was his submission that the </w:t>
      </w:r>
      <w:r w:rsidRPr="00907732">
        <w:rPr>
          <w:rFonts w:ascii="Arial" w:hAnsi="Arial" w:cs="Arial"/>
        </w:rPr>
        <w:t xml:space="preserve">plaintiff had failed to lead admissible evidence of an expert to prove that the EPL has some commercial value which would in turn prove the amount of damages allegedly suffered by </w:t>
      </w:r>
      <w:r w:rsidRPr="00907732">
        <w:rPr>
          <w:rFonts w:ascii="Arial" w:hAnsi="Arial" w:cs="Arial"/>
        </w:rPr>
        <w:lastRenderedPageBreak/>
        <w:t>the plaintiff as a result of the transfer. It was, in this regard submitted that the court should grant absolution as no admissible was adduced in court regarding the damages claimed by the plaintiff. In this regard, the court was asked to take into account that the expert that had been intimated to be called did not adduce any evidence, thus dealing the plaintiff’s case a shattering blow such that it could not withstand the application for absolution from the instance.</w:t>
      </w:r>
    </w:p>
    <w:p w14:paraId="2834A918" w14:textId="77777777" w:rsidR="006C1012" w:rsidRPr="00907732" w:rsidRDefault="006C1012" w:rsidP="0016369D">
      <w:pPr>
        <w:spacing w:line="360" w:lineRule="auto"/>
        <w:jc w:val="both"/>
        <w:rPr>
          <w:rFonts w:ascii="Arial" w:hAnsi="Arial" w:cs="Arial"/>
        </w:rPr>
      </w:pPr>
    </w:p>
    <w:p w14:paraId="748DF72F" w14:textId="77777777" w:rsidR="00FA5CEE" w:rsidRPr="00907732" w:rsidRDefault="006C1012" w:rsidP="0016369D">
      <w:pPr>
        <w:spacing w:line="360" w:lineRule="auto"/>
        <w:jc w:val="both"/>
        <w:rPr>
          <w:rFonts w:ascii="Arial" w:hAnsi="Arial" w:cs="Arial"/>
        </w:rPr>
      </w:pPr>
      <w:r w:rsidRPr="00907732">
        <w:rPr>
          <w:rFonts w:ascii="Arial" w:hAnsi="Arial" w:cs="Arial"/>
        </w:rPr>
        <w:t>[19]</w:t>
      </w:r>
      <w:r w:rsidRPr="00907732">
        <w:rPr>
          <w:rFonts w:ascii="Arial" w:hAnsi="Arial" w:cs="Arial"/>
        </w:rPr>
        <w:tab/>
        <w:t>The second leg of the argument relates to the legislative regime that applies in this Republic. In this regard, it was argued that when one has proper regard to Constitution of this Republic, together with laws promulgated that have a bearing on the issue of extraction of minerals, it is clear that the plaintiff has failed to prove the damages he seeks.</w:t>
      </w:r>
      <w:r w:rsidR="00FA5CEE" w:rsidRPr="00907732">
        <w:rPr>
          <w:rFonts w:ascii="Arial" w:hAnsi="Arial" w:cs="Arial"/>
        </w:rPr>
        <w:t xml:space="preserve"> In this regard, it was</w:t>
      </w:r>
      <w:r w:rsidRPr="00907732">
        <w:rPr>
          <w:rFonts w:ascii="Arial" w:hAnsi="Arial" w:cs="Arial"/>
        </w:rPr>
        <w:t xml:space="preserve"> </w:t>
      </w:r>
      <w:r w:rsidR="00FA5CEE" w:rsidRPr="00907732">
        <w:rPr>
          <w:rFonts w:ascii="Arial" w:hAnsi="Arial" w:cs="Arial"/>
        </w:rPr>
        <w:t>submitted that a cursory reading of the Constitution and the Minerals (Prospecting and Mining) Act,</w:t>
      </w:r>
      <w:r w:rsidR="00FA5CEE" w:rsidRPr="00907732">
        <w:rPr>
          <w:rStyle w:val="FootnoteReference"/>
          <w:rFonts w:ascii="Arial" w:hAnsi="Arial" w:cs="Arial"/>
        </w:rPr>
        <w:footnoteReference w:id="1"/>
      </w:r>
      <w:r w:rsidR="00FA5CEE" w:rsidRPr="00907732">
        <w:rPr>
          <w:rFonts w:ascii="Arial" w:hAnsi="Arial" w:cs="Arial"/>
        </w:rPr>
        <w:t xml:space="preserve"> the ownership of minerals to be found in relation to any land, vest in the State.</w:t>
      </w:r>
    </w:p>
    <w:p w14:paraId="056C13C9" w14:textId="77777777" w:rsidR="00FA5CEE" w:rsidRPr="00907732" w:rsidRDefault="00FA5CEE" w:rsidP="0016369D">
      <w:pPr>
        <w:spacing w:line="360" w:lineRule="auto"/>
        <w:jc w:val="both"/>
        <w:rPr>
          <w:rFonts w:ascii="Arial" w:hAnsi="Arial" w:cs="Arial"/>
        </w:rPr>
      </w:pPr>
    </w:p>
    <w:p w14:paraId="697B6231" w14:textId="10EACEA4" w:rsidR="00217F8B" w:rsidRPr="00907732" w:rsidRDefault="00FA5CEE" w:rsidP="0016369D">
      <w:pPr>
        <w:spacing w:line="360" w:lineRule="auto"/>
        <w:jc w:val="both"/>
        <w:rPr>
          <w:rFonts w:ascii="Arial" w:hAnsi="Arial" w:cs="Arial"/>
        </w:rPr>
      </w:pPr>
      <w:r w:rsidRPr="00907732">
        <w:rPr>
          <w:rFonts w:ascii="Arial" w:hAnsi="Arial" w:cs="Arial"/>
        </w:rPr>
        <w:t>[20]</w:t>
      </w:r>
      <w:r w:rsidRPr="00907732">
        <w:rPr>
          <w:rFonts w:ascii="Arial" w:hAnsi="Arial" w:cs="Arial"/>
        </w:rPr>
        <w:tab/>
        <w:t>In this connection, it was submitted, and forcefully so, that the plaintiff’s EPL was merely confined to prospecting for minerals in terms of s. 68 of the Act and it did not have the licence to remove, sell and dispose of controlled minerals from the place where they were found. In this regard, it was argued that the amount of damages claimed by the plaintiff took into account the removal, sale and disposal of the controlled minerals, which was legally impossible for the plaintiff to do in view of the limited nature of the licence then held by the plaintiff.</w:t>
      </w:r>
    </w:p>
    <w:p w14:paraId="35E5AD11" w14:textId="77777777" w:rsidR="000553BD" w:rsidRPr="00907732" w:rsidRDefault="000553BD" w:rsidP="0016369D">
      <w:pPr>
        <w:spacing w:line="360" w:lineRule="auto"/>
        <w:jc w:val="both"/>
        <w:rPr>
          <w:rFonts w:ascii="Arial" w:hAnsi="Arial" w:cs="Arial"/>
        </w:rPr>
      </w:pPr>
    </w:p>
    <w:p w14:paraId="472D3DAA" w14:textId="1D149C86" w:rsidR="000553BD" w:rsidRPr="00907732" w:rsidRDefault="000553BD" w:rsidP="0016369D">
      <w:pPr>
        <w:spacing w:line="360" w:lineRule="auto"/>
        <w:jc w:val="both"/>
        <w:rPr>
          <w:rFonts w:ascii="Arial" w:hAnsi="Arial" w:cs="Arial"/>
        </w:rPr>
      </w:pPr>
      <w:r w:rsidRPr="00907732">
        <w:rPr>
          <w:rFonts w:ascii="Arial" w:hAnsi="Arial" w:cs="Arial"/>
        </w:rPr>
        <w:t>[21]</w:t>
      </w:r>
      <w:r w:rsidRPr="00907732">
        <w:rPr>
          <w:rFonts w:ascii="Arial" w:hAnsi="Arial" w:cs="Arial"/>
        </w:rPr>
        <w:tab/>
        <w:t>I now need to consider the sustainability of the argument advanced by Mr. Namandje. It is necessary though, before I do so, to first deal, albeit briefly with the law that appertains to applications for absolution from the instance as can be found in case law. I turn to do so presently.</w:t>
      </w:r>
    </w:p>
    <w:p w14:paraId="7ADD7669" w14:textId="77777777" w:rsidR="000553BD" w:rsidRDefault="000553BD" w:rsidP="0016369D">
      <w:pPr>
        <w:spacing w:line="360" w:lineRule="auto"/>
        <w:jc w:val="both"/>
        <w:rPr>
          <w:rFonts w:ascii="Arial" w:hAnsi="Arial" w:cs="Arial"/>
        </w:rPr>
      </w:pPr>
    </w:p>
    <w:p w14:paraId="179D312D" w14:textId="77777777" w:rsidR="003156D0" w:rsidRPr="00907732" w:rsidRDefault="003156D0" w:rsidP="0016369D">
      <w:pPr>
        <w:spacing w:line="360" w:lineRule="auto"/>
        <w:jc w:val="both"/>
        <w:rPr>
          <w:rFonts w:ascii="Arial" w:hAnsi="Arial" w:cs="Arial"/>
        </w:rPr>
      </w:pPr>
    </w:p>
    <w:p w14:paraId="3AC57641" w14:textId="4DD52F6A" w:rsidR="000553BD" w:rsidRPr="00907732" w:rsidRDefault="000553BD" w:rsidP="0016369D">
      <w:pPr>
        <w:spacing w:line="360" w:lineRule="auto"/>
        <w:jc w:val="both"/>
        <w:rPr>
          <w:rFonts w:ascii="Arial" w:hAnsi="Arial" w:cs="Arial"/>
          <w:u w:val="single"/>
        </w:rPr>
      </w:pPr>
      <w:r w:rsidRPr="00907732">
        <w:rPr>
          <w:rFonts w:ascii="Arial" w:hAnsi="Arial" w:cs="Arial"/>
          <w:u w:val="single"/>
        </w:rPr>
        <w:lastRenderedPageBreak/>
        <w:t xml:space="preserve">Applications for absolution from the instance  </w:t>
      </w:r>
    </w:p>
    <w:p w14:paraId="1FDBC9B0" w14:textId="77777777" w:rsidR="000553BD" w:rsidRPr="00907732" w:rsidRDefault="000553BD" w:rsidP="0016369D">
      <w:pPr>
        <w:spacing w:line="360" w:lineRule="auto"/>
        <w:jc w:val="both"/>
        <w:rPr>
          <w:rFonts w:ascii="Arial" w:hAnsi="Arial" w:cs="Arial"/>
          <w:u w:val="single"/>
        </w:rPr>
      </w:pPr>
    </w:p>
    <w:p w14:paraId="0688E47B" w14:textId="3E3FA36A" w:rsidR="000553BD" w:rsidRPr="00907732" w:rsidRDefault="000553BD" w:rsidP="0016369D">
      <w:pPr>
        <w:spacing w:line="360" w:lineRule="auto"/>
        <w:jc w:val="both"/>
        <w:rPr>
          <w:rFonts w:ascii="Arial" w:hAnsi="Arial" w:cs="Arial"/>
        </w:rPr>
      </w:pPr>
      <w:r w:rsidRPr="00907732">
        <w:rPr>
          <w:rFonts w:ascii="Arial" w:hAnsi="Arial" w:cs="Arial"/>
        </w:rPr>
        <w:t>[22]</w:t>
      </w:r>
      <w:r w:rsidRPr="00907732">
        <w:rPr>
          <w:rFonts w:ascii="Arial" w:hAnsi="Arial" w:cs="Arial"/>
        </w:rPr>
        <w:tab/>
        <w:t>Applications for absolution, which is what I will call them from this point, are governed by the provisions of rule 100. The said rule provides the following:</w:t>
      </w:r>
    </w:p>
    <w:p w14:paraId="2DE7097D" w14:textId="77777777" w:rsidR="00B13158" w:rsidRPr="00907732" w:rsidRDefault="00B13158" w:rsidP="0016369D">
      <w:pPr>
        <w:spacing w:line="360" w:lineRule="auto"/>
        <w:jc w:val="both"/>
        <w:rPr>
          <w:rFonts w:ascii="Arial" w:hAnsi="Arial" w:cs="Arial"/>
        </w:rPr>
      </w:pPr>
    </w:p>
    <w:p w14:paraId="1363B995" w14:textId="04F1013F" w:rsidR="00B13158" w:rsidRDefault="00B13158" w:rsidP="0016369D">
      <w:pPr>
        <w:spacing w:line="360" w:lineRule="auto"/>
        <w:jc w:val="both"/>
        <w:rPr>
          <w:rFonts w:ascii="Arial" w:hAnsi="Arial" w:cs="Arial"/>
          <w:sz w:val="22"/>
          <w:szCs w:val="22"/>
        </w:rPr>
      </w:pPr>
      <w:r w:rsidRPr="00907732">
        <w:rPr>
          <w:rFonts w:ascii="Arial" w:hAnsi="Arial" w:cs="Arial"/>
        </w:rPr>
        <w:t>‘</w:t>
      </w:r>
      <w:r w:rsidRPr="000D682A">
        <w:rPr>
          <w:rFonts w:ascii="Arial" w:hAnsi="Arial" w:cs="Arial"/>
          <w:sz w:val="22"/>
          <w:szCs w:val="22"/>
        </w:rPr>
        <w:t>At the close of the case for the plaintiff the defendant may apply for absolution from the instance in which case the –</w:t>
      </w:r>
    </w:p>
    <w:p w14:paraId="2CC98410" w14:textId="77777777" w:rsidR="002D5507" w:rsidRPr="000D682A" w:rsidRDefault="002D5507" w:rsidP="0016369D">
      <w:pPr>
        <w:spacing w:line="360" w:lineRule="auto"/>
        <w:jc w:val="both"/>
        <w:rPr>
          <w:rFonts w:ascii="Arial" w:hAnsi="Arial" w:cs="Arial"/>
          <w:sz w:val="22"/>
          <w:szCs w:val="22"/>
        </w:rPr>
      </w:pPr>
    </w:p>
    <w:p w14:paraId="3FBD4FF0" w14:textId="39399BD4" w:rsidR="00B13158" w:rsidRPr="00496E98" w:rsidRDefault="00B13158" w:rsidP="002D5507">
      <w:pPr>
        <w:pStyle w:val="ListParagraph"/>
        <w:numPr>
          <w:ilvl w:val="0"/>
          <w:numId w:val="2"/>
        </w:numPr>
        <w:spacing w:line="360" w:lineRule="auto"/>
        <w:ind w:hanging="720"/>
        <w:jc w:val="both"/>
        <w:rPr>
          <w:rFonts w:ascii="Arial" w:hAnsi="Arial" w:cs="Arial"/>
          <w:sz w:val="22"/>
          <w:szCs w:val="22"/>
        </w:rPr>
      </w:pPr>
      <w:r w:rsidRPr="00496E98">
        <w:rPr>
          <w:rFonts w:ascii="Arial" w:hAnsi="Arial" w:cs="Arial"/>
          <w:sz w:val="22"/>
          <w:szCs w:val="22"/>
        </w:rPr>
        <w:t>the defendant or his legal practitioner may address the court;</w:t>
      </w:r>
    </w:p>
    <w:p w14:paraId="4A6BE9CD" w14:textId="61D64A6E" w:rsidR="00B13158" w:rsidRPr="000D682A" w:rsidRDefault="00B13158" w:rsidP="002D5507">
      <w:pPr>
        <w:pStyle w:val="ListParagraph"/>
        <w:numPr>
          <w:ilvl w:val="0"/>
          <w:numId w:val="2"/>
        </w:numPr>
        <w:spacing w:line="360" w:lineRule="auto"/>
        <w:ind w:hanging="720"/>
        <w:jc w:val="both"/>
        <w:rPr>
          <w:rFonts w:ascii="Arial" w:hAnsi="Arial" w:cs="Arial"/>
          <w:sz w:val="22"/>
          <w:szCs w:val="22"/>
        </w:rPr>
      </w:pPr>
      <w:r w:rsidRPr="000D682A">
        <w:rPr>
          <w:rFonts w:ascii="Arial" w:hAnsi="Arial" w:cs="Arial"/>
          <w:sz w:val="22"/>
          <w:szCs w:val="22"/>
        </w:rPr>
        <w:t>the plaintiff or his legal practitioner may reply; and</w:t>
      </w:r>
    </w:p>
    <w:p w14:paraId="7EC83641" w14:textId="3B753DAA" w:rsidR="00B13158" w:rsidRPr="000D682A" w:rsidRDefault="00B13158" w:rsidP="002D5507">
      <w:pPr>
        <w:pStyle w:val="ListParagraph"/>
        <w:numPr>
          <w:ilvl w:val="0"/>
          <w:numId w:val="2"/>
        </w:numPr>
        <w:spacing w:line="360" w:lineRule="auto"/>
        <w:ind w:hanging="720"/>
        <w:jc w:val="both"/>
        <w:rPr>
          <w:rFonts w:ascii="Arial" w:hAnsi="Arial" w:cs="Arial"/>
          <w:sz w:val="22"/>
          <w:szCs w:val="22"/>
        </w:rPr>
      </w:pPr>
      <w:proofErr w:type="gramStart"/>
      <w:r w:rsidRPr="000D682A">
        <w:rPr>
          <w:rFonts w:ascii="Arial" w:hAnsi="Arial" w:cs="Arial"/>
          <w:sz w:val="22"/>
          <w:szCs w:val="22"/>
        </w:rPr>
        <w:t>the</w:t>
      </w:r>
      <w:proofErr w:type="gramEnd"/>
      <w:r w:rsidRPr="000D682A">
        <w:rPr>
          <w:rFonts w:ascii="Arial" w:hAnsi="Arial" w:cs="Arial"/>
          <w:sz w:val="22"/>
          <w:szCs w:val="22"/>
        </w:rPr>
        <w:t xml:space="preserve"> defendant or his legal practitioner may thereafter reply to any matter arising out of the address of the plaintiff or his legal practitioner.’</w:t>
      </w:r>
    </w:p>
    <w:p w14:paraId="1BCB7A5A" w14:textId="77777777" w:rsidR="00B13158" w:rsidRPr="00907732" w:rsidRDefault="00B13158" w:rsidP="0016369D">
      <w:pPr>
        <w:spacing w:line="360" w:lineRule="auto"/>
        <w:jc w:val="both"/>
        <w:rPr>
          <w:rFonts w:ascii="Arial" w:hAnsi="Arial" w:cs="Arial"/>
        </w:rPr>
      </w:pPr>
    </w:p>
    <w:p w14:paraId="72FCFE8D" w14:textId="22856EBE" w:rsidR="00B13158" w:rsidRPr="00907732" w:rsidRDefault="00B13158" w:rsidP="0016369D">
      <w:pPr>
        <w:spacing w:line="360" w:lineRule="auto"/>
        <w:jc w:val="both"/>
        <w:rPr>
          <w:rFonts w:ascii="Arial" w:hAnsi="Arial" w:cs="Arial"/>
          <w:i/>
        </w:rPr>
      </w:pPr>
      <w:r w:rsidRPr="00907732">
        <w:rPr>
          <w:rFonts w:ascii="Arial" w:hAnsi="Arial" w:cs="Arial"/>
        </w:rPr>
        <w:t>[23]</w:t>
      </w:r>
      <w:r w:rsidRPr="00907732">
        <w:rPr>
          <w:rFonts w:ascii="Arial" w:hAnsi="Arial" w:cs="Arial"/>
        </w:rPr>
        <w:tab/>
        <w:t xml:space="preserve">The rule-maker, unfortunately, did not set out the principles that are to apply in applications from the instance. In that regard, the court has to rely on written judgments, in order to determine the principles, which shall thereafter be applied. In this regard, there is a plethora of case law that deals with this matter and cases that readily come to mind include </w:t>
      </w:r>
      <w:proofErr w:type="spellStart"/>
      <w:r w:rsidRPr="00907732">
        <w:rPr>
          <w:rFonts w:ascii="Arial" w:hAnsi="Arial" w:cs="Arial"/>
          <w:i/>
        </w:rPr>
        <w:t>Factcrown</w:t>
      </w:r>
      <w:proofErr w:type="spellEnd"/>
      <w:r w:rsidRPr="00907732">
        <w:rPr>
          <w:rFonts w:ascii="Arial" w:hAnsi="Arial" w:cs="Arial"/>
          <w:i/>
        </w:rPr>
        <w:t xml:space="preserve"> Limited v Namibia Broadcasting Corporation</w:t>
      </w:r>
      <w:r w:rsidRPr="00907732">
        <w:rPr>
          <w:rStyle w:val="FootnoteReference"/>
          <w:rFonts w:ascii="Arial" w:hAnsi="Arial" w:cs="Arial"/>
          <w:i/>
        </w:rPr>
        <w:footnoteReference w:id="2"/>
      </w:r>
      <w:r w:rsidR="004203AA">
        <w:rPr>
          <w:rFonts w:ascii="Arial" w:hAnsi="Arial" w:cs="Arial"/>
          <w:i/>
        </w:rPr>
        <w:t>;</w:t>
      </w:r>
      <w:r w:rsidRPr="00907732">
        <w:rPr>
          <w:rFonts w:ascii="Arial" w:hAnsi="Arial" w:cs="Arial"/>
          <w:i/>
        </w:rPr>
        <w:t xml:space="preserve"> </w:t>
      </w:r>
      <w:proofErr w:type="spellStart"/>
      <w:r w:rsidRPr="00907732">
        <w:rPr>
          <w:rFonts w:ascii="Arial" w:hAnsi="Arial" w:cs="Arial"/>
          <w:i/>
        </w:rPr>
        <w:t>Stier</w:t>
      </w:r>
      <w:proofErr w:type="spellEnd"/>
      <w:r w:rsidRPr="00907732">
        <w:rPr>
          <w:rFonts w:ascii="Arial" w:hAnsi="Arial" w:cs="Arial"/>
          <w:i/>
        </w:rPr>
        <w:t xml:space="preserve"> v Henke</w:t>
      </w:r>
      <w:r w:rsidR="00930557">
        <w:rPr>
          <w:rStyle w:val="FootnoteReference"/>
          <w:rFonts w:ascii="Arial" w:hAnsi="Arial" w:cs="Arial"/>
          <w:i/>
        </w:rPr>
        <w:footnoteReference w:id="3"/>
      </w:r>
      <w:r w:rsidRPr="00907732">
        <w:rPr>
          <w:rFonts w:ascii="Arial" w:hAnsi="Arial" w:cs="Arial"/>
          <w:i/>
        </w:rPr>
        <w:t>; Aluminium City CC v Scandia Kitchens &amp; Joinery (Pty) Ltd</w:t>
      </w:r>
      <w:r w:rsidR="004203AA" w:rsidRPr="00907732">
        <w:rPr>
          <w:rStyle w:val="FootnoteReference"/>
          <w:rFonts w:ascii="Arial" w:hAnsi="Arial" w:cs="Arial"/>
          <w:i/>
        </w:rPr>
        <w:footnoteReference w:id="4"/>
      </w:r>
      <w:r w:rsidRPr="00907732">
        <w:rPr>
          <w:rFonts w:ascii="Arial" w:hAnsi="Arial" w:cs="Arial"/>
          <w:i/>
        </w:rPr>
        <w:t>; Lofty Eaton v Grey Security Services of Namibia (Pty) Ltd</w:t>
      </w:r>
      <w:r w:rsidR="004203AA" w:rsidRPr="00907732">
        <w:rPr>
          <w:rStyle w:val="FootnoteReference"/>
          <w:rFonts w:ascii="Arial" w:hAnsi="Arial" w:cs="Arial"/>
          <w:i/>
        </w:rPr>
        <w:footnoteReference w:id="5"/>
      </w:r>
      <w:r w:rsidRPr="00907732">
        <w:rPr>
          <w:rFonts w:ascii="Arial" w:hAnsi="Arial" w:cs="Arial"/>
          <w:i/>
        </w:rPr>
        <w:t xml:space="preserve"> </w:t>
      </w:r>
      <w:r w:rsidRPr="00907732">
        <w:rPr>
          <w:rFonts w:ascii="Arial" w:hAnsi="Arial" w:cs="Arial"/>
        </w:rPr>
        <w:t xml:space="preserve">and </w:t>
      </w:r>
      <w:proofErr w:type="spellStart"/>
      <w:r w:rsidRPr="00994DF5">
        <w:rPr>
          <w:rFonts w:ascii="Arial" w:hAnsi="Arial" w:cs="Arial"/>
          <w:i/>
        </w:rPr>
        <w:t>Bidoli</w:t>
      </w:r>
      <w:proofErr w:type="spellEnd"/>
      <w:r w:rsidRPr="00994DF5">
        <w:rPr>
          <w:rFonts w:ascii="Arial" w:hAnsi="Arial" w:cs="Arial"/>
          <w:i/>
        </w:rPr>
        <w:t xml:space="preserve"> v </w:t>
      </w:r>
      <w:proofErr w:type="spellStart"/>
      <w:r w:rsidRPr="00994DF5">
        <w:rPr>
          <w:rFonts w:ascii="Arial" w:hAnsi="Arial" w:cs="Arial"/>
          <w:i/>
        </w:rPr>
        <w:t>Ellistron</w:t>
      </w:r>
      <w:proofErr w:type="spellEnd"/>
      <w:r w:rsidRPr="00994DF5">
        <w:rPr>
          <w:rFonts w:ascii="Arial" w:hAnsi="Arial" w:cs="Arial"/>
          <w:i/>
        </w:rPr>
        <w:t xml:space="preserve"> t/a </w:t>
      </w:r>
      <w:proofErr w:type="spellStart"/>
      <w:r w:rsidRPr="00994DF5">
        <w:rPr>
          <w:rFonts w:ascii="Arial" w:hAnsi="Arial" w:cs="Arial"/>
          <w:i/>
        </w:rPr>
        <w:t>Ellistron</w:t>
      </w:r>
      <w:proofErr w:type="spellEnd"/>
      <w:r w:rsidRPr="00994DF5">
        <w:rPr>
          <w:rFonts w:ascii="Arial" w:hAnsi="Arial" w:cs="Arial"/>
          <w:i/>
        </w:rPr>
        <w:t xml:space="preserve"> Truck and Plant</w:t>
      </w:r>
      <w:r w:rsidR="004203AA">
        <w:rPr>
          <w:rFonts w:ascii="Arial" w:hAnsi="Arial" w:cs="Arial"/>
          <w:i/>
        </w:rPr>
        <w:t>.</w:t>
      </w:r>
      <w:r w:rsidR="004203AA" w:rsidRPr="004203AA">
        <w:rPr>
          <w:rStyle w:val="FootnoteReference"/>
          <w:rFonts w:ascii="Arial" w:hAnsi="Arial" w:cs="Arial"/>
          <w:i/>
        </w:rPr>
        <w:t xml:space="preserve"> </w:t>
      </w:r>
      <w:r w:rsidR="004203AA" w:rsidRPr="00907732">
        <w:rPr>
          <w:rStyle w:val="FootnoteReference"/>
          <w:rFonts w:ascii="Arial" w:hAnsi="Arial" w:cs="Arial"/>
          <w:i/>
        </w:rPr>
        <w:footnoteReference w:id="6"/>
      </w:r>
    </w:p>
    <w:p w14:paraId="6478D39E" w14:textId="77777777" w:rsidR="005E60E4" w:rsidRPr="00907732" w:rsidRDefault="005E60E4" w:rsidP="0016369D">
      <w:pPr>
        <w:spacing w:line="360" w:lineRule="auto"/>
        <w:jc w:val="both"/>
        <w:rPr>
          <w:rFonts w:ascii="Arial" w:hAnsi="Arial" w:cs="Arial"/>
          <w:i/>
        </w:rPr>
      </w:pPr>
    </w:p>
    <w:p w14:paraId="3D72D2D5" w14:textId="2BD5D60E" w:rsidR="00217F8B" w:rsidRPr="00907732" w:rsidRDefault="005E60E4" w:rsidP="0016369D">
      <w:pPr>
        <w:spacing w:line="360" w:lineRule="auto"/>
        <w:jc w:val="both"/>
        <w:rPr>
          <w:rFonts w:ascii="Arial" w:hAnsi="Arial" w:cs="Arial"/>
        </w:rPr>
      </w:pPr>
      <w:r w:rsidRPr="00907732">
        <w:rPr>
          <w:rFonts w:ascii="Arial" w:hAnsi="Arial" w:cs="Arial"/>
        </w:rPr>
        <w:t>[24]</w:t>
      </w:r>
      <w:r w:rsidRPr="00907732">
        <w:rPr>
          <w:rFonts w:ascii="Arial" w:hAnsi="Arial" w:cs="Arial"/>
        </w:rPr>
        <w:tab/>
        <w:t>Counsel on both sides do not appear to quibble at all about the applicable principles as the relevant case law i</w:t>
      </w:r>
      <w:r w:rsidR="000D682A">
        <w:rPr>
          <w:rFonts w:ascii="Arial" w:hAnsi="Arial" w:cs="Arial"/>
        </w:rPr>
        <w:t>s</w:t>
      </w:r>
      <w:r w:rsidRPr="00907732">
        <w:rPr>
          <w:rFonts w:ascii="Arial" w:hAnsi="Arial" w:cs="Arial"/>
        </w:rPr>
        <w:t xml:space="preserve"> clear and I shall state it below. The disparity may just be on the actual application of the principles to the facts. One of the classic judgments on this issue, and which is cited in this jurisdiction, with reckless abandon, as it were, is </w:t>
      </w:r>
      <w:r w:rsidRPr="00907732">
        <w:rPr>
          <w:rFonts w:ascii="Arial" w:hAnsi="Arial" w:cs="Arial"/>
          <w:i/>
        </w:rPr>
        <w:t>Gordon Lloyd Page &amp; Associates v Rivera and Another,</w:t>
      </w:r>
      <w:r w:rsidRPr="00907732">
        <w:rPr>
          <w:rStyle w:val="FootnoteReference"/>
          <w:rFonts w:ascii="Arial" w:hAnsi="Arial" w:cs="Arial"/>
          <w:i/>
        </w:rPr>
        <w:footnoteReference w:id="7"/>
      </w:r>
      <w:r w:rsidR="00496E98">
        <w:rPr>
          <w:rFonts w:ascii="Arial" w:hAnsi="Arial" w:cs="Arial"/>
          <w:i/>
        </w:rPr>
        <w:t xml:space="preserve"> </w:t>
      </w:r>
      <w:r w:rsidRPr="00907732">
        <w:rPr>
          <w:rFonts w:ascii="Arial" w:hAnsi="Arial" w:cs="Arial"/>
        </w:rPr>
        <w:t>where Harms JA commented as follows regarding an application for absolution:</w:t>
      </w:r>
    </w:p>
    <w:p w14:paraId="20A0BF37" w14:textId="77777777" w:rsidR="00C04BF2" w:rsidRPr="00907732" w:rsidRDefault="00C04BF2" w:rsidP="0016369D">
      <w:pPr>
        <w:spacing w:line="360" w:lineRule="auto"/>
        <w:jc w:val="both"/>
        <w:rPr>
          <w:rFonts w:ascii="Arial" w:hAnsi="Arial" w:cs="Arial"/>
        </w:rPr>
      </w:pPr>
    </w:p>
    <w:p w14:paraId="5FD8ECAC" w14:textId="05F97834" w:rsidR="005E60E4" w:rsidRPr="00D6102A" w:rsidRDefault="005E60E4" w:rsidP="0016369D">
      <w:pPr>
        <w:spacing w:line="360" w:lineRule="auto"/>
        <w:jc w:val="both"/>
        <w:rPr>
          <w:rFonts w:ascii="Arial" w:hAnsi="Arial" w:cs="Arial"/>
          <w:sz w:val="22"/>
          <w:szCs w:val="22"/>
        </w:rPr>
      </w:pPr>
      <w:r w:rsidRPr="00907732">
        <w:rPr>
          <w:rFonts w:ascii="Arial" w:hAnsi="Arial" w:cs="Arial"/>
        </w:rPr>
        <w:t>‘</w:t>
      </w:r>
      <w:r w:rsidRPr="00D6102A">
        <w:rPr>
          <w:rFonts w:ascii="Arial" w:hAnsi="Arial" w:cs="Arial"/>
          <w:sz w:val="22"/>
          <w:szCs w:val="22"/>
        </w:rPr>
        <w:t xml:space="preserve">This implies that a plaintiff has to make out a </w:t>
      </w:r>
      <w:r w:rsidRPr="00D6102A">
        <w:rPr>
          <w:rFonts w:ascii="Arial" w:hAnsi="Arial" w:cs="Arial"/>
          <w:i/>
          <w:sz w:val="22"/>
          <w:szCs w:val="22"/>
        </w:rPr>
        <w:t xml:space="preserve">prima facie </w:t>
      </w:r>
      <w:r w:rsidRPr="00D6102A">
        <w:rPr>
          <w:rFonts w:ascii="Arial" w:hAnsi="Arial" w:cs="Arial"/>
          <w:sz w:val="22"/>
          <w:szCs w:val="22"/>
        </w:rPr>
        <w:t>case – in the sense that there is evidence relating to all the elements of the claim – to survive absolution because without such evidence</w:t>
      </w:r>
      <w:r w:rsidR="00C04BF2" w:rsidRPr="00D6102A">
        <w:rPr>
          <w:rFonts w:ascii="Arial" w:hAnsi="Arial" w:cs="Arial"/>
          <w:sz w:val="22"/>
          <w:szCs w:val="22"/>
        </w:rPr>
        <w:t xml:space="preserve"> no court could find for the plaintiff . . . As far as inferences from the evidence are concerned, the inference relied upon by the plaintiff must be a reasonable one, not the only reasonable one.’</w:t>
      </w:r>
    </w:p>
    <w:p w14:paraId="51D46072" w14:textId="77777777" w:rsidR="00C04BF2" w:rsidRPr="00907732" w:rsidRDefault="00C04BF2" w:rsidP="0016369D">
      <w:pPr>
        <w:spacing w:line="360" w:lineRule="auto"/>
        <w:jc w:val="both"/>
        <w:rPr>
          <w:rFonts w:ascii="Arial" w:hAnsi="Arial" w:cs="Arial"/>
        </w:rPr>
      </w:pPr>
    </w:p>
    <w:p w14:paraId="5B84C97B" w14:textId="780A8E01" w:rsidR="00C04BF2" w:rsidRPr="00907732" w:rsidRDefault="002C0ADD" w:rsidP="0016369D">
      <w:pPr>
        <w:spacing w:line="360" w:lineRule="auto"/>
        <w:jc w:val="both"/>
        <w:rPr>
          <w:rFonts w:ascii="Arial" w:hAnsi="Arial" w:cs="Arial"/>
        </w:rPr>
      </w:pPr>
      <w:r w:rsidRPr="00907732">
        <w:rPr>
          <w:rFonts w:ascii="Arial" w:hAnsi="Arial" w:cs="Arial"/>
        </w:rPr>
        <w:t>[</w:t>
      </w:r>
      <w:r w:rsidR="00C04BF2" w:rsidRPr="00907732">
        <w:rPr>
          <w:rFonts w:ascii="Arial" w:hAnsi="Arial" w:cs="Arial"/>
        </w:rPr>
        <w:t>2</w:t>
      </w:r>
      <w:r w:rsidRPr="00907732">
        <w:rPr>
          <w:rFonts w:ascii="Arial" w:hAnsi="Arial" w:cs="Arial"/>
        </w:rPr>
        <w:t>5</w:t>
      </w:r>
      <w:r w:rsidR="00C04BF2" w:rsidRPr="00907732">
        <w:rPr>
          <w:rFonts w:ascii="Arial" w:hAnsi="Arial" w:cs="Arial"/>
        </w:rPr>
        <w:t>]</w:t>
      </w:r>
      <w:r w:rsidR="00C04BF2" w:rsidRPr="00907732">
        <w:rPr>
          <w:rFonts w:ascii="Arial" w:hAnsi="Arial" w:cs="Arial"/>
        </w:rPr>
        <w:tab/>
        <w:t xml:space="preserve">In </w:t>
      </w:r>
      <w:r w:rsidR="00C04BF2" w:rsidRPr="00907732">
        <w:rPr>
          <w:rFonts w:ascii="Arial" w:hAnsi="Arial" w:cs="Arial"/>
          <w:i/>
        </w:rPr>
        <w:t xml:space="preserve">Ramirez v </w:t>
      </w:r>
      <w:proofErr w:type="spellStart"/>
      <w:r w:rsidR="00C04BF2" w:rsidRPr="00907732">
        <w:rPr>
          <w:rFonts w:ascii="Arial" w:hAnsi="Arial" w:cs="Arial"/>
          <w:i/>
        </w:rPr>
        <w:t>Frans</w:t>
      </w:r>
      <w:proofErr w:type="spellEnd"/>
      <w:r w:rsidR="00C04BF2" w:rsidRPr="00907732">
        <w:rPr>
          <w:rFonts w:ascii="Arial" w:hAnsi="Arial" w:cs="Arial"/>
          <w:i/>
        </w:rPr>
        <w:t xml:space="preserve"> and Others,</w:t>
      </w:r>
      <w:r w:rsidR="00C04BF2" w:rsidRPr="00907732">
        <w:rPr>
          <w:rStyle w:val="FootnoteReference"/>
          <w:rFonts w:ascii="Arial" w:hAnsi="Arial" w:cs="Arial"/>
          <w:i/>
        </w:rPr>
        <w:footnoteReference w:id="8"/>
      </w:r>
      <w:r w:rsidR="00C04BF2" w:rsidRPr="00907732">
        <w:rPr>
          <w:rFonts w:ascii="Arial" w:hAnsi="Arial" w:cs="Arial"/>
          <w:i/>
        </w:rPr>
        <w:t xml:space="preserve"> </w:t>
      </w:r>
      <w:r w:rsidR="00C04BF2" w:rsidRPr="00907732">
        <w:rPr>
          <w:rFonts w:ascii="Arial" w:hAnsi="Arial" w:cs="Arial"/>
        </w:rPr>
        <w:t>this court dealt with the application and the principles applicable. With reference to case law, the following principles were extracted:</w:t>
      </w:r>
    </w:p>
    <w:p w14:paraId="0C0C3B99" w14:textId="77777777" w:rsidR="00C04BF2" w:rsidRPr="00907732" w:rsidRDefault="00C04BF2" w:rsidP="0016369D">
      <w:pPr>
        <w:spacing w:line="360" w:lineRule="auto"/>
        <w:jc w:val="both"/>
        <w:rPr>
          <w:rFonts w:ascii="Arial" w:hAnsi="Arial" w:cs="Arial"/>
        </w:rPr>
      </w:pPr>
    </w:p>
    <w:p w14:paraId="45F85FA0" w14:textId="4E852534" w:rsidR="00C04BF2" w:rsidRPr="00EA295E" w:rsidRDefault="00C04BF2" w:rsidP="0016369D">
      <w:pPr>
        <w:spacing w:line="360" w:lineRule="auto"/>
        <w:jc w:val="both"/>
        <w:rPr>
          <w:rFonts w:ascii="Arial" w:hAnsi="Arial" w:cs="Arial"/>
          <w:i/>
          <w:sz w:val="22"/>
          <w:szCs w:val="22"/>
        </w:rPr>
      </w:pPr>
      <w:proofErr w:type="gramStart"/>
      <w:r w:rsidRPr="00EA295E">
        <w:rPr>
          <w:rFonts w:ascii="Arial" w:hAnsi="Arial" w:cs="Arial"/>
          <w:sz w:val="22"/>
          <w:szCs w:val="22"/>
        </w:rPr>
        <w:t>‘(a) this application is akin to an application for a discharge at the end of the case for the prosecution in criminal trials i.e. in terms of s. 174 (4) of the Criminal Procedure Act –</w:t>
      </w:r>
      <w:r w:rsidRPr="00EA295E">
        <w:rPr>
          <w:rFonts w:ascii="Arial" w:hAnsi="Arial" w:cs="Arial"/>
          <w:i/>
          <w:sz w:val="22"/>
          <w:szCs w:val="22"/>
        </w:rPr>
        <w:t xml:space="preserve"> </w:t>
      </w:r>
      <w:proofErr w:type="spellStart"/>
      <w:r w:rsidRPr="00EA295E">
        <w:rPr>
          <w:rFonts w:ascii="Arial" w:hAnsi="Arial" w:cs="Arial"/>
          <w:i/>
          <w:sz w:val="22"/>
          <w:szCs w:val="22"/>
        </w:rPr>
        <w:t>Olenga</w:t>
      </w:r>
      <w:proofErr w:type="spellEnd"/>
      <w:r w:rsidRPr="00EA295E">
        <w:rPr>
          <w:rFonts w:ascii="Arial" w:hAnsi="Arial" w:cs="Arial"/>
          <w:i/>
          <w:sz w:val="22"/>
          <w:szCs w:val="22"/>
        </w:rPr>
        <w:t xml:space="preserve"> v </w:t>
      </w:r>
      <w:proofErr w:type="spellStart"/>
      <w:r w:rsidRPr="00EA295E">
        <w:rPr>
          <w:rFonts w:ascii="Arial" w:hAnsi="Arial" w:cs="Arial"/>
          <w:i/>
          <w:sz w:val="22"/>
          <w:szCs w:val="22"/>
        </w:rPr>
        <w:t>Spranger</w:t>
      </w:r>
      <w:proofErr w:type="spellEnd"/>
      <w:r w:rsidRPr="00EA295E">
        <w:rPr>
          <w:rFonts w:ascii="Arial" w:hAnsi="Arial" w:cs="Arial"/>
          <w:i/>
          <w:sz w:val="22"/>
          <w:szCs w:val="22"/>
        </w:rPr>
        <w:t>.</w:t>
      </w:r>
      <w:proofErr w:type="gramEnd"/>
    </w:p>
    <w:p w14:paraId="65EF6E05" w14:textId="77777777" w:rsidR="00C04BF2" w:rsidRPr="00907732" w:rsidRDefault="00C04BF2" w:rsidP="0016369D">
      <w:pPr>
        <w:spacing w:line="360" w:lineRule="auto"/>
        <w:jc w:val="both"/>
        <w:rPr>
          <w:rFonts w:ascii="Arial" w:hAnsi="Arial" w:cs="Arial"/>
          <w:i/>
        </w:rPr>
      </w:pPr>
    </w:p>
    <w:p w14:paraId="2D5CA66F" w14:textId="6D8CF6D7" w:rsidR="00C04BF2" w:rsidRPr="00EA295E" w:rsidRDefault="00C04BF2" w:rsidP="0016369D">
      <w:pPr>
        <w:spacing w:line="360" w:lineRule="auto"/>
        <w:jc w:val="both"/>
        <w:rPr>
          <w:rFonts w:ascii="Arial" w:hAnsi="Arial" w:cs="Arial"/>
          <w:i/>
          <w:sz w:val="22"/>
          <w:szCs w:val="22"/>
        </w:rPr>
      </w:pPr>
      <w:r w:rsidRPr="00EA295E">
        <w:rPr>
          <w:rFonts w:ascii="Arial" w:hAnsi="Arial" w:cs="Arial"/>
          <w:sz w:val="22"/>
          <w:szCs w:val="22"/>
        </w:rPr>
        <w:t>(b) the standard</w:t>
      </w:r>
      <w:r w:rsidR="00B11B2B" w:rsidRPr="00EA295E">
        <w:rPr>
          <w:rFonts w:ascii="Arial" w:hAnsi="Arial" w:cs="Arial"/>
          <w:sz w:val="22"/>
          <w:szCs w:val="22"/>
        </w:rPr>
        <w:t xml:space="preserve"> to be applied, is whether the plaintiff, in the mind of the court, has tendered evidence upon which a court, properly directed and applying its mind reasonably to such evidence, could or might, not should, find for the plaintiff – </w:t>
      </w:r>
      <w:proofErr w:type="spellStart"/>
      <w:r w:rsidR="00B11B2B" w:rsidRPr="00EA295E">
        <w:rPr>
          <w:rFonts w:ascii="Arial" w:hAnsi="Arial" w:cs="Arial"/>
          <w:i/>
          <w:sz w:val="22"/>
          <w:szCs w:val="22"/>
        </w:rPr>
        <w:t>Stier</w:t>
      </w:r>
      <w:proofErr w:type="spellEnd"/>
      <w:r w:rsidR="00B11B2B" w:rsidRPr="00EA295E">
        <w:rPr>
          <w:rFonts w:ascii="Arial" w:hAnsi="Arial" w:cs="Arial"/>
          <w:i/>
          <w:sz w:val="22"/>
          <w:szCs w:val="22"/>
        </w:rPr>
        <w:t xml:space="preserve"> and Another v Henke;</w:t>
      </w:r>
    </w:p>
    <w:p w14:paraId="537FEBFC" w14:textId="77777777" w:rsidR="00B11B2B" w:rsidRPr="00EA295E" w:rsidRDefault="00B11B2B" w:rsidP="0016369D">
      <w:pPr>
        <w:spacing w:line="360" w:lineRule="auto"/>
        <w:jc w:val="both"/>
        <w:rPr>
          <w:rFonts w:ascii="Arial" w:hAnsi="Arial" w:cs="Arial"/>
          <w:i/>
          <w:sz w:val="22"/>
          <w:szCs w:val="22"/>
        </w:rPr>
      </w:pPr>
    </w:p>
    <w:p w14:paraId="53E67D35" w14:textId="09C36868" w:rsidR="00B11B2B" w:rsidRPr="00EA295E" w:rsidRDefault="00B11B2B" w:rsidP="0016369D">
      <w:pPr>
        <w:spacing w:line="360" w:lineRule="auto"/>
        <w:jc w:val="both"/>
        <w:rPr>
          <w:rFonts w:ascii="Arial" w:hAnsi="Arial" w:cs="Arial"/>
          <w:i/>
          <w:sz w:val="22"/>
          <w:szCs w:val="22"/>
        </w:rPr>
      </w:pPr>
      <w:r w:rsidRPr="00EA295E">
        <w:rPr>
          <w:rFonts w:ascii="Arial" w:hAnsi="Arial" w:cs="Arial"/>
          <w:sz w:val="22"/>
          <w:szCs w:val="22"/>
        </w:rPr>
        <w:t xml:space="preserve">(c) </w:t>
      </w:r>
      <w:proofErr w:type="gramStart"/>
      <w:r w:rsidRPr="00EA295E">
        <w:rPr>
          <w:rFonts w:ascii="Arial" w:hAnsi="Arial" w:cs="Arial"/>
          <w:sz w:val="22"/>
          <w:szCs w:val="22"/>
        </w:rPr>
        <w:t>the</w:t>
      </w:r>
      <w:proofErr w:type="gramEnd"/>
      <w:r w:rsidRPr="00EA295E">
        <w:rPr>
          <w:rFonts w:ascii="Arial" w:hAnsi="Arial" w:cs="Arial"/>
          <w:sz w:val="22"/>
          <w:szCs w:val="22"/>
        </w:rPr>
        <w:t xml:space="preserve"> evidence adduced by the plaintiff should relate to all the elements of the claim, because in the absence of such evidence, no court could find for the plaintiff – </w:t>
      </w:r>
      <w:proofErr w:type="spellStart"/>
      <w:r w:rsidRPr="00EA295E">
        <w:rPr>
          <w:rFonts w:ascii="Arial" w:hAnsi="Arial" w:cs="Arial"/>
          <w:i/>
          <w:sz w:val="22"/>
          <w:szCs w:val="22"/>
        </w:rPr>
        <w:t>Factcrown</w:t>
      </w:r>
      <w:proofErr w:type="spellEnd"/>
      <w:r w:rsidRPr="00EA295E">
        <w:rPr>
          <w:rFonts w:ascii="Arial" w:hAnsi="Arial" w:cs="Arial"/>
          <w:i/>
          <w:sz w:val="22"/>
          <w:szCs w:val="22"/>
        </w:rPr>
        <w:t xml:space="preserve"> Limited v Namibian Broadcasting Corporation;</w:t>
      </w:r>
    </w:p>
    <w:p w14:paraId="31C83DD6" w14:textId="77777777" w:rsidR="00B11B2B" w:rsidRPr="00EA295E" w:rsidRDefault="00B11B2B" w:rsidP="0016369D">
      <w:pPr>
        <w:spacing w:line="360" w:lineRule="auto"/>
        <w:jc w:val="both"/>
        <w:rPr>
          <w:rFonts w:ascii="Arial" w:hAnsi="Arial" w:cs="Arial"/>
          <w:i/>
          <w:sz w:val="22"/>
          <w:szCs w:val="22"/>
        </w:rPr>
      </w:pPr>
    </w:p>
    <w:p w14:paraId="15A983AA" w14:textId="0E6E6908" w:rsidR="00B11B2B" w:rsidRPr="00EA295E" w:rsidRDefault="002C0ADD" w:rsidP="0016369D">
      <w:pPr>
        <w:spacing w:line="360" w:lineRule="auto"/>
        <w:jc w:val="both"/>
        <w:rPr>
          <w:rFonts w:ascii="Arial" w:hAnsi="Arial" w:cs="Arial"/>
          <w:i/>
          <w:sz w:val="22"/>
          <w:szCs w:val="22"/>
        </w:rPr>
      </w:pPr>
      <w:r w:rsidRPr="00EA295E">
        <w:rPr>
          <w:rFonts w:ascii="Arial" w:hAnsi="Arial" w:cs="Arial"/>
          <w:sz w:val="22"/>
          <w:szCs w:val="22"/>
        </w:rPr>
        <w:t xml:space="preserve">(d) </w:t>
      </w:r>
      <w:proofErr w:type="gramStart"/>
      <w:r w:rsidRPr="00EA295E">
        <w:rPr>
          <w:rFonts w:ascii="Arial" w:hAnsi="Arial" w:cs="Arial"/>
          <w:sz w:val="22"/>
          <w:szCs w:val="22"/>
        </w:rPr>
        <w:t>in</w:t>
      </w:r>
      <w:proofErr w:type="gramEnd"/>
      <w:r w:rsidRPr="00EA295E">
        <w:rPr>
          <w:rFonts w:ascii="Arial" w:hAnsi="Arial" w:cs="Arial"/>
          <w:sz w:val="22"/>
          <w:szCs w:val="22"/>
        </w:rPr>
        <w:t xml:space="preserve"> dealing with such applications, the court does not normally evaluate the evidence adduced on behalf of the plaintiff by making credibility findings at this stage. The court assumes that the evidence adduced by the plaintiff is true and deals with the matter on that basis. If the evidence adduced by the plaintiff is, however, hopelessly poor, vacillating or of so romancing a character, the court may, in those circumstances, grant the application –</w:t>
      </w:r>
      <w:r w:rsidRPr="00EA295E">
        <w:rPr>
          <w:rFonts w:ascii="Arial" w:hAnsi="Arial" w:cs="Arial"/>
          <w:i/>
          <w:sz w:val="22"/>
          <w:szCs w:val="22"/>
        </w:rPr>
        <w:t xml:space="preserve"> </w:t>
      </w:r>
      <w:proofErr w:type="spellStart"/>
      <w:r w:rsidRPr="00EA295E">
        <w:rPr>
          <w:rFonts w:ascii="Arial" w:hAnsi="Arial" w:cs="Arial"/>
          <w:i/>
          <w:sz w:val="22"/>
          <w:szCs w:val="22"/>
        </w:rPr>
        <w:t>Olenga</w:t>
      </w:r>
      <w:proofErr w:type="spellEnd"/>
      <w:r w:rsidRPr="00EA295E">
        <w:rPr>
          <w:rFonts w:ascii="Arial" w:hAnsi="Arial" w:cs="Arial"/>
          <w:i/>
          <w:sz w:val="22"/>
          <w:szCs w:val="22"/>
        </w:rPr>
        <w:t xml:space="preserve"> </w:t>
      </w:r>
      <w:r w:rsidR="002D5507">
        <w:rPr>
          <w:rFonts w:ascii="Arial" w:hAnsi="Arial" w:cs="Arial"/>
          <w:i/>
          <w:sz w:val="22"/>
          <w:szCs w:val="22"/>
        </w:rPr>
        <w:t xml:space="preserve">v </w:t>
      </w:r>
      <w:proofErr w:type="spellStart"/>
      <w:r w:rsidR="002D5507">
        <w:rPr>
          <w:rFonts w:ascii="Arial" w:hAnsi="Arial" w:cs="Arial"/>
          <w:i/>
          <w:sz w:val="22"/>
          <w:szCs w:val="22"/>
        </w:rPr>
        <w:t>Spranger</w:t>
      </w:r>
      <w:proofErr w:type="spellEnd"/>
      <w:r w:rsidRPr="00EA295E">
        <w:rPr>
          <w:rFonts w:ascii="Arial" w:hAnsi="Arial" w:cs="Arial"/>
          <w:i/>
          <w:sz w:val="22"/>
          <w:szCs w:val="22"/>
        </w:rPr>
        <w:t>;</w:t>
      </w:r>
    </w:p>
    <w:p w14:paraId="278CC962" w14:textId="77777777" w:rsidR="002C0ADD" w:rsidRPr="00EA295E" w:rsidRDefault="002C0ADD" w:rsidP="0016369D">
      <w:pPr>
        <w:spacing w:line="360" w:lineRule="auto"/>
        <w:jc w:val="both"/>
        <w:rPr>
          <w:rFonts w:ascii="Arial" w:hAnsi="Arial" w:cs="Arial"/>
          <w:sz w:val="22"/>
          <w:szCs w:val="22"/>
        </w:rPr>
      </w:pPr>
    </w:p>
    <w:p w14:paraId="444C61FA" w14:textId="64102898" w:rsidR="002C0ADD" w:rsidRPr="00EA295E" w:rsidRDefault="002C0ADD" w:rsidP="0016369D">
      <w:pPr>
        <w:spacing w:line="360" w:lineRule="auto"/>
        <w:jc w:val="both"/>
        <w:rPr>
          <w:rFonts w:ascii="Arial" w:hAnsi="Arial" w:cs="Arial"/>
          <w:sz w:val="22"/>
          <w:szCs w:val="22"/>
        </w:rPr>
      </w:pPr>
      <w:r w:rsidRPr="00EA295E">
        <w:rPr>
          <w:rFonts w:ascii="Arial" w:hAnsi="Arial" w:cs="Arial"/>
          <w:sz w:val="22"/>
          <w:szCs w:val="22"/>
        </w:rPr>
        <w:t xml:space="preserve">(e) </w:t>
      </w:r>
      <w:proofErr w:type="gramStart"/>
      <w:r w:rsidRPr="00EA295E">
        <w:rPr>
          <w:rFonts w:ascii="Arial" w:hAnsi="Arial" w:cs="Arial"/>
          <w:sz w:val="22"/>
          <w:szCs w:val="22"/>
        </w:rPr>
        <w:t>the</w:t>
      </w:r>
      <w:proofErr w:type="gramEnd"/>
      <w:r w:rsidRPr="00EA295E">
        <w:rPr>
          <w:rFonts w:ascii="Arial" w:hAnsi="Arial" w:cs="Arial"/>
          <w:sz w:val="22"/>
          <w:szCs w:val="22"/>
        </w:rPr>
        <w:t xml:space="preserve"> application for absolution from the instance should be granted sparingly. The court must generally speaking, be shy, frigid, or cautious in granting this application. But when the proper occasion arises, and in the interests of justice, the court should not hesitate to grant this application – </w:t>
      </w:r>
      <w:proofErr w:type="spellStart"/>
      <w:r w:rsidRPr="00EA295E">
        <w:rPr>
          <w:rFonts w:ascii="Arial" w:hAnsi="Arial" w:cs="Arial"/>
          <w:i/>
          <w:sz w:val="22"/>
          <w:szCs w:val="22"/>
        </w:rPr>
        <w:t>Stier</w:t>
      </w:r>
      <w:proofErr w:type="spellEnd"/>
      <w:r w:rsidRPr="00EA295E">
        <w:rPr>
          <w:rFonts w:ascii="Arial" w:hAnsi="Arial" w:cs="Arial"/>
          <w:i/>
          <w:sz w:val="22"/>
          <w:szCs w:val="22"/>
        </w:rPr>
        <w:t xml:space="preserve"> v Henke </w:t>
      </w:r>
      <w:r w:rsidRPr="00EA295E">
        <w:rPr>
          <w:rFonts w:ascii="Arial" w:hAnsi="Arial" w:cs="Arial"/>
          <w:sz w:val="22"/>
          <w:szCs w:val="22"/>
        </w:rPr>
        <w:t>and</w:t>
      </w:r>
      <w:r w:rsidRPr="00EA295E">
        <w:rPr>
          <w:rFonts w:ascii="Arial" w:hAnsi="Arial" w:cs="Arial"/>
          <w:i/>
          <w:sz w:val="22"/>
          <w:szCs w:val="22"/>
        </w:rPr>
        <w:t xml:space="preserve"> </w:t>
      </w:r>
      <w:proofErr w:type="spellStart"/>
      <w:r w:rsidRPr="00EA295E">
        <w:rPr>
          <w:rFonts w:ascii="Arial" w:hAnsi="Arial" w:cs="Arial"/>
          <w:i/>
          <w:sz w:val="22"/>
          <w:szCs w:val="22"/>
        </w:rPr>
        <w:t>Olenga</w:t>
      </w:r>
      <w:proofErr w:type="spellEnd"/>
      <w:r w:rsidRPr="00EA295E">
        <w:rPr>
          <w:rFonts w:ascii="Arial" w:hAnsi="Arial" w:cs="Arial"/>
          <w:i/>
          <w:sz w:val="22"/>
          <w:szCs w:val="22"/>
        </w:rPr>
        <w:t xml:space="preserve"> v </w:t>
      </w:r>
      <w:proofErr w:type="spellStart"/>
      <w:r w:rsidRPr="00EA295E">
        <w:rPr>
          <w:rFonts w:ascii="Arial" w:hAnsi="Arial" w:cs="Arial"/>
          <w:i/>
          <w:sz w:val="22"/>
          <w:szCs w:val="22"/>
        </w:rPr>
        <w:t>Spranger</w:t>
      </w:r>
      <w:proofErr w:type="spellEnd"/>
      <w:r w:rsidRPr="00EA295E">
        <w:rPr>
          <w:rFonts w:ascii="Arial" w:hAnsi="Arial" w:cs="Arial"/>
          <w:sz w:val="22"/>
          <w:szCs w:val="22"/>
        </w:rPr>
        <w:t>.</w:t>
      </w:r>
      <w:r w:rsidR="00EA295E">
        <w:rPr>
          <w:rFonts w:ascii="Arial" w:hAnsi="Arial" w:cs="Arial"/>
          <w:sz w:val="22"/>
          <w:szCs w:val="22"/>
        </w:rPr>
        <w:t>’</w:t>
      </w:r>
    </w:p>
    <w:p w14:paraId="790F17D5" w14:textId="77777777" w:rsidR="00217F8B" w:rsidRPr="00907732" w:rsidRDefault="00217F8B" w:rsidP="0016369D">
      <w:pPr>
        <w:spacing w:line="360" w:lineRule="auto"/>
        <w:jc w:val="center"/>
        <w:rPr>
          <w:rFonts w:ascii="Arial" w:hAnsi="Arial" w:cs="Arial"/>
          <w:b/>
        </w:rPr>
      </w:pPr>
    </w:p>
    <w:p w14:paraId="53123A24" w14:textId="798E2F35" w:rsidR="00217F8B" w:rsidRPr="00907732" w:rsidRDefault="002C0ADD" w:rsidP="0016369D">
      <w:pPr>
        <w:spacing w:line="360" w:lineRule="auto"/>
        <w:jc w:val="both"/>
        <w:rPr>
          <w:rFonts w:ascii="Arial" w:hAnsi="Arial" w:cs="Arial"/>
        </w:rPr>
      </w:pPr>
      <w:r w:rsidRPr="00907732">
        <w:rPr>
          <w:rFonts w:ascii="Arial" w:hAnsi="Arial" w:cs="Arial"/>
        </w:rPr>
        <w:t>[26]</w:t>
      </w:r>
      <w:r w:rsidRPr="00907732">
        <w:rPr>
          <w:rFonts w:ascii="Arial" w:hAnsi="Arial" w:cs="Arial"/>
        </w:rPr>
        <w:tab/>
        <w:t>I will, in dealing with this application, apply the principles stated in the immediately preceding paragraphs or so many of them that may be applicable in this particular case.</w:t>
      </w:r>
    </w:p>
    <w:p w14:paraId="5D3FF45B" w14:textId="77777777" w:rsidR="002C0ADD" w:rsidRPr="00907732" w:rsidRDefault="002C0ADD" w:rsidP="0016369D">
      <w:pPr>
        <w:spacing w:line="360" w:lineRule="auto"/>
        <w:jc w:val="both"/>
        <w:rPr>
          <w:rFonts w:ascii="Arial" w:hAnsi="Arial" w:cs="Arial"/>
        </w:rPr>
      </w:pPr>
    </w:p>
    <w:p w14:paraId="5EB5F086" w14:textId="1B2C46B2" w:rsidR="002C0ADD" w:rsidRPr="00907732" w:rsidRDefault="002C0ADD" w:rsidP="0016369D">
      <w:pPr>
        <w:spacing w:line="360" w:lineRule="auto"/>
        <w:jc w:val="both"/>
        <w:rPr>
          <w:rFonts w:ascii="Arial" w:hAnsi="Arial" w:cs="Arial"/>
          <w:u w:val="single"/>
        </w:rPr>
      </w:pPr>
      <w:r w:rsidRPr="00907732">
        <w:rPr>
          <w:rFonts w:ascii="Arial" w:hAnsi="Arial" w:cs="Arial"/>
          <w:u w:val="single"/>
        </w:rPr>
        <w:t>Application of the law to the facts</w:t>
      </w:r>
    </w:p>
    <w:p w14:paraId="04D930A8" w14:textId="77777777" w:rsidR="002C0ADD" w:rsidRPr="00907732" w:rsidRDefault="002C0ADD" w:rsidP="0016369D">
      <w:pPr>
        <w:spacing w:line="360" w:lineRule="auto"/>
        <w:jc w:val="both"/>
        <w:rPr>
          <w:rFonts w:ascii="Arial" w:hAnsi="Arial" w:cs="Arial"/>
          <w:u w:val="single"/>
        </w:rPr>
      </w:pPr>
    </w:p>
    <w:p w14:paraId="4A3A75BB" w14:textId="77777777" w:rsidR="006354DB" w:rsidRPr="00907732" w:rsidRDefault="002C0ADD" w:rsidP="0016369D">
      <w:pPr>
        <w:spacing w:line="360" w:lineRule="auto"/>
        <w:jc w:val="both"/>
        <w:rPr>
          <w:rFonts w:ascii="Arial" w:hAnsi="Arial" w:cs="Arial"/>
        </w:rPr>
      </w:pPr>
      <w:r w:rsidRPr="00907732">
        <w:rPr>
          <w:rFonts w:ascii="Arial" w:hAnsi="Arial" w:cs="Arial"/>
        </w:rPr>
        <w:t>[27]</w:t>
      </w:r>
      <w:r w:rsidRPr="00907732">
        <w:rPr>
          <w:rFonts w:ascii="Arial" w:hAnsi="Arial" w:cs="Arial"/>
        </w:rPr>
        <w:tab/>
      </w:r>
      <w:r w:rsidR="006354DB" w:rsidRPr="00907732">
        <w:rPr>
          <w:rFonts w:ascii="Arial" w:hAnsi="Arial" w:cs="Arial"/>
        </w:rPr>
        <w:t xml:space="preserve">In his submissions, Mr. Namandje argued that without admitting it, the plaintiff predicated its claim on the wrongful transfer of the licence, which founds the claim for damages. There was argument, and it would appear to me, on first principles, that the claim to that extent was </w:t>
      </w:r>
      <w:r w:rsidR="006354DB" w:rsidRPr="00907732">
        <w:rPr>
          <w:rFonts w:ascii="Arial" w:hAnsi="Arial" w:cs="Arial"/>
          <w:i/>
        </w:rPr>
        <w:t xml:space="preserve">prima facie </w:t>
      </w:r>
      <w:r w:rsidR="006354DB" w:rsidRPr="00907732">
        <w:rPr>
          <w:rFonts w:ascii="Arial" w:hAnsi="Arial" w:cs="Arial"/>
        </w:rPr>
        <w:t>established, with all the requisites.</w:t>
      </w:r>
    </w:p>
    <w:p w14:paraId="48135EB1" w14:textId="77777777" w:rsidR="006354DB" w:rsidRPr="00907732" w:rsidRDefault="006354DB" w:rsidP="0016369D">
      <w:pPr>
        <w:spacing w:line="360" w:lineRule="auto"/>
        <w:jc w:val="both"/>
        <w:rPr>
          <w:rFonts w:ascii="Arial" w:hAnsi="Arial" w:cs="Arial"/>
        </w:rPr>
      </w:pPr>
    </w:p>
    <w:p w14:paraId="23CC5A75" w14:textId="77C0F38D" w:rsidR="006354DB" w:rsidRPr="00907732" w:rsidRDefault="006354DB" w:rsidP="0016369D">
      <w:pPr>
        <w:spacing w:line="360" w:lineRule="auto"/>
        <w:jc w:val="both"/>
        <w:rPr>
          <w:rFonts w:ascii="Arial" w:hAnsi="Arial" w:cs="Arial"/>
        </w:rPr>
      </w:pPr>
      <w:r w:rsidRPr="00907732">
        <w:rPr>
          <w:rFonts w:ascii="Arial" w:hAnsi="Arial" w:cs="Arial"/>
        </w:rPr>
        <w:t>[28]</w:t>
      </w:r>
      <w:r w:rsidRPr="00907732">
        <w:rPr>
          <w:rFonts w:ascii="Arial" w:hAnsi="Arial" w:cs="Arial"/>
        </w:rPr>
        <w:tab/>
        <w:t>The only major question that has to be determined, in respect of both arguments raised on the defendant’s behalf, is whether if a plaintiff establishes a claim for damages, by meet</w:t>
      </w:r>
      <w:r w:rsidR="00A34F74" w:rsidRPr="00907732">
        <w:rPr>
          <w:rFonts w:ascii="Arial" w:hAnsi="Arial" w:cs="Arial"/>
        </w:rPr>
        <w:t>ing all the requirements of the</w:t>
      </w:r>
      <w:r w:rsidRPr="00907732">
        <w:rPr>
          <w:rFonts w:ascii="Arial" w:hAnsi="Arial" w:cs="Arial"/>
          <w:i/>
        </w:rPr>
        <w:t xml:space="preserve"> </w:t>
      </w:r>
      <w:r w:rsidRPr="00907732">
        <w:rPr>
          <w:rFonts w:ascii="Arial" w:hAnsi="Arial" w:cs="Arial"/>
        </w:rPr>
        <w:t xml:space="preserve">action, it should nonetheless be </w:t>
      </w:r>
      <w:r w:rsidR="00854557" w:rsidRPr="00907732">
        <w:rPr>
          <w:rFonts w:ascii="Arial" w:hAnsi="Arial" w:cs="Arial"/>
        </w:rPr>
        <w:t>non-suited</w:t>
      </w:r>
      <w:r w:rsidRPr="00907732">
        <w:rPr>
          <w:rFonts w:ascii="Arial" w:hAnsi="Arial" w:cs="Arial"/>
        </w:rPr>
        <w:t xml:space="preserve"> by having its claim defeated by an application for summary judgment. Put differently, would the court be co</w:t>
      </w:r>
      <w:r w:rsidR="00A34F74" w:rsidRPr="00907732">
        <w:rPr>
          <w:rFonts w:ascii="Arial" w:hAnsi="Arial" w:cs="Arial"/>
        </w:rPr>
        <w:t>rrect in finding that the court</w:t>
      </w:r>
      <w:r w:rsidRPr="00907732">
        <w:rPr>
          <w:rFonts w:ascii="Arial" w:hAnsi="Arial" w:cs="Arial"/>
        </w:rPr>
        <w:t xml:space="preserve"> may not find for the plaintiff only because there is no evidence that calculates the amount of damages to the cent?</w:t>
      </w:r>
    </w:p>
    <w:p w14:paraId="1394F3AF" w14:textId="77777777" w:rsidR="006354DB" w:rsidRPr="00907732" w:rsidRDefault="006354DB" w:rsidP="0016369D">
      <w:pPr>
        <w:spacing w:line="360" w:lineRule="auto"/>
        <w:jc w:val="both"/>
        <w:rPr>
          <w:rFonts w:ascii="Arial" w:hAnsi="Arial" w:cs="Arial"/>
        </w:rPr>
      </w:pPr>
    </w:p>
    <w:p w14:paraId="5FAC29B1" w14:textId="6F266959" w:rsidR="00D5729B" w:rsidRPr="00907732" w:rsidRDefault="006354DB" w:rsidP="0016369D">
      <w:pPr>
        <w:spacing w:line="360" w:lineRule="auto"/>
        <w:jc w:val="both"/>
        <w:rPr>
          <w:rFonts w:ascii="Arial" w:hAnsi="Arial" w:cs="Arial"/>
        </w:rPr>
      </w:pPr>
      <w:r w:rsidRPr="00907732">
        <w:rPr>
          <w:rFonts w:ascii="Arial" w:hAnsi="Arial" w:cs="Arial"/>
        </w:rPr>
        <w:t>[29]</w:t>
      </w:r>
      <w:r w:rsidRPr="00907732">
        <w:rPr>
          <w:rFonts w:ascii="Arial" w:hAnsi="Arial" w:cs="Arial"/>
        </w:rPr>
        <w:tab/>
        <w:t>In the first instance, it has been correctly submitted on behalf of the plaintiff that the parties in this matter, and this is common cause, attempted to sell the E.P.L. on two occasions and the price assessed for same, was in the region of N$ 5 million or even a bit more. In this regard, I am of the considered view that with the work that wa</w:t>
      </w:r>
      <w:r w:rsidR="00B639B3" w:rsidRPr="00907732">
        <w:rPr>
          <w:rFonts w:ascii="Arial" w:hAnsi="Arial" w:cs="Arial"/>
        </w:rPr>
        <w:t>s put into obtaining the E.P.L.,</w:t>
      </w:r>
      <w:r w:rsidRPr="00907732">
        <w:rPr>
          <w:rFonts w:ascii="Arial" w:hAnsi="Arial" w:cs="Arial"/>
        </w:rPr>
        <w:t xml:space="preserve"> including the </w:t>
      </w:r>
      <w:r w:rsidR="001524E1" w:rsidRPr="00907732">
        <w:rPr>
          <w:rFonts w:ascii="Arial" w:hAnsi="Arial" w:cs="Arial"/>
        </w:rPr>
        <w:t xml:space="preserve">feasibility study, geological report and </w:t>
      </w:r>
      <w:r w:rsidRPr="00907732">
        <w:rPr>
          <w:rFonts w:ascii="Arial" w:hAnsi="Arial" w:cs="Arial"/>
        </w:rPr>
        <w:t>environmental impact assessment</w:t>
      </w:r>
      <w:r w:rsidR="001524E1" w:rsidRPr="00907732">
        <w:rPr>
          <w:rFonts w:ascii="Arial" w:hAnsi="Arial" w:cs="Arial"/>
        </w:rPr>
        <w:t xml:space="preserve"> and management plan</w:t>
      </w:r>
      <w:r w:rsidRPr="00907732">
        <w:rPr>
          <w:rFonts w:ascii="Arial" w:hAnsi="Arial" w:cs="Arial"/>
        </w:rPr>
        <w:t>, provisions of water and other relevant matters, it can be said without fear of</w:t>
      </w:r>
      <w:r w:rsidR="00D5729B" w:rsidRPr="00907732">
        <w:rPr>
          <w:rFonts w:ascii="Arial" w:hAnsi="Arial" w:cs="Arial"/>
        </w:rPr>
        <w:t xml:space="preserve"> contradiction, that the E.P.L.,</w:t>
      </w:r>
      <w:r w:rsidRPr="00907732">
        <w:rPr>
          <w:rFonts w:ascii="Arial" w:hAnsi="Arial" w:cs="Arial"/>
        </w:rPr>
        <w:t xml:space="preserve"> notwithstanding that it cannot, at the moment, </w:t>
      </w:r>
      <w:r w:rsidR="00D5729B" w:rsidRPr="00907732">
        <w:rPr>
          <w:rFonts w:ascii="Arial" w:hAnsi="Arial" w:cs="Arial"/>
        </w:rPr>
        <w:t>enable the holder to do actual mining and remove the minerals and sell and dispose of them, is, however, of some commercial value.</w:t>
      </w:r>
    </w:p>
    <w:p w14:paraId="24C8916F" w14:textId="77777777" w:rsidR="00D5729B" w:rsidRPr="00907732" w:rsidRDefault="00D5729B" w:rsidP="0016369D">
      <w:pPr>
        <w:spacing w:line="360" w:lineRule="auto"/>
        <w:jc w:val="both"/>
        <w:rPr>
          <w:rFonts w:ascii="Arial" w:hAnsi="Arial" w:cs="Arial"/>
        </w:rPr>
      </w:pPr>
    </w:p>
    <w:p w14:paraId="0CA0CDD8" w14:textId="647E98C4" w:rsidR="002C0ADD" w:rsidRPr="00907732" w:rsidRDefault="00D5729B" w:rsidP="0016369D">
      <w:pPr>
        <w:spacing w:line="360" w:lineRule="auto"/>
        <w:jc w:val="both"/>
        <w:rPr>
          <w:rFonts w:ascii="Arial" w:hAnsi="Arial" w:cs="Arial"/>
        </w:rPr>
      </w:pPr>
      <w:r w:rsidRPr="00907732">
        <w:rPr>
          <w:rFonts w:ascii="Arial" w:hAnsi="Arial" w:cs="Arial"/>
        </w:rPr>
        <w:lastRenderedPageBreak/>
        <w:t>[30]</w:t>
      </w:r>
      <w:r w:rsidRPr="00907732">
        <w:rPr>
          <w:rFonts w:ascii="Arial" w:hAnsi="Arial" w:cs="Arial"/>
        </w:rPr>
        <w:tab/>
        <w:t xml:space="preserve">That being the case, it would seem to me that it would be the high watermark of injustice for the court, where the plaintiff has, otherwise made a </w:t>
      </w:r>
      <w:r w:rsidRPr="00907732">
        <w:rPr>
          <w:rFonts w:ascii="Arial" w:hAnsi="Arial" w:cs="Arial"/>
          <w:i/>
        </w:rPr>
        <w:t xml:space="preserve">prima facie </w:t>
      </w:r>
      <w:r w:rsidRPr="00907732">
        <w:rPr>
          <w:rFonts w:ascii="Arial" w:hAnsi="Arial" w:cs="Arial"/>
        </w:rPr>
        <w:t xml:space="preserve">case that it is entitled to some damages, to then grant an application for absolution for the reason that the damages have not been calculated. The court should assess the damages as far as it can and even where an expert is required to assist the court, ultimately, the decision of the amount of damages to be awarded is a matter for the court and not that of the expert witness. </w:t>
      </w:r>
      <w:r w:rsidR="006354DB" w:rsidRPr="00907732">
        <w:rPr>
          <w:rFonts w:ascii="Arial" w:hAnsi="Arial" w:cs="Arial"/>
        </w:rPr>
        <w:t xml:space="preserve">  </w:t>
      </w:r>
    </w:p>
    <w:p w14:paraId="2B2347BA" w14:textId="77777777" w:rsidR="00701FA8" w:rsidRPr="00907732" w:rsidRDefault="00701FA8" w:rsidP="0016369D">
      <w:pPr>
        <w:spacing w:line="360" w:lineRule="auto"/>
        <w:jc w:val="both"/>
        <w:rPr>
          <w:rFonts w:ascii="Arial" w:hAnsi="Arial" w:cs="Arial"/>
        </w:rPr>
      </w:pPr>
    </w:p>
    <w:p w14:paraId="03837C9F" w14:textId="3372E6A8" w:rsidR="00701FA8" w:rsidRPr="00907732" w:rsidRDefault="00701FA8" w:rsidP="0016369D">
      <w:pPr>
        <w:spacing w:line="360" w:lineRule="auto"/>
        <w:jc w:val="both"/>
        <w:rPr>
          <w:rFonts w:ascii="Arial" w:hAnsi="Arial" w:cs="Arial"/>
        </w:rPr>
      </w:pPr>
      <w:r w:rsidRPr="00907732">
        <w:rPr>
          <w:rFonts w:ascii="Arial" w:hAnsi="Arial" w:cs="Arial"/>
        </w:rPr>
        <w:t>[31]</w:t>
      </w:r>
      <w:r w:rsidRPr="00907732">
        <w:rPr>
          <w:rFonts w:ascii="Arial" w:hAnsi="Arial" w:cs="Arial"/>
        </w:rPr>
        <w:tab/>
        <w:t>In her written</w:t>
      </w:r>
      <w:r w:rsidR="00B639B3" w:rsidRPr="00907732">
        <w:rPr>
          <w:rFonts w:ascii="Arial" w:hAnsi="Arial" w:cs="Arial"/>
        </w:rPr>
        <w:t xml:space="preserve"> argument, Ms. Bassing</w:t>
      </w:r>
      <w:r w:rsidRPr="00907732">
        <w:rPr>
          <w:rFonts w:ascii="Arial" w:hAnsi="Arial" w:cs="Arial"/>
        </w:rPr>
        <w:t>t</w:t>
      </w:r>
      <w:r w:rsidR="00B639B3" w:rsidRPr="00907732">
        <w:rPr>
          <w:rFonts w:ascii="Arial" w:hAnsi="Arial" w:cs="Arial"/>
        </w:rPr>
        <w:t>h</w:t>
      </w:r>
      <w:r w:rsidRPr="00907732">
        <w:rPr>
          <w:rFonts w:ascii="Arial" w:hAnsi="Arial" w:cs="Arial"/>
        </w:rPr>
        <w:t>wai</w:t>
      </w:r>
      <w:r w:rsidR="00B639B3" w:rsidRPr="00907732">
        <w:rPr>
          <w:rFonts w:ascii="Arial" w:hAnsi="Arial" w:cs="Arial"/>
        </w:rPr>
        <w:t>gh</w:t>
      </w:r>
      <w:r w:rsidRPr="00907732">
        <w:rPr>
          <w:rFonts w:ascii="Arial" w:hAnsi="Arial" w:cs="Arial"/>
        </w:rPr>
        <w:t xml:space="preserve">te referred the court to a judgment of the Supreme Court in </w:t>
      </w:r>
      <w:r w:rsidRPr="00907732">
        <w:rPr>
          <w:rFonts w:ascii="Arial" w:hAnsi="Arial" w:cs="Arial"/>
          <w:i/>
        </w:rPr>
        <w:t>Minister of Finance v Benson Craig (Pty) Ltd,</w:t>
      </w:r>
      <w:r w:rsidRPr="00907732">
        <w:rPr>
          <w:rStyle w:val="FootnoteReference"/>
          <w:rFonts w:ascii="Arial" w:hAnsi="Arial" w:cs="Arial"/>
          <w:i/>
        </w:rPr>
        <w:footnoteReference w:id="9"/>
      </w:r>
      <w:r w:rsidRPr="00907732">
        <w:rPr>
          <w:rFonts w:ascii="Arial" w:hAnsi="Arial" w:cs="Arial"/>
        </w:rPr>
        <w:t xml:space="preserve"> where Smuts JA</w:t>
      </w:r>
      <w:r w:rsidR="00B639B3" w:rsidRPr="00907732">
        <w:rPr>
          <w:rFonts w:ascii="Arial" w:hAnsi="Arial" w:cs="Arial"/>
        </w:rPr>
        <w:t>,</w:t>
      </w:r>
      <w:r w:rsidRPr="00907732">
        <w:rPr>
          <w:rFonts w:ascii="Arial" w:hAnsi="Arial" w:cs="Arial"/>
        </w:rPr>
        <w:t xml:space="preserve"> reasoned as follows</w:t>
      </w:r>
      <w:r w:rsidR="003D28D1" w:rsidRPr="00907732">
        <w:rPr>
          <w:rStyle w:val="FootnoteReference"/>
          <w:rFonts w:ascii="Arial" w:hAnsi="Arial" w:cs="Arial"/>
        </w:rPr>
        <w:footnoteReference w:id="10"/>
      </w:r>
      <w:r w:rsidRPr="00907732">
        <w:rPr>
          <w:rFonts w:ascii="Arial" w:hAnsi="Arial" w:cs="Arial"/>
        </w:rPr>
        <w:t>:</w:t>
      </w:r>
    </w:p>
    <w:p w14:paraId="22C7043F" w14:textId="77777777" w:rsidR="003D28D1" w:rsidRPr="00907732" w:rsidRDefault="003D28D1" w:rsidP="0016369D">
      <w:pPr>
        <w:spacing w:line="360" w:lineRule="auto"/>
        <w:jc w:val="both"/>
        <w:rPr>
          <w:rFonts w:ascii="Arial" w:hAnsi="Arial" w:cs="Arial"/>
        </w:rPr>
      </w:pPr>
    </w:p>
    <w:p w14:paraId="24F56CA5" w14:textId="3CC02396" w:rsidR="003D28D1" w:rsidRPr="00854557" w:rsidRDefault="003D28D1" w:rsidP="0016369D">
      <w:pPr>
        <w:spacing w:line="360" w:lineRule="auto"/>
        <w:jc w:val="both"/>
        <w:rPr>
          <w:rFonts w:ascii="Arial" w:hAnsi="Arial" w:cs="Arial"/>
          <w:sz w:val="22"/>
          <w:szCs w:val="22"/>
        </w:rPr>
      </w:pPr>
      <w:r w:rsidRPr="00854557">
        <w:rPr>
          <w:rFonts w:ascii="Arial" w:hAnsi="Arial" w:cs="Arial"/>
          <w:sz w:val="22"/>
          <w:szCs w:val="22"/>
        </w:rPr>
        <w:t xml:space="preserve">‘In this regard, counsel for the defendant referred to several passages in decided cases dealing with the onus which rests on the plaintiff to adduce evidence in proof of the damage which he claims to have suffered including the following passage in the judgment of GALGUT J in </w:t>
      </w:r>
      <w:proofErr w:type="spellStart"/>
      <w:r w:rsidRPr="00854557">
        <w:rPr>
          <w:rFonts w:ascii="Arial" w:hAnsi="Arial" w:cs="Arial"/>
          <w:i/>
          <w:sz w:val="22"/>
          <w:szCs w:val="22"/>
        </w:rPr>
        <w:t>Enslin</w:t>
      </w:r>
      <w:proofErr w:type="spellEnd"/>
      <w:r w:rsidRPr="00854557">
        <w:rPr>
          <w:rFonts w:ascii="Arial" w:hAnsi="Arial" w:cs="Arial"/>
          <w:i/>
          <w:sz w:val="22"/>
          <w:szCs w:val="22"/>
        </w:rPr>
        <w:t xml:space="preserve"> v Meyer </w:t>
      </w:r>
      <w:r w:rsidRPr="00854557">
        <w:rPr>
          <w:rFonts w:ascii="Arial" w:hAnsi="Arial" w:cs="Arial"/>
          <w:sz w:val="22"/>
          <w:szCs w:val="22"/>
        </w:rPr>
        <w:t>1960 (4) SA (T) at 523 and 524:</w:t>
      </w:r>
    </w:p>
    <w:p w14:paraId="23E85B68" w14:textId="77777777" w:rsidR="003D28D1" w:rsidRPr="00907732" w:rsidRDefault="003D28D1" w:rsidP="0016369D">
      <w:pPr>
        <w:spacing w:line="360" w:lineRule="auto"/>
        <w:jc w:val="both"/>
        <w:rPr>
          <w:rFonts w:ascii="Arial" w:hAnsi="Arial" w:cs="Arial"/>
        </w:rPr>
      </w:pPr>
    </w:p>
    <w:p w14:paraId="4B1C1344" w14:textId="03D56382" w:rsidR="003D28D1" w:rsidRPr="00854557" w:rsidRDefault="003D28D1" w:rsidP="002D5507">
      <w:pPr>
        <w:spacing w:line="360" w:lineRule="auto"/>
        <w:ind w:firstLine="720"/>
        <w:jc w:val="both"/>
        <w:rPr>
          <w:rFonts w:ascii="Arial" w:hAnsi="Arial" w:cs="Arial"/>
          <w:sz w:val="22"/>
          <w:szCs w:val="22"/>
        </w:rPr>
      </w:pPr>
      <w:r w:rsidRPr="00854557">
        <w:rPr>
          <w:rFonts w:ascii="Arial" w:hAnsi="Arial" w:cs="Arial"/>
          <w:sz w:val="22"/>
          <w:szCs w:val="22"/>
        </w:rPr>
        <w:t xml:space="preserve">“Nevertheless where there is evidence that damage is caused a court will make some assessment on the material before it even if the damage cannot be computed exactly (see </w:t>
      </w:r>
      <w:proofErr w:type="spellStart"/>
      <w:r w:rsidRPr="00854557">
        <w:rPr>
          <w:rFonts w:ascii="Arial" w:hAnsi="Arial" w:cs="Arial"/>
          <w:i/>
          <w:sz w:val="22"/>
          <w:szCs w:val="22"/>
        </w:rPr>
        <w:t>Turkstra</w:t>
      </w:r>
      <w:proofErr w:type="spellEnd"/>
      <w:r w:rsidRPr="00854557">
        <w:rPr>
          <w:rFonts w:ascii="Arial" w:hAnsi="Arial" w:cs="Arial"/>
          <w:i/>
          <w:sz w:val="22"/>
          <w:szCs w:val="22"/>
        </w:rPr>
        <w:t xml:space="preserve"> Ltd v Richards </w:t>
      </w:r>
      <w:r w:rsidRPr="00854557">
        <w:rPr>
          <w:rFonts w:ascii="Arial" w:hAnsi="Arial" w:cs="Arial"/>
          <w:sz w:val="22"/>
          <w:szCs w:val="22"/>
        </w:rPr>
        <w:t xml:space="preserve">1926 TPD 276). A plaintiff is, however, expected to lead evidence which will enable an accurate assessment to be made if such evidence is </w:t>
      </w:r>
      <w:r w:rsidR="00A34F74" w:rsidRPr="00854557">
        <w:rPr>
          <w:rFonts w:ascii="Arial" w:hAnsi="Arial" w:cs="Arial"/>
          <w:sz w:val="22"/>
          <w:szCs w:val="22"/>
        </w:rPr>
        <w:t>available .</w:t>
      </w:r>
      <w:r w:rsidRPr="00854557">
        <w:rPr>
          <w:rFonts w:ascii="Arial" w:hAnsi="Arial" w:cs="Arial"/>
          <w:sz w:val="22"/>
          <w:szCs w:val="22"/>
        </w:rPr>
        <w:t xml:space="preserve"> . . In </w:t>
      </w:r>
      <w:r w:rsidRPr="00854557">
        <w:rPr>
          <w:rFonts w:ascii="Arial" w:hAnsi="Arial" w:cs="Arial"/>
          <w:i/>
          <w:sz w:val="22"/>
          <w:szCs w:val="22"/>
        </w:rPr>
        <w:t xml:space="preserve">Lazarus v Rand Steam Laundries </w:t>
      </w:r>
      <w:r w:rsidRPr="00854557">
        <w:rPr>
          <w:rFonts w:ascii="Arial" w:hAnsi="Arial" w:cs="Arial"/>
          <w:sz w:val="22"/>
          <w:szCs w:val="22"/>
        </w:rPr>
        <w:t xml:space="preserve">(1946) (Pty) Ltd 1952 (3) SA 49 (T) at 51 DE VILLIERS J quoted with approval the following passage from </w:t>
      </w:r>
      <w:proofErr w:type="spellStart"/>
      <w:r w:rsidRPr="00854557">
        <w:rPr>
          <w:rFonts w:ascii="Arial" w:hAnsi="Arial" w:cs="Arial"/>
          <w:i/>
          <w:sz w:val="22"/>
          <w:szCs w:val="22"/>
        </w:rPr>
        <w:t>Hersman</w:t>
      </w:r>
      <w:proofErr w:type="spellEnd"/>
      <w:r w:rsidRPr="00854557">
        <w:rPr>
          <w:rFonts w:ascii="Arial" w:hAnsi="Arial" w:cs="Arial"/>
          <w:i/>
          <w:sz w:val="22"/>
          <w:szCs w:val="22"/>
        </w:rPr>
        <w:t xml:space="preserve"> v Shapiro &amp; Co </w:t>
      </w:r>
      <w:r w:rsidRPr="00854557">
        <w:rPr>
          <w:rFonts w:ascii="Arial" w:hAnsi="Arial" w:cs="Arial"/>
          <w:sz w:val="22"/>
          <w:szCs w:val="22"/>
        </w:rPr>
        <w:t>1926 TPD 367 at 379:</w:t>
      </w:r>
    </w:p>
    <w:p w14:paraId="215E4EB3" w14:textId="77777777" w:rsidR="003D28D1" w:rsidRPr="00854557" w:rsidRDefault="003D28D1" w:rsidP="0016369D">
      <w:pPr>
        <w:spacing w:line="360" w:lineRule="auto"/>
        <w:jc w:val="both"/>
        <w:rPr>
          <w:rFonts w:ascii="Arial" w:hAnsi="Arial" w:cs="Arial"/>
          <w:sz w:val="22"/>
          <w:szCs w:val="22"/>
        </w:rPr>
      </w:pPr>
    </w:p>
    <w:p w14:paraId="5DAD33C1" w14:textId="04ABAB77" w:rsidR="003D28D1" w:rsidRPr="00854557" w:rsidRDefault="003D28D1" w:rsidP="002D5507">
      <w:pPr>
        <w:spacing w:line="360" w:lineRule="auto"/>
        <w:ind w:firstLine="720"/>
        <w:jc w:val="both"/>
        <w:rPr>
          <w:rFonts w:ascii="Arial" w:hAnsi="Arial" w:cs="Arial"/>
          <w:sz w:val="22"/>
          <w:szCs w:val="22"/>
        </w:rPr>
      </w:pPr>
      <w:r w:rsidRPr="00854557">
        <w:rPr>
          <w:rFonts w:ascii="Arial" w:hAnsi="Arial" w:cs="Arial"/>
          <w:sz w:val="22"/>
          <w:szCs w:val="22"/>
        </w:rPr>
        <w:t xml:space="preserve">“Monetary damage having been suffered, it is necessary for the Court to assess the amount and make the best use it can of the evidence before it. There are cases where the assessment by the Court is very little </w:t>
      </w:r>
      <w:r w:rsidR="001524E1" w:rsidRPr="00854557">
        <w:rPr>
          <w:rFonts w:ascii="Arial" w:hAnsi="Arial" w:cs="Arial"/>
          <w:sz w:val="22"/>
          <w:szCs w:val="22"/>
        </w:rPr>
        <w:t xml:space="preserve">more than an estimate, but even so, if it is certain that pecuniary damage has been suffered, the Court is bound to award damages. It is not so bound in the case where the evidence is available to the plaintiff, which he has not produced; in those circumstances the Court is justified in giving, and does give, absolution from the instance. But where the best evidence </w:t>
      </w:r>
      <w:r w:rsidR="001524E1" w:rsidRPr="00854557">
        <w:rPr>
          <w:rFonts w:ascii="Arial" w:hAnsi="Arial" w:cs="Arial"/>
          <w:sz w:val="22"/>
          <w:szCs w:val="22"/>
        </w:rPr>
        <w:lastRenderedPageBreak/>
        <w:t>available has been produced, though it is not entirely of a conclusive character and does not permit of a mathematical calculation of the damage suffered, still, if it is the best evidence available, the Court must use it and arrive at a conclusion based on it.</w:t>
      </w:r>
      <w:r w:rsidR="00A2539F">
        <w:rPr>
          <w:rFonts w:ascii="Arial" w:hAnsi="Arial" w:cs="Arial"/>
          <w:sz w:val="22"/>
          <w:szCs w:val="22"/>
        </w:rPr>
        <w:t>”</w:t>
      </w:r>
      <w:r w:rsidR="001524E1" w:rsidRPr="00854557">
        <w:rPr>
          <w:rFonts w:ascii="Arial" w:hAnsi="Arial" w:cs="Arial"/>
          <w:sz w:val="22"/>
          <w:szCs w:val="22"/>
        </w:rPr>
        <w:t>’</w:t>
      </w:r>
    </w:p>
    <w:p w14:paraId="0B23CCDD" w14:textId="77777777" w:rsidR="001524E1" w:rsidRPr="00907732" w:rsidRDefault="001524E1" w:rsidP="0016369D">
      <w:pPr>
        <w:spacing w:line="360" w:lineRule="auto"/>
        <w:jc w:val="both"/>
        <w:rPr>
          <w:rFonts w:ascii="Arial" w:hAnsi="Arial" w:cs="Arial"/>
        </w:rPr>
      </w:pPr>
    </w:p>
    <w:p w14:paraId="6F8D74CD" w14:textId="1C5D8CA7" w:rsidR="00E41374" w:rsidRPr="00907732" w:rsidRDefault="001524E1" w:rsidP="0016369D">
      <w:pPr>
        <w:spacing w:line="360" w:lineRule="auto"/>
        <w:jc w:val="both"/>
        <w:rPr>
          <w:rFonts w:ascii="Arial" w:hAnsi="Arial" w:cs="Arial"/>
        </w:rPr>
      </w:pPr>
      <w:r w:rsidRPr="00907732">
        <w:rPr>
          <w:rFonts w:ascii="Arial" w:hAnsi="Arial" w:cs="Arial"/>
        </w:rPr>
        <w:t>[32]</w:t>
      </w:r>
      <w:r w:rsidRPr="00907732">
        <w:rPr>
          <w:rFonts w:ascii="Arial" w:hAnsi="Arial" w:cs="Arial"/>
        </w:rPr>
        <w:tab/>
        <w:t>In the instant case, the plaintiff did file a</w:t>
      </w:r>
      <w:r w:rsidR="00496E98">
        <w:rPr>
          <w:rFonts w:ascii="Arial" w:hAnsi="Arial" w:cs="Arial"/>
        </w:rPr>
        <w:t>n expert</w:t>
      </w:r>
      <w:r w:rsidRPr="00907732">
        <w:rPr>
          <w:rFonts w:ascii="Arial" w:hAnsi="Arial" w:cs="Arial"/>
        </w:rPr>
        <w:t xml:space="preserve"> report of the damages, which is the best evidence available to it and I am of the considered view that the court should make use of that report to</w:t>
      </w:r>
      <w:r w:rsidR="00496E98">
        <w:rPr>
          <w:rFonts w:ascii="Arial" w:hAnsi="Arial" w:cs="Arial"/>
        </w:rPr>
        <w:t xml:space="preserve"> best it can to come to what it </w:t>
      </w:r>
      <w:r w:rsidRPr="00907732">
        <w:rPr>
          <w:rFonts w:ascii="Arial" w:hAnsi="Arial" w:cs="Arial"/>
        </w:rPr>
        <w:t>consider</w:t>
      </w:r>
      <w:r w:rsidR="00496E98">
        <w:rPr>
          <w:rFonts w:ascii="Arial" w:hAnsi="Arial" w:cs="Arial"/>
        </w:rPr>
        <w:t>s a</w:t>
      </w:r>
      <w:r w:rsidRPr="00907732">
        <w:rPr>
          <w:rFonts w:ascii="Arial" w:hAnsi="Arial" w:cs="Arial"/>
        </w:rPr>
        <w:t xml:space="preserve">s the damages that will be available to the plaintiff, that is after the defendants have adduced their evidence and they are not able to dislodge the plaintiff’s claim as to liability. </w:t>
      </w:r>
      <w:r w:rsidR="00496E98">
        <w:rPr>
          <w:rFonts w:ascii="Arial" w:hAnsi="Arial" w:cs="Arial"/>
        </w:rPr>
        <w:t>This report was handed in by the consent of the parties as exhibit ‘FF’ and it was agreed that it would form part of the evidence. In that regard, the expert, it was further agreed, would not be called upon to testify in relation thereto.</w:t>
      </w:r>
    </w:p>
    <w:p w14:paraId="06B699EA" w14:textId="77777777" w:rsidR="00E41374" w:rsidRPr="00907732" w:rsidRDefault="00E41374" w:rsidP="0016369D">
      <w:pPr>
        <w:spacing w:line="360" w:lineRule="auto"/>
        <w:jc w:val="both"/>
        <w:rPr>
          <w:rFonts w:ascii="Arial" w:hAnsi="Arial" w:cs="Arial"/>
        </w:rPr>
      </w:pPr>
    </w:p>
    <w:p w14:paraId="597BCE45" w14:textId="35E9AC87" w:rsidR="00E41374" w:rsidRDefault="00E41374" w:rsidP="0016369D">
      <w:pPr>
        <w:spacing w:line="360" w:lineRule="auto"/>
        <w:jc w:val="both"/>
        <w:rPr>
          <w:rFonts w:ascii="Arial" w:hAnsi="Arial" w:cs="Arial"/>
        </w:rPr>
      </w:pPr>
      <w:r w:rsidRPr="00907732">
        <w:rPr>
          <w:rFonts w:ascii="Arial" w:hAnsi="Arial" w:cs="Arial"/>
        </w:rPr>
        <w:t>[33]</w:t>
      </w:r>
      <w:r w:rsidRPr="00907732">
        <w:rPr>
          <w:rFonts w:ascii="Arial" w:hAnsi="Arial" w:cs="Arial"/>
        </w:rPr>
        <w:tab/>
      </w:r>
      <w:r w:rsidR="00496E98">
        <w:rPr>
          <w:rFonts w:ascii="Arial" w:hAnsi="Arial" w:cs="Arial"/>
        </w:rPr>
        <w:t>In having regard to the expert report</w:t>
      </w:r>
      <w:r w:rsidR="001524E1" w:rsidRPr="00907732">
        <w:rPr>
          <w:rFonts w:ascii="Arial" w:hAnsi="Arial" w:cs="Arial"/>
        </w:rPr>
        <w:t xml:space="preserve">, the court will be wary that the calculation made by the expert included the </w:t>
      </w:r>
      <w:r w:rsidRPr="00907732">
        <w:rPr>
          <w:rFonts w:ascii="Arial" w:hAnsi="Arial" w:cs="Arial"/>
        </w:rPr>
        <w:t>a valuation of the mineral deposits, which as stated earlier may have to be closely scrutinised in view of the legislative regime referred to earlier in the judgment. Also forming part of the consideration</w:t>
      </w:r>
      <w:r w:rsidR="00A34F74" w:rsidRPr="00907732">
        <w:rPr>
          <w:rFonts w:ascii="Arial" w:hAnsi="Arial" w:cs="Arial"/>
        </w:rPr>
        <w:t xml:space="preserve"> of the damages, depending on what the evidence the defendants adduce,</w:t>
      </w:r>
      <w:r w:rsidRPr="00907732">
        <w:rPr>
          <w:rFonts w:ascii="Arial" w:hAnsi="Arial" w:cs="Arial"/>
        </w:rPr>
        <w:t xml:space="preserve"> may be the portion of the expert report, which states that, ‘The work that was done and completed for EPL-3484 as highlighted above, added significant value to the EPL, because the mineral reserves have been calculated and quantified, and proven to exist, and an application could be brought for a Mining License.’</w:t>
      </w:r>
    </w:p>
    <w:p w14:paraId="096405C1" w14:textId="77777777" w:rsidR="00F45FF2" w:rsidRDefault="00F45FF2" w:rsidP="0016369D">
      <w:pPr>
        <w:spacing w:line="360" w:lineRule="auto"/>
        <w:jc w:val="both"/>
        <w:rPr>
          <w:rFonts w:ascii="Arial" w:hAnsi="Arial" w:cs="Arial"/>
        </w:rPr>
      </w:pPr>
    </w:p>
    <w:p w14:paraId="3B7E8E1A" w14:textId="3221F681" w:rsidR="00B639B3" w:rsidRDefault="00496E98" w:rsidP="0016369D">
      <w:pPr>
        <w:spacing w:line="360" w:lineRule="auto"/>
        <w:jc w:val="both"/>
        <w:rPr>
          <w:rFonts w:ascii="Arial" w:hAnsi="Arial" w:cs="Arial"/>
        </w:rPr>
      </w:pPr>
      <w:r>
        <w:rPr>
          <w:rFonts w:ascii="Arial" w:hAnsi="Arial" w:cs="Arial"/>
        </w:rPr>
        <w:t>[34]</w:t>
      </w:r>
      <w:r>
        <w:rPr>
          <w:rFonts w:ascii="Arial" w:hAnsi="Arial" w:cs="Arial"/>
        </w:rPr>
        <w:tab/>
        <w:t xml:space="preserve">I interpose to mention </w:t>
      </w:r>
      <w:r w:rsidR="00C93426">
        <w:rPr>
          <w:rFonts w:ascii="Arial" w:hAnsi="Arial" w:cs="Arial"/>
        </w:rPr>
        <w:t xml:space="preserve">however, </w:t>
      </w:r>
      <w:r>
        <w:rPr>
          <w:rFonts w:ascii="Arial" w:hAnsi="Arial" w:cs="Arial"/>
        </w:rPr>
        <w:t>that d</w:t>
      </w:r>
      <w:r w:rsidR="00F45FF2">
        <w:rPr>
          <w:rFonts w:ascii="Arial" w:hAnsi="Arial" w:cs="Arial"/>
        </w:rPr>
        <w:t xml:space="preserve">uring research on this matter, my attention was drawn to the judgment in </w:t>
      </w:r>
      <w:r w:rsidR="00F45FF2">
        <w:rPr>
          <w:rFonts w:ascii="Arial" w:hAnsi="Arial" w:cs="Arial"/>
          <w:i/>
        </w:rPr>
        <w:t>Metals A</w:t>
      </w:r>
      <w:r w:rsidR="00E71C5E">
        <w:rPr>
          <w:rFonts w:ascii="Arial" w:hAnsi="Arial" w:cs="Arial"/>
          <w:i/>
        </w:rPr>
        <w:t>u</w:t>
      </w:r>
      <w:r w:rsidR="00F45FF2">
        <w:rPr>
          <w:rFonts w:ascii="Arial" w:hAnsi="Arial" w:cs="Arial"/>
          <w:i/>
        </w:rPr>
        <w:t xml:space="preserve">stralia v </w:t>
      </w:r>
      <w:proofErr w:type="spellStart"/>
      <w:r w:rsidR="00F45FF2">
        <w:rPr>
          <w:rFonts w:ascii="Arial" w:hAnsi="Arial" w:cs="Arial"/>
          <w:i/>
        </w:rPr>
        <w:t>Amatukuwa</w:t>
      </w:r>
      <w:proofErr w:type="spellEnd"/>
      <w:r w:rsidR="00F45FF2">
        <w:rPr>
          <w:rStyle w:val="FootnoteReference"/>
          <w:rFonts w:ascii="Arial" w:hAnsi="Arial" w:cs="Arial"/>
          <w:i/>
        </w:rPr>
        <w:footnoteReference w:id="11"/>
      </w:r>
      <w:r w:rsidR="00E71C5E">
        <w:rPr>
          <w:rFonts w:ascii="Arial" w:hAnsi="Arial" w:cs="Arial"/>
          <w:i/>
        </w:rPr>
        <w:t xml:space="preserve"> </w:t>
      </w:r>
      <w:r w:rsidR="00E71C5E">
        <w:rPr>
          <w:rFonts w:ascii="Arial" w:hAnsi="Arial" w:cs="Arial"/>
        </w:rPr>
        <w:t xml:space="preserve">in which </w:t>
      </w:r>
      <w:r w:rsidR="00D11DFE">
        <w:rPr>
          <w:rFonts w:ascii="Arial" w:hAnsi="Arial" w:cs="Arial"/>
        </w:rPr>
        <w:t>an issue of compromise fell for determination</w:t>
      </w:r>
      <w:r w:rsidR="00342A38">
        <w:rPr>
          <w:rFonts w:ascii="Arial" w:hAnsi="Arial" w:cs="Arial"/>
        </w:rPr>
        <w:t xml:space="preserve"> before the Supreme Court</w:t>
      </w:r>
      <w:r w:rsidR="00D11DFE">
        <w:rPr>
          <w:rFonts w:ascii="Arial" w:hAnsi="Arial" w:cs="Arial"/>
        </w:rPr>
        <w:t>. Although the matter turned on that point, what is cl</w:t>
      </w:r>
      <w:r w:rsidR="00342A38">
        <w:rPr>
          <w:rFonts w:ascii="Arial" w:hAnsi="Arial" w:cs="Arial"/>
        </w:rPr>
        <w:t>ear from reading same is that two</w:t>
      </w:r>
      <w:r w:rsidR="00D11DFE">
        <w:rPr>
          <w:rFonts w:ascii="Arial" w:hAnsi="Arial" w:cs="Arial"/>
        </w:rPr>
        <w:t xml:space="preserve"> E.P.L</w:t>
      </w:r>
      <w:r w:rsidR="005C0CE2">
        <w:rPr>
          <w:rFonts w:ascii="Arial" w:hAnsi="Arial" w:cs="Arial"/>
        </w:rPr>
        <w:t>s</w:t>
      </w:r>
      <w:r w:rsidR="00342A38">
        <w:rPr>
          <w:rFonts w:ascii="Arial" w:hAnsi="Arial" w:cs="Arial"/>
        </w:rPr>
        <w:t xml:space="preserve"> were central to the dispute and </w:t>
      </w:r>
      <w:r w:rsidR="00D11DFE">
        <w:rPr>
          <w:rFonts w:ascii="Arial" w:hAnsi="Arial" w:cs="Arial"/>
        </w:rPr>
        <w:t>t</w:t>
      </w:r>
      <w:r w:rsidR="00342A38">
        <w:rPr>
          <w:rFonts w:ascii="Arial" w:hAnsi="Arial" w:cs="Arial"/>
        </w:rPr>
        <w:t>hey</w:t>
      </w:r>
      <w:r w:rsidR="00D11DFE">
        <w:rPr>
          <w:rFonts w:ascii="Arial" w:hAnsi="Arial" w:cs="Arial"/>
        </w:rPr>
        <w:t xml:space="preserve"> had been sold to the applicant by the 1</w:t>
      </w:r>
      <w:r w:rsidR="00D11DFE" w:rsidRPr="00D11DFE">
        <w:rPr>
          <w:rFonts w:ascii="Arial" w:hAnsi="Arial" w:cs="Arial"/>
          <w:vertAlign w:val="superscript"/>
        </w:rPr>
        <w:t>st</w:t>
      </w:r>
      <w:r w:rsidR="00D11DFE">
        <w:rPr>
          <w:rFonts w:ascii="Arial" w:hAnsi="Arial" w:cs="Arial"/>
        </w:rPr>
        <w:t xml:space="preserve"> respondent for </w:t>
      </w:r>
      <w:r w:rsidR="00342A38">
        <w:rPr>
          <w:rFonts w:ascii="Arial" w:hAnsi="Arial" w:cs="Arial"/>
        </w:rPr>
        <w:t xml:space="preserve">US$ 20 000. It would also appear that the deposits available in the areas falling within the licenced areas had a </w:t>
      </w:r>
      <w:r w:rsidR="00342A38">
        <w:rPr>
          <w:rFonts w:ascii="Arial" w:hAnsi="Arial" w:cs="Arial"/>
        </w:rPr>
        <w:lastRenderedPageBreak/>
        <w:t xml:space="preserve">bearing on the value and consequently the price for which the E.P.L.s were sold. To this extent, I am fortified that all things being equal, an E.P.L. does have commercial value, which neatly ties in with Ms. </w:t>
      </w:r>
      <w:proofErr w:type="spellStart"/>
      <w:r w:rsidR="00342A38">
        <w:rPr>
          <w:rFonts w:ascii="Arial" w:hAnsi="Arial" w:cs="Arial"/>
        </w:rPr>
        <w:t>Bassingthwaighte’s</w:t>
      </w:r>
      <w:proofErr w:type="spellEnd"/>
      <w:r w:rsidR="00342A38">
        <w:rPr>
          <w:rFonts w:ascii="Arial" w:hAnsi="Arial" w:cs="Arial"/>
        </w:rPr>
        <w:t xml:space="preserve"> submissions in this matter.</w:t>
      </w:r>
    </w:p>
    <w:p w14:paraId="5045B115" w14:textId="77777777" w:rsidR="00CB1E65" w:rsidRPr="00907732" w:rsidRDefault="00CB1E65" w:rsidP="0016369D">
      <w:pPr>
        <w:spacing w:line="360" w:lineRule="auto"/>
        <w:jc w:val="both"/>
        <w:rPr>
          <w:rFonts w:ascii="Arial" w:hAnsi="Arial" w:cs="Arial"/>
        </w:rPr>
      </w:pPr>
    </w:p>
    <w:p w14:paraId="011E51C4" w14:textId="03338946" w:rsidR="00B639B3" w:rsidRPr="00907732" w:rsidRDefault="00B639B3" w:rsidP="0016369D">
      <w:pPr>
        <w:spacing w:line="360" w:lineRule="auto"/>
        <w:jc w:val="both"/>
        <w:rPr>
          <w:rFonts w:ascii="Arial" w:hAnsi="Arial" w:cs="Arial"/>
          <w:u w:val="single"/>
        </w:rPr>
      </w:pPr>
      <w:r w:rsidRPr="00907732">
        <w:rPr>
          <w:rFonts w:ascii="Arial" w:hAnsi="Arial" w:cs="Arial"/>
          <w:u w:val="single"/>
        </w:rPr>
        <w:t>Conclusion</w:t>
      </w:r>
    </w:p>
    <w:p w14:paraId="3FC75B4A" w14:textId="77777777" w:rsidR="00E41374" w:rsidRPr="00907732" w:rsidRDefault="00E41374" w:rsidP="0016369D">
      <w:pPr>
        <w:spacing w:line="360" w:lineRule="auto"/>
        <w:jc w:val="both"/>
        <w:rPr>
          <w:rFonts w:ascii="Arial" w:hAnsi="Arial" w:cs="Arial"/>
        </w:rPr>
      </w:pPr>
    </w:p>
    <w:p w14:paraId="4CBA4B96" w14:textId="3FC452D9" w:rsidR="00B639B3" w:rsidRPr="00907732" w:rsidRDefault="00342A38" w:rsidP="0016369D">
      <w:pPr>
        <w:spacing w:line="360" w:lineRule="auto"/>
        <w:jc w:val="both"/>
        <w:rPr>
          <w:rFonts w:ascii="Arial" w:hAnsi="Arial" w:cs="Arial"/>
        </w:rPr>
      </w:pPr>
      <w:r>
        <w:rPr>
          <w:rFonts w:ascii="Arial" w:hAnsi="Arial" w:cs="Arial"/>
        </w:rPr>
        <w:t>[35</w:t>
      </w:r>
      <w:r w:rsidR="00E41374" w:rsidRPr="00907732">
        <w:rPr>
          <w:rFonts w:ascii="Arial" w:hAnsi="Arial" w:cs="Arial"/>
        </w:rPr>
        <w:t>]</w:t>
      </w:r>
      <w:r w:rsidR="00E41374" w:rsidRPr="00907732">
        <w:rPr>
          <w:rFonts w:ascii="Arial" w:hAnsi="Arial" w:cs="Arial"/>
        </w:rPr>
        <w:tab/>
        <w:t>In the premises, I am of the considered view that the application for absolution from the instance cannot succeed in the present circumstances.</w:t>
      </w:r>
      <w:r w:rsidR="00231F1B" w:rsidRPr="00907732">
        <w:rPr>
          <w:rFonts w:ascii="Arial" w:hAnsi="Arial" w:cs="Arial"/>
        </w:rPr>
        <w:t xml:space="preserve"> In </w:t>
      </w:r>
      <w:r w:rsidR="00231F1B" w:rsidRPr="00907732">
        <w:rPr>
          <w:rFonts w:ascii="Arial" w:hAnsi="Arial" w:cs="Arial"/>
          <w:i/>
        </w:rPr>
        <w:t>De Klerk v Absa Bank Ltd,</w:t>
      </w:r>
      <w:r w:rsidR="00231F1B" w:rsidRPr="00907732">
        <w:rPr>
          <w:rStyle w:val="FootnoteReference"/>
          <w:rFonts w:ascii="Arial" w:hAnsi="Arial" w:cs="Arial"/>
          <w:i/>
        </w:rPr>
        <w:footnoteReference w:id="12"/>
      </w:r>
      <w:r w:rsidR="00231F1B" w:rsidRPr="00907732">
        <w:rPr>
          <w:rFonts w:ascii="Arial" w:hAnsi="Arial" w:cs="Arial"/>
          <w:i/>
        </w:rPr>
        <w:t xml:space="preserve"> </w:t>
      </w:r>
      <w:r w:rsidR="00231F1B" w:rsidRPr="00907732">
        <w:rPr>
          <w:rFonts w:ascii="Arial" w:hAnsi="Arial" w:cs="Arial"/>
        </w:rPr>
        <w:t>the court reasoned as follows</w:t>
      </w:r>
      <w:r w:rsidR="00496E98">
        <w:rPr>
          <w:rFonts w:ascii="Arial" w:hAnsi="Arial" w:cs="Arial"/>
        </w:rPr>
        <w:t xml:space="preserve"> on an application for absolution</w:t>
      </w:r>
      <w:r w:rsidR="00231F1B" w:rsidRPr="00907732">
        <w:rPr>
          <w:rFonts w:ascii="Arial" w:hAnsi="Arial" w:cs="Arial"/>
        </w:rPr>
        <w:t>:</w:t>
      </w:r>
    </w:p>
    <w:p w14:paraId="75860D75" w14:textId="77777777" w:rsidR="00B639B3" w:rsidRPr="00907732" w:rsidRDefault="00B639B3" w:rsidP="0016369D">
      <w:pPr>
        <w:spacing w:line="360" w:lineRule="auto"/>
        <w:jc w:val="both"/>
        <w:rPr>
          <w:rFonts w:ascii="Arial" w:hAnsi="Arial" w:cs="Arial"/>
        </w:rPr>
      </w:pPr>
    </w:p>
    <w:p w14:paraId="2BEA7DBC" w14:textId="5BFA7181" w:rsidR="00B639B3" w:rsidRPr="00854557" w:rsidRDefault="00B639B3" w:rsidP="0016369D">
      <w:pPr>
        <w:spacing w:line="360" w:lineRule="auto"/>
        <w:jc w:val="both"/>
        <w:rPr>
          <w:rFonts w:ascii="Arial" w:hAnsi="Arial" w:cs="Arial"/>
          <w:sz w:val="22"/>
          <w:szCs w:val="22"/>
        </w:rPr>
      </w:pPr>
      <w:r w:rsidRPr="00854557">
        <w:rPr>
          <w:rFonts w:ascii="Arial" w:hAnsi="Arial" w:cs="Arial"/>
          <w:sz w:val="22"/>
          <w:szCs w:val="22"/>
        </w:rPr>
        <w:t>‘The question in this case is whether the plaintiff has crossed the low threshold of proof that the law sets when a plaintiff’s case is closed but the defendant’s is not.’</w:t>
      </w:r>
    </w:p>
    <w:p w14:paraId="6AAA35C0" w14:textId="77777777" w:rsidR="00B639B3" w:rsidRPr="00907732" w:rsidRDefault="00B639B3" w:rsidP="0016369D">
      <w:pPr>
        <w:spacing w:line="360" w:lineRule="auto"/>
        <w:jc w:val="both"/>
        <w:rPr>
          <w:rFonts w:ascii="Arial" w:hAnsi="Arial" w:cs="Arial"/>
        </w:rPr>
      </w:pPr>
    </w:p>
    <w:p w14:paraId="6B25F754" w14:textId="31E13602" w:rsidR="00B639B3" w:rsidRDefault="00B639B3" w:rsidP="0016369D">
      <w:pPr>
        <w:spacing w:line="360" w:lineRule="auto"/>
        <w:jc w:val="both"/>
        <w:rPr>
          <w:rFonts w:ascii="Arial" w:hAnsi="Arial" w:cs="Arial"/>
        </w:rPr>
      </w:pPr>
      <w:r w:rsidRPr="00907732">
        <w:rPr>
          <w:rFonts w:ascii="Arial" w:hAnsi="Arial" w:cs="Arial"/>
        </w:rPr>
        <w:t>In view of the discussion that preced</w:t>
      </w:r>
      <w:r w:rsidR="00342A38">
        <w:rPr>
          <w:rFonts w:ascii="Arial" w:hAnsi="Arial" w:cs="Arial"/>
        </w:rPr>
        <w:t>es this part of the judgment, it</w:t>
      </w:r>
      <w:r w:rsidRPr="00907732">
        <w:rPr>
          <w:rFonts w:ascii="Arial" w:hAnsi="Arial" w:cs="Arial"/>
        </w:rPr>
        <w:t xml:space="preserve"> is</w:t>
      </w:r>
      <w:r w:rsidR="00342A38">
        <w:rPr>
          <w:rFonts w:ascii="Arial" w:hAnsi="Arial" w:cs="Arial"/>
        </w:rPr>
        <w:t xml:space="preserve"> the considered view of this</w:t>
      </w:r>
      <w:r w:rsidRPr="00907732">
        <w:rPr>
          <w:rFonts w:ascii="Arial" w:hAnsi="Arial" w:cs="Arial"/>
        </w:rPr>
        <w:t xml:space="preserve"> court that the </w:t>
      </w:r>
      <w:r w:rsidR="00342A38">
        <w:rPr>
          <w:rFonts w:ascii="Arial" w:hAnsi="Arial" w:cs="Arial"/>
        </w:rPr>
        <w:t xml:space="preserve">necessary </w:t>
      </w:r>
      <w:r w:rsidRPr="00907732">
        <w:rPr>
          <w:rFonts w:ascii="Arial" w:hAnsi="Arial" w:cs="Arial"/>
        </w:rPr>
        <w:t xml:space="preserve">threshold has been reached by the plaintiff </w:t>
      </w:r>
      <w:r w:rsidR="00496E98">
        <w:rPr>
          <w:rFonts w:ascii="Arial" w:hAnsi="Arial" w:cs="Arial"/>
        </w:rPr>
        <w:t xml:space="preserve">in this matter </w:t>
      </w:r>
      <w:r w:rsidRPr="00907732">
        <w:rPr>
          <w:rFonts w:ascii="Arial" w:hAnsi="Arial" w:cs="Arial"/>
        </w:rPr>
        <w:t xml:space="preserve">and in that </w:t>
      </w:r>
      <w:proofErr w:type="gramStart"/>
      <w:r w:rsidRPr="00907732">
        <w:rPr>
          <w:rFonts w:ascii="Arial" w:hAnsi="Arial" w:cs="Arial"/>
        </w:rPr>
        <w:t>regard,</w:t>
      </w:r>
      <w:proofErr w:type="gramEnd"/>
      <w:r w:rsidRPr="00907732">
        <w:rPr>
          <w:rFonts w:ascii="Arial" w:hAnsi="Arial" w:cs="Arial"/>
        </w:rPr>
        <w:t xml:space="preserve"> the 1</w:t>
      </w:r>
      <w:r w:rsidRPr="00907732">
        <w:rPr>
          <w:rFonts w:ascii="Arial" w:hAnsi="Arial" w:cs="Arial"/>
          <w:vertAlign w:val="superscript"/>
        </w:rPr>
        <w:t>st</w:t>
      </w:r>
      <w:r w:rsidRPr="00907732">
        <w:rPr>
          <w:rFonts w:ascii="Arial" w:hAnsi="Arial" w:cs="Arial"/>
        </w:rPr>
        <w:t xml:space="preserve"> and 2</w:t>
      </w:r>
      <w:r w:rsidRPr="00907732">
        <w:rPr>
          <w:rFonts w:ascii="Arial" w:hAnsi="Arial" w:cs="Arial"/>
          <w:vertAlign w:val="superscript"/>
        </w:rPr>
        <w:t>nd</w:t>
      </w:r>
      <w:r w:rsidRPr="00907732">
        <w:rPr>
          <w:rFonts w:ascii="Arial" w:hAnsi="Arial" w:cs="Arial"/>
        </w:rPr>
        <w:t xml:space="preserve"> defendants should be called to their defence. </w:t>
      </w:r>
      <w:r w:rsidR="00E41374" w:rsidRPr="00907732">
        <w:rPr>
          <w:rFonts w:ascii="Arial" w:hAnsi="Arial" w:cs="Arial"/>
        </w:rPr>
        <w:t xml:space="preserve">   </w:t>
      </w:r>
    </w:p>
    <w:p w14:paraId="1CA74C65" w14:textId="77777777" w:rsidR="00CB1E65" w:rsidRPr="00907732" w:rsidRDefault="00CB1E65" w:rsidP="0016369D">
      <w:pPr>
        <w:spacing w:line="360" w:lineRule="auto"/>
        <w:jc w:val="both"/>
        <w:rPr>
          <w:rFonts w:ascii="Arial" w:hAnsi="Arial" w:cs="Arial"/>
        </w:rPr>
      </w:pPr>
    </w:p>
    <w:p w14:paraId="2A8E3FFF" w14:textId="7EB1B2D6" w:rsidR="00B639B3" w:rsidRPr="00907732" w:rsidRDefault="00B639B3" w:rsidP="0016369D">
      <w:pPr>
        <w:spacing w:line="360" w:lineRule="auto"/>
        <w:jc w:val="both"/>
        <w:rPr>
          <w:rFonts w:ascii="Arial" w:hAnsi="Arial" w:cs="Arial"/>
          <w:u w:val="single"/>
        </w:rPr>
      </w:pPr>
      <w:r w:rsidRPr="00907732">
        <w:rPr>
          <w:rFonts w:ascii="Arial" w:hAnsi="Arial" w:cs="Arial"/>
          <w:u w:val="single"/>
        </w:rPr>
        <w:t>Order</w:t>
      </w:r>
    </w:p>
    <w:p w14:paraId="2E39E923" w14:textId="77777777" w:rsidR="00B639B3" w:rsidRPr="00907732" w:rsidRDefault="00B639B3" w:rsidP="0016369D">
      <w:pPr>
        <w:spacing w:line="360" w:lineRule="auto"/>
        <w:jc w:val="both"/>
        <w:rPr>
          <w:rFonts w:ascii="Arial" w:hAnsi="Arial" w:cs="Arial"/>
          <w:u w:val="single"/>
        </w:rPr>
      </w:pPr>
    </w:p>
    <w:p w14:paraId="0226B4C1" w14:textId="3A25A060" w:rsidR="00B639B3" w:rsidRPr="00907732" w:rsidRDefault="00342A38" w:rsidP="0016369D">
      <w:pPr>
        <w:spacing w:line="360" w:lineRule="auto"/>
        <w:jc w:val="both"/>
        <w:rPr>
          <w:rFonts w:ascii="Arial" w:hAnsi="Arial" w:cs="Arial"/>
        </w:rPr>
      </w:pPr>
      <w:r>
        <w:rPr>
          <w:rFonts w:ascii="Arial" w:hAnsi="Arial" w:cs="Arial"/>
        </w:rPr>
        <w:t>[36</w:t>
      </w:r>
      <w:r w:rsidR="00B639B3" w:rsidRPr="00907732">
        <w:rPr>
          <w:rFonts w:ascii="Arial" w:hAnsi="Arial" w:cs="Arial"/>
        </w:rPr>
        <w:t>]</w:t>
      </w:r>
      <w:r w:rsidR="00B639B3" w:rsidRPr="00907732">
        <w:rPr>
          <w:rFonts w:ascii="Arial" w:hAnsi="Arial" w:cs="Arial"/>
        </w:rPr>
        <w:tab/>
        <w:t>In the premises, I am of the considered view that the following order is condign:</w:t>
      </w:r>
    </w:p>
    <w:p w14:paraId="21F11114" w14:textId="77777777" w:rsidR="00B639B3" w:rsidRPr="00907732" w:rsidRDefault="00B639B3" w:rsidP="0016369D">
      <w:pPr>
        <w:spacing w:line="360" w:lineRule="auto"/>
        <w:jc w:val="both"/>
        <w:rPr>
          <w:rFonts w:ascii="Arial" w:hAnsi="Arial" w:cs="Arial"/>
        </w:rPr>
      </w:pPr>
    </w:p>
    <w:p w14:paraId="15E264C2" w14:textId="16F8E43B" w:rsidR="00B639B3" w:rsidRPr="00907732" w:rsidRDefault="00B639B3" w:rsidP="002D5507">
      <w:pPr>
        <w:pStyle w:val="ListParagraph"/>
        <w:numPr>
          <w:ilvl w:val="0"/>
          <w:numId w:val="3"/>
        </w:numPr>
        <w:spacing w:line="360" w:lineRule="auto"/>
        <w:ind w:hanging="720"/>
        <w:jc w:val="both"/>
        <w:rPr>
          <w:rFonts w:ascii="Arial" w:hAnsi="Arial" w:cs="Arial"/>
        </w:rPr>
      </w:pPr>
      <w:r w:rsidRPr="00907732">
        <w:rPr>
          <w:rFonts w:ascii="Arial" w:hAnsi="Arial" w:cs="Arial"/>
        </w:rPr>
        <w:t>The application for absolution from the instance is refused.</w:t>
      </w:r>
    </w:p>
    <w:p w14:paraId="7E337412" w14:textId="51F4B900" w:rsidR="00B639B3" w:rsidRPr="00907732" w:rsidRDefault="00B639B3" w:rsidP="002D5507">
      <w:pPr>
        <w:pStyle w:val="ListParagraph"/>
        <w:numPr>
          <w:ilvl w:val="0"/>
          <w:numId w:val="3"/>
        </w:numPr>
        <w:spacing w:line="360" w:lineRule="auto"/>
        <w:ind w:hanging="720"/>
        <w:jc w:val="both"/>
        <w:rPr>
          <w:rFonts w:ascii="Arial" w:hAnsi="Arial" w:cs="Arial"/>
        </w:rPr>
      </w:pPr>
      <w:r w:rsidRPr="00907732">
        <w:rPr>
          <w:rFonts w:ascii="Arial" w:hAnsi="Arial" w:cs="Arial"/>
        </w:rPr>
        <w:t>The First and the Second Defendants are ordered to p</w:t>
      </w:r>
      <w:r w:rsidR="00A34F74" w:rsidRPr="00907732">
        <w:rPr>
          <w:rFonts w:ascii="Arial" w:hAnsi="Arial" w:cs="Arial"/>
        </w:rPr>
        <w:t xml:space="preserve">ay the costs of this application jointly and severally, the one paying and the </w:t>
      </w:r>
      <w:r w:rsidR="00C44663" w:rsidRPr="00907732">
        <w:rPr>
          <w:rFonts w:ascii="Arial" w:hAnsi="Arial" w:cs="Arial"/>
        </w:rPr>
        <w:t>other being</w:t>
      </w:r>
      <w:r w:rsidR="00A34F74" w:rsidRPr="00907732">
        <w:rPr>
          <w:rFonts w:ascii="Arial" w:hAnsi="Arial" w:cs="Arial"/>
        </w:rPr>
        <w:t xml:space="preserve"> absolved, </w:t>
      </w:r>
      <w:r w:rsidRPr="00907732">
        <w:rPr>
          <w:rFonts w:ascii="Arial" w:hAnsi="Arial" w:cs="Arial"/>
        </w:rPr>
        <w:t>consequent upon the employment of one instructing and one instructed counsel.</w:t>
      </w:r>
    </w:p>
    <w:p w14:paraId="650AD05C" w14:textId="3CC972E5" w:rsidR="00B639B3" w:rsidRDefault="00B639B3" w:rsidP="002D5507">
      <w:pPr>
        <w:pStyle w:val="ListParagraph"/>
        <w:numPr>
          <w:ilvl w:val="0"/>
          <w:numId w:val="3"/>
        </w:numPr>
        <w:spacing w:line="360" w:lineRule="auto"/>
        <w:ind w:hanging="720"/>
        <w:jc w:val="both"/>
        <w:rPr>
          <w:rFonts w:ascii="Arial" w:hAnsi="Arial" w:cs="Arial"/>
        </w:rPr>
      </w:pPr>
      <w:r w:rsidRPr="00907732">
        <w:rPr>
          <w:rFonts w:ascii="Arial" w:hAnsi="Arial" w:cs="Arial"/>
        </w:rPr>
        <w:t xml:space="preserve">The matter is postponed to 21 June 2018 at 08:30 for the setting dates for continuation of the trial. </w:t>
      </w:r>
    </w:p>
    <w:p w14:paraId="2D009D76" w14:textId="77777777" w:rsidR="00F543A2" w:rsidRDefault="00F543A2" w:rsidP="00F543A2">
      <w:pPr>
        <w:spacing w:line="360" w:lineRule="auto"/>
        <w:jc w:val="both"/>
        <w:rPr>
          <w:rFonts w:ascii="Arial" w:hAnsi="Arial" w:cs="Arial"/>
        </w:rPr>
      </w:pPr>
    </w:p>
    <w:p w14:paraId="5294DB38" w14:textId="77777777" w:rsidR="00FE3A39" w:rsidRDefault="00FE3A39" w:rsidP="00F543A2">
      <w:pPr>
        <w:pStyle w:val="ListParagraph"/>
        <w:spacing w:line="360" w:lineRule="auto"/>
        <w:ind w:left="0"/>
        <w:rPr>
          <w:rFonts w:ascii="Arial" w:hAnsi="Arial" w:cs="Arial"/>
        </w:rPr>
      </w:pPr>
    </w:p>
    <w:p w14:paraId="33AAD37A" w14:textId="77777777" w:rsidR="00FE3A39" w:rsidRDefault="00FE3A39" w:rsidP="00F543A2">
      <w:pPr>
        <w:pStyle w:val="ListParagraph"/>
        <w:spacing w:line="360" w:lineRule="auto"/>
        <w:ind w:left="0"/>
        <w:rPr>
          <w:rFonts w:ascii="Arial" w:hAnsi="Arial" w:cs="Arial"/>
        </w:rPr>
      </w:pPr>
    </w:p>
    <w:p w14:paraId="3B7FCAE2" w14:textId="6E714ECF" w:rsidR="00FE3A39" w:rsidRDefault="00FE3A39" w:rsidP="002D5507">
      <w:pPr>
        <w:pStyle w:val="ListParagraph"/>
        <w:spacing w:line="360" w:lineRule="auto"/>
        <w:ind w:left="0"/>
        <w:jc w:val="right"/>
        <w:rPr>
          <w:rFonts w:ascii="Arial" w:hAnsi="Arial" w:cs="Arial"/>
        </w:rPr>
      </w:pPr>
      <w:r>
        <w:rPr>
          <w:rFonts w:ascii="Arial" w:hAnsi="Arial" w:cs="Arial"/>
        </w:rPr>
        <w:t>____________</w:t>
      </w:r>
    </w:p>
    <w:p w14:paraId="47AA61A8" w14:textId="30FB889C" w:rsidR="00FE3A39" w:rsidRDefault="002D5507" w:rsidP="002D5507">
      <w:pPr>
        <w:pStyle w:val="ListParagraph"/>
        <w:spacing w:line="360" w:lineRule="auto"/>
        <w:ind w:left="5760" w:firstLine="720"/>
        <w:jc w:val="right"/>
        <w:rPr>
          <w:rFonts w:ascii="Arial" w:hAnsi="Arial" w:cs="Arial"/>
        </w:rPr>
      </w:pPr>
      <w:r>
        <w:rPr>
          <w:rFonts w:ascii="Arial" w:hAnsi="Arial" w:cs="Arial"/>
        </w:rPr>
        <w:t>T S</w:t>
      </w:r>
      <w:r w:rsidR="002A64B7">
        <w:rPr>
          <w:rFonts w:ascii="Arial" w:hAnsi="Arial" w:cs="Arial"/>
        </w:rPr>
        <w:t xml:space="preserve"> </w:t>
      </w:r>
      <w:proofErr w:type="spellStart"/>
      <w:r w:rsidR="002A64B7">
        <w:rPr>
          <w:rFonts w:ascii="Arial" w:hAnsi="Arial" w:cs="Arial"/>
        </w:rPr>
        <w:t>Masuku</w:t>
      </w:r>
      <w:proofErr w:type="spellEnd"/>
    </w:p>
    <w:p w14:paraId="30971898" w14:textId="5B7C0F7E" w:rsidR="00FE3A39" w:rsidRDefault="002A64B7" w:rsidP="002D5507">
      <w:pPr>
        <w:pStyle w:val="ListParagraph"/>
        <w:spacing w:line="360" w:lineRule="auto"/>
        <w:ind w:left="0"/>
        <w:jc w:val="right"/>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E27826">
        <w:rPr>
          <w:rFonts w:ascii="Arial" w:hAnsi="Arial" w:cs="Arial"/>
        </w:rPr>
        <w:t>Judge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F97468D" w14:textId="77777777" w:rsidR="00FE3A39" w:rsidRDefault="00FE3A39" w:rsidP="00F543A2">
      <w:pPr>
        <w:pStyle w:val="ListParagraph"/>
        <w:spacing w:line="360" w:lineRule="auto"/>
        <w:ind w:left="0"/>
        <w:rPr>
          <w:rFonts w:ascii="Arial" w:hAnsi="Arial" w:cs="Arial"/>
        </w:rPr>
      </w:pPr>
    </w:p>
    <w:p w14:paraId="597A6610" w14:textId="77777777" w:rsidR="00FE3A39" w:rsidRDefault="00FE3A39" w:rsidP="00F543A2">
      <w:pPr>
        <w:pStyle w:val="ListParagraph"/>
        <w:spacing w:line="360" w:lineRule="auto"/>
        <w:ind w:left="0"/>
        <w:rPr>
          <w:rFonts w:ascii="Arial" w:hAnsi="Arial" w:cs="Arial"/>
        </w:rPr>
      </w:pPr>
    </w:p>
    <w:p w14:paraId="04743BAE" w14:textId="77777777" w:rsidR="003156D0" w:rsidRDefault="003156D0" w:rsidP="00F543A2">
      <w:pPr>
        <w:pStyle w:val="ListParagraph"/>
        <w:spacing w:line="360" w:lineRule="auto"/>
        <w:ind w:left="0"/>
        <w:rPr>
          <w:rFonts w:ascii="Arial" w:hAnsi="Arial" w:cs="Arial"/>
        </w:rPr>
      </w:pPr>
    </w:p>
    <w:p w14:paraId="7A223BC1" w14:textId="77777777" w:rsidR="003156D0" w:rsidRDefault="003156D0" w:rsidP="00F543A2">
      <w:pPr>
        <w:pStyle w:val="ListParagraph"/>
        <w:spacing w:line="360" w:lineRule="auto"/>
        <w:ind w:left="0"/>
        <w:rPr>
          <w:rFonts w:ascii="Arial" w:hAnsi="Arial" w:cs="Arial"/>
        </w:rPr>
      </w:pPr>
    </w:p>
    <w:p w14:paraId="0E5B4823" w14:textId="77777777" w:rsidR="003156D0" w:rsidRDefault="003156D0" w:rsidP="00F543A2">
      <w:pPr>
        <w:pStyle w:val="ListParagraph"/>
        <w:spacing w:line="360" w:lineRule="auto"/>
        <w:ind w:left="0"/>
        <w:rPr>
          <w:rFonts w:ascii="Arial" w:hAnsi="Arial" w:cs="Arial"/>
        </w:rPr>
      </w:pPr>
    </w:p>
    <w:p w14:paraId="5EEB2547" w14:textId="77777777" w:rsidR="003156D0" w:rsidRDefault="003156D0" w:rsidP="00F543A2">
      <w:pPr>
        <w:pStyle w:val="ListParagraph"/>
        <w:spacing w:line="360" w:lineRule="auto"/>
        <w:ind w:left="0"/>
        <w:rPr>
          <w:rFonts w:ascii="Arial" w:hAnsi="Arial" w:cs="Arial"/>
        </w:rPr>
      </w:pPr>
    </w:p>
    <w:p w14:paraId="7E020854" w14:textId="77777777" w:rsidR="003156D0" w:rsidRDefault="003156D0" w:rsidP="00F543A2">
      <w:pPr>
        <w:pStyle w:val="ListParagraph"/>
        <w:spacing w:line="360" w:lineRule="auto"/>
        <w:ind w:left="0"/>
        <w:rPr>
          <w:rFonts w:ascii="Arial" w:hAnsi="Arial" w:cs="Arial"/>
        </w:rPr>
      </w:pPr>
    </w:p>
    <w:p w14:paraId="2F06822A" w14:textId="77777777" w:rsidR="003156D0" w:rsidRDefault="003156D0" w:rsidP="00F543A2">
      <w:pPr>
        <w:pStyle w:val="ListParagraph"/>
        <w:spacing w:line="360" w:lineRule="auto"/>
        <w:ind w:left="0"/>
        <w:rPr>
          <w:rFonts w:ascii="Arial" w:hAnsi="Arial" w:cs="Arial"/>
        </w:rPr>
      </w:pPr>
    </w:p>
    <w:p w14:paraId="27BC64A5" w14:textId="77777777" w:rsidR="003156D0" w:rsidRDefault="003156D0" w:rsidP="00F543A2">
      <w:pPr>
        <w:pStyle w:val="ListParagraph"/>
        <w:spacing w:line="360" w:lineRule="auto"/>
        <w:ind w:left="0"/>
        <w:rPr>
          <w:rFonts w:ascii="Arial" w:hAnsi="Arial" w:cs="Arial"/>
        </w:rPr>
      </w:pPr>
    </w:p>
    <w:p w14:paraId="016DCA30" w14:textId="77777777" w:rsidR="003156D0" w:rsidRDefault="003156D0" w:rsidP="00F543A2">
      <w:pPr>
        <w:pStyle w:val="ListParagraph"/>
        <w:spacing w:line="360" w:lineRule="auto"/>
        <w:ind w:left="0"/>
        <w:rPr>
          <w:rFonts w:ascii="Arial" w:hAnsi="Arial" w:cs="Arial"/>
        </w:rPr>
      </w:pPr>
    </w:p>
    <w:p w14:paraId="6BF24869" w14:textId="77777777" w:rsidR="003156D0" w:rsidRDefault="003156D0" w:rsidP="00F543A2">
      <w:pPr>
        <w:pStyle w:val="ListParagraph"/>
        <w:spacing w:line="360" w:lineRule="auto"/>
        <w:ind w:left="0"/>
        <w:rPr>
          <w:rFonts w:ascii="Arial" w:hAnsi="Arial" w:cs="Arial"/>
        </w:rPr>
      </w:pPr>
    </w:p>
    <w:p w14:paraId="48D0CE18" w14:textId="77777777" w:rsidR="003156D0" w:rsidRDefault="003156D0" w:rsidP="00F543A2">
      <w:pPr>
        <w:pStyle w:val="ListParagraph"/>
        <w:spacing w:line="360" w:lineRule="auto"/>
        <w:ind w:left="0"/>
        <w:rPr>
          <w:rFonts w:ascii="Arial" w:hAnsi="Arial" w:cs="Arial"/>
        </w:rPr>
      </w:pPr>
    </w:p>
    <w:p w14:paraId="0D7F4DF5" w14:textId="77777777" w:rsidR="003156D0" w:rsidRDefault="003156D0" w:rsidP="00F543A2">
      <w:pPr>
        <w:pStyle w:val="ListParagraph"/>
        <w:spacing w:line="360" w:lineRule="auto"/>
        <w:ind w:left="0"/>
        <w:rPr>
          <w:rFonts w:ascii="Arial" w:hAnsi="Arial" w:cs="Arial"/>
        </w:rPr>
      </w:pPr>
    </w:p>
    <w:p w14:paraId="67DE5E4F" w14:textId="77777777" w:rsidR="003156D0" w:rsidRDefault="003156D0" w:rsidP="00F543A2">
      <w:pPr>
        <w:pStyle w:val="ListParagraph"/>
        <w:spacing w:line="360" w:lineRule="auto"/>
        <w:ind w:left="0"/>
        <w:rPr>
          <w:rFonts w:ascii="Arial" w:hAnsi="Arial" w:cs="Arial"/>
        </w:rPr>
      </w:pPr>
    </w:p>
    <w:p w14:paraId="58D4E047" w14:textId="77777777" w:rsidR="003156D0" w:rsidRDefault="003156D0" w:rsidP="00F543A2">
      <w:pPr>
        <w:pStyle w:val="ListParagraph"/>
        <w:spacing w:line="360" w:lineRule="auto"/>
        <w:ind w:left="0"/>
        <w:rPr>
          <w:rFonts w:ascii="Arial" w:hAnsi="Arial" w:cs="Arial"/>
        </w:rPr>
      </w:pPr>
    </w:p>
    <w:p w14:paraId="79ACECFD" w14:textId="77777777" w:rsidR="003156D0" w:rsidRDefault="003156D0" w:rsidP="00F543A2">
      <w:pPr>
        <w:pStyle w:val="ListParagraph"/>
        <w:spacing w:line="360" w:lineRule="auto"/>
        <w:ind w:left="0"/>
        <w:rPr>
          <w:rFonts w:ascii="Arial" w:hAnsi="Arial" w:cs="Arial"/>
        </w:rPr>
      </w:pPr>
    </w:p>
    <w:p w14:paraId="7A0CA702" w14:textId="77777777" w:rsidR="003156D0" w:rsidRDefault="003156D0" w:rsidP="00F543A2">
      <w:pPr>
        <w:pStyle w:val="ListParagraph"/>
        <w:spacing w:line="360" w:lineRule="auto"/>
        <w:ind w:left="0"/>
        <w:rPr>
          <w:rFonts w:ascii="Arial" w:hAnsi="Arial" w:cs="Arial"/>
        </w:rPr>
      </w:pPr>
    </w:p>
    <w:p w14:paraId="526FF6BB" w14:textId="77777777" w:rsidR="003156D0" w:rsidRDefault="003156D0" w:rsidP="00F543A2">
      <w:pPr>
        <w:pStyle w:val="ListParagraph"/>
        <w:spacing w:line="360" w:lineRule="auto"/>
        <w:ind w:left="0"/>
        <w:rPr>
          <w:rFonts w:ascii="Arial" w:hAnsi="Arial" w:cs="Arial"/>
        </w:rPr>
      </w:pPr>
    </w:p>
    <w:p w14:paraId="2C593947" w14:textId="77777777" w:rsidR="003156D0" w:rsidRDefault="003156D0" w:rsidP="00F543A2">
      <w:pPr>
        <w:pStyle w:val="ListParagraph"/>
        <w:spacing w:line="360" w:lineRule="auto"/>
        <w:ind w:left="0"/>
        <w:rPr>
          <w:rFonts w:ascii="Arial" w:hAnsi="Arial" w:cs="Arial"/>
        </w:rPr>
      </w:pPr>
    </w:p>
    <w:p w14:paraId="75F72E5C" w14:textId="77777777" w:rsidR="003156D0" w:rsidRDefault="003156D0" w:rsidP="00F543A2">
      <w:pPr>
        <w:pStyle w:val="ListParagraph"/>
        <w:spacing w:line="360" w:lineRule="auto"/>
        <w:ind w:left="0"/>
        <w:rPr>
          <w:rFonts w:ascii="Arial" w:hAnsi="Arial" w:cs="Arial"/>
        </w:rPr>
      </w:pPr>
    </w:p>
    <w:p w14:paraId="26BA69E6" w14:textId="77777777" w:rsidR="003156D0" w:rsidRDefault="003156D0" w:rsidP="00F543A2">
      <w:pPr>
        <w:pStyle w:val="ListParagraph"/>
        <w:spacing w:line="360" w:lineRule="auto"/>
        <w:ind w:left="0"/>
        <w:rPr>
          <w:rFonts w:ascii="Arial" w:hAnsi="Arial" w:cs="Arial"/>
        </w:rPr>
      </w:pPr>
    </w:p>
    <w:p w14:paraId="587D5460" w14:textId="77777777" w:rsidR="003156D0" w:rsidRDefault="003156D0" w:rsidP="00F543A2">
      <w:pPr>
        <w:pStyle w:val="ListParagraph"/>
        <w:spacing w:line="360" w:lineRule="auto"/>
        <w:ind w:left="0"/>
        <w:rPr>
          <w:rFonts w:ascii="Arial" w:hAnsi="Arial" w:cs="Arial"/>
        </w:rPr>
      </w:pPr>
    </w:p>
    <w:p w14:paraId="5B1ACD13" w14:textId="77777777" w:rsidR="003156D0" w:rsidRDefault="003156D0" w:rsidP="00F543A2">
      <w:pPr>
        <w:pStyle w:val="ListParagraph"/>
        <w:spacing w:line="360" w:lineRule="auto"/>
        <w:ind w:left="0"/>
        <w:rPr>
          <w:rFonts w:ascii="Arial" w:hAnsi="Arial" w:cs="Arial"/>
        </w:rPr>
      </w:pPr>
    </w:p>
    <w:p w14:paraId="2E3A48D1" w14:textId="77777777" w:rsidR="003156D0" w:rsidRDefault="003156D0" w:rsidP="00F543A2">
      <w:pPr>
        <w:pStyle w:val="ListParagraph"/>
        <w:spacing w:line="360" w:lineRule="auto"/>
        <w:ind w:left="0"/>
        <w:rPr>
          <w:rFonts w:ascii="Arial" w:hAnsi="Arial" w:cs="Arial"/>
        </w:rPr>
      </w:pPr>
    </w:p>
    <w:p w14:paraId="0D083785" w14:textId="77777777" w:rsidR="003156D0" w:rsidRDefault="003156D0" w:rsidP="00F543A2">
      <w:pPr>
        <w:pStyle w:val="ListParagraph"/>
        <w:spacing w:line="360" w:lineRule="auto"/>
        <w:ind w:left="0"/>
        <w:rPr>
          <w:rFonts w:ascii="Arial" w:hAnsi="Arial" w:cs="Arial"/>
        </w:rPr>
      </w:pPr>
    </w:p>
    <w:p w14:paraId="0F46A8A2" w14:textId="77777777" w:rsidR="003156D0" w:rsidRDefault="003156D0" w:rsidP="00F543A2">
      <w:pPr>
        <w:pStyle w:val="ListParagraph"/>
        <w:spacing w:line="360" w:lineRule="auto"/>
        <w:ind w:left="0"/>
        <w:rPr>
          <w:rFonts w:ascii="Arial" w:hAnsi="Arial" w:cs="Arial"/>
        </w:rPr>
      </w:pPr>
    </w:p>
    <w:p w14:paraId="3CB48DD5" w14:textId="77777777" w:rsidR="002D5507" w:rsidRDefault="002D5507" w:rsidP="00F543A2">
      <w:pPr>
        <w:pStyle w:val="ListParagraph"/>
        <w:spacing w:line="360" w:lineRule="auto"/>
        <w:ind w:left="0"/>
        <w:rPr>
          <w:rFonts w:ascii="Arial" w:hAnsi="Arial" w:cs="Arial"/>
        </w:rPr>
      </w:pPr>
    </w:p>
    <w:p w14:paraId="640F2432" w14:textId="77777777" w:rsidR="00F543A2" w:rsidRPr="004540A2" w:rsidRDefault="00F543A2" w:rsidP="00F543A2">
      <w:pPr>
        <w:pStyle w:val="ListParagraph"/>
        <w:spacing w:line="360" w:lineRule="auto"/>
        <w:ind w:left="0"/>
        <w:rPr>
          <w:rFonts w:ascii="Arial" w:hAnsi="Arial" w:cs="Arial"/>
        </w:rPr>
      </w:pPr>
      <w:r w:rsidRPr="004540A2">
        <w:rPr>
          <w:rFonts w:ascii="Arial" w:hAnsi="Arial" w:cs="Arial"/>
        </w:rPr>
        <w:lastRenderedPageBreak/>
        <w:t>APPEARANCE:</w:t>
      </w:r>
    </w:p>
    <w:p w14:paraId="33EC7692" w14:textId="77777777" w:rsidR="00F543A2" w:rsidRPr="004540A2" w:rsidRDefault="00F543A2" w:rsidP="00F543A2">
      <w:pPr>
        <w:spacing w:line="360" w:lineRule="auto"/>
        <w:jc w:val="both"/>
        <w:rPr>
          <w:rFonts w:ascii="Arial" w:hAnsi="Arial" w:cs="Arial"/>
        </w:rPr>
      </w:pPr>
    </w:p>
    <w:p w14:paraId="118D81CE" w14:textId="4675B2E8" w:rsidR="00F543A2" w:rsidRPr="004540A2" w:rsidRDefault="00F543A2" w:rsidP="00F543A2">
      <w:pPr>
        <w:spacing w:line="360" w:lineRule="auto"/>
        <w:ind w:left="3600" w:hanging="3600"/>
        <w:jc w:val="both"/>
        <w:rPr>
          <w:rFonts w:ascii="Arial" w:hAnsi="Arial" w:cs="Arial"/>
        </w:rPr>
      </w:pPr>
      <w:r>
        <w:rPr>
          <w:rFonts w:ascii="Arial" w:hAnsi="Arial" w:cs="Arial"/>
        </w:rPr>
        <w:t xml:space="preserve">PLAINTIFF: </w:t>
      </w:r>
      <w:r w:rsidR="002D5507">
        <w:rPr>
          <w:rFonts w:ascii="Arial" w:hAnsi="Arial" w:cs="Arial"/>
        </w:rPr>
        <w:tab/>
        <w:t>N</w:t>
      </w:r>
      <w:r w:rsidR="00FE3A39">
        <w:rPr>
          <w:rFonts w:ascii="Arial" w:hAnsi="Arial" w:cs="Arial"/>
        </w:rPr>
        <w:t xml:space="preserve"> </w:t>
      </w:r>
      <w:proofErr w:type="spellStart"/>
      <w:r w:rsidR="00FE3A39">
        <w:rPr>
          <w:rFonts w:ascii="Arial" w:hAnsi="Arial" w:cs="Arial"/>
        </w:rPr>
        <w:t>Bassingthwaighte</w:t>
      </w:r>
      <w:proofErr w:type="spellEnd"/>
      <w:r>
        <w:rPr>
          <w:rFonts w:ascii="Arial" w:hAnsi="Arial" w:cs="Arial"/>
        </w:rPr>
        <w:tab/>
      </w:r>
      <w:r>
        <w:rPr>
          <w:rFonts w:ascii="Arial" w:hAnsi="Arial" w:cs="Arial"/>
        </w:rPr>
        <w:tab/>
        <w:t xml:space="preserve"> </w:t>
      </w:r>
    </w:p>
    <w:p w14:paraId="7CB9693D" w14:textId="692257BE" w:rsidR="00F543A2" w:rsidRPr="004540A2" w:rsidRDefault="002D5507" w:rsidP="00F543A2">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i</w:t>
      </w:r>
      <w:r w:rsidR="00FE3A39">
        <w:rPr>
          <w:rFonts w:ascii="Arial" w:hAnsi="Arial" w:cs="Arial"/>
        </w:rPr>
        <w:t>nstructed</w:t>
      </w:r>
      <w:proofErr w:type="gramEnd"/>
      <w:r w:rsidR="00FE3A39">
        <w:rPr>
          <w:rFonts w:ascii="Arial" w:hAnsi="Arial" w:cs="Arial"/>
        </w:rPr>
        <w:t xml:space="preserve"> by </w:t>
      </w:r>
      <w:proofErr w:type="spellStart"/>
      <w:r w:rsidR="00FE3A39">
        <w:rPr>
          <w:rFonts w:ascii="Arial" w:hAnsi="Arial" w:cs="Arial"/>
        </w:rPr>
        <w:t>Koep</w:t>
      </w:r>
      <w:proofErr w:type="spellEnd"/>
      <w:r w:rsidR="00FE3A39">
        <w:rPr>
          <w:rFonts w:ascii="Arial" w:hAnsi="Arial" w:cs="Arial"/>
        </w:rPr>
        <w:t xml:space="preserve"> &amp; Partners</w:t>
      </w:r>
      <w:r w:rsidR="00F543A2">
        <w:rPr>
          <w:rFonts w:ascii="Arial" w:hAnsi="Arial" w:cs="Arial"/>
        </w:rPr>
        <w:t>, Windhoek</w:t>
      </w:r>
      <w:r w:rsidR="00F543A2" w:rsidRPr="004540A2">
        <w:rPr>
          <w:rFonts w:ascii="Arial" w:hAnsi="Arial" w:cs="Arial"/>
        </w:rPr>
        <w:tab/>
      </w:r>
      <w:r w:rsidR="00F543A2" w:rsidRPr="004540A2">
        <w:rPr>
          <w:rFonts w:ascii="Arial" w:hAnsi="Arial" w:cs="Arial"/>
        </w:rPr>
        <w:tab/>
      </w:r>
      <w:r w:rsidR="00F543A2" w:rsidRPr="004540A2">
        <w:rPr>
          <w:rFonts w:ascii="Arial" w:hAnsi="Arial" w:cs="Arial"/>
        </w:rPr>
        <w:tab/>
      </w:r>
    </w:p>
    <w:p w14:paraId="70074C35" w14:textId="77777777" w:rsidR="00F543A2" w:rsidRPr="004540A2" w:rsidRDefault="00F543A2" w:rsidP="00F543A2">
      <w:pPr>
        <w:spacing w:line="360" w:lineRule="auto"/>
        <w:jc w:val="both"/>
        <w:rPr>
          <w:rFonts w:ascii="Arial" w:hAnsi="Arial" w:cs="Arial"/>
        </w:rPr>
      </w:pPr>
    </w:p>
    <w:p w14:paraId="6303819E" w14:textId="11AA5EAE" w:rsidR="00F543A2" w:rsidRPr="004540A2" w:rsidRDefault="00D81E81" w:rsidP="00F543A2">
      <w:pPr>
        <w:spacing w:line="360" w:lineRule="auto"/>
        <w:jc w:val="both"/>
        <w:rPr>
          <w:rFonts w:ascii="Arial" w:hAnsi="Arial" w:cs="Arial"/>
        </w:rPr>
      </w:pPr>
      <w:r>
        <w:rPr>
          <w:rFonts w:ascii="Arial" w:hAnsi="Arial" w:cs="Arial"/>
        </w:rPr>
        <w:t>DEFENDANT</w:t>
      </w:r>
      <w:r w:rsidR="00FE3A39">
        <w:rPr>
          <w:rFonts w:ascii="Arial" w:hAnsi="Arial" w:cs="Arial"/>
        </w:rPr>
        <w:t>S</w:t>
      </w:r>
      <w:r>
        <w:rPr>
          <w:rFonts w:ascii="Arial" w:hAnsi="Arial" w:cs="Arial"/>
        </w:rPr>
        <w:t>:</w:t>
      </w:r>
      <w:r w:rsidR="00F543A2" w:rsidRPr="004540A2">
        <w:rPr>
          <w:rFonts w:ascii="Arial" w:hAnsi="Arial" w:cs="Arial"/>
        </w:rPr>
        <w:tab/>
      </w:r>
      <w:r w:rsidR="00F543A2">
        <w:rPr>
          <w:rFonts w:ascii="Arial" w:hAnsi="Arial" w:cs="Arial"/>
        </w:rPr>
        <w:tab/>
      </w:r>
      <w:r w:rsidR="00F543A2">
        <w:rPr>
          <w:rFonts w:ascii="Arial" w:hAnsi="Arial" w:cs="Arial"/>
        </w:rPr>
        <w:tab/>
      </w:r>
      <w:r w:rsidR="002D5507">
        <w:rPr>
          <w:rFonts w:ascii="Arial" w:hAnsi="Arial" w:cs="Arial"/>
        </w:rPr>
        <w:t>S</w:t>
      </w:r>
      <w:r w:rsidR="00FE3A39">
        <w:rPr>
          <w:rFonts w:ascii="Arial" w:hAnsi="Arial" w:cs="Arial"/>
        </w:rPr>
        <w:t xml:space="preserve"> </w:t>
      </w:r>
      <w:proofErr w:type="spellStart"/>
      <w:r w:rsidR="00FE3A39">
        <w:rPr>
          <w:rFonts w:ascii="Arial" w:hAnsi="Arial" w:cs="Arial"/>
        </w:rPr>
        <w:t>Namandje</w:t>
      </w:r>
      <w:proofErr w:type="spellEnd"/>
      <w:r w:rsidR="00F543A2" w:rsidRPr="004540A2">
        <w:rPr>
          <w:rFonts w:ascii="Arial" w:hAnsi="Arial" w:cs="Arial"/>
        </w:rPr>
        <w:tab/>
      </w:r>
      <w:r w:rsidR="00F543A2" w:rsidRPr="004540A2">
        <w:rPr>
          <w:rFonts w:ascii="Arial" w:hAnsi="Arial" w:cs="Arial"/>
        </w:rPr>
        <w:tab/>
      </w:r>
    </w:p>
    <w:p w14:paraId="0B520179" w14:textId="6DCCCF0B" w:rsidR="00F543A2" w:rsidRPr="00F543A2" w:rsidRDefault="00D81E81" w:rsidP="00F543A2">
      <w:pPr>
        <w:spacing w:line="36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sidR="002D5507">
        <w:rPr>
          <w:rFonts w:ascii="Arial" w:hAnsi="Arial" w:cs="Arial"/>
        </w:rPr>
        <w:t>o</w:t>
      </w:r>
      <w:r w:rsidR="00F543A2">
        <w:rPr>
          <w:rFonts w:ascii="Arial" w:hAnsi="Arial" w:cs="Arial"/>
        </w:rPr>
        <w:t>f</w:t>
      </w:r>
      <w:proofErr w:type="gramEnd"/>
      <w:r w:rsidR="00FE3A39">
        <w:rPr>
          <w:rFonts w:ascii="Arial" w:hAnsi="Arial" w:cs="Arial"/>
        </w:rPr>
        <w:t xml:space="preserve"> </w:t>
      </w:r>
      <w:proofErr w:type="spellStart"/>
      <w:r w:rsidR="00FE3A39">
        <w:rPr>
          <w:rFonts w:ascii="Arial" w:hAnsi="Arial" w:cs="Arial"/>
        </w:rPr>
        <w:t>Sisa</w:t>
      </w:r>
      <w:proofErr w:type="spellEnd"/>
      <w:r w:rsidR="00FE3A39">
        <w:rPr>
          <w:rFonts w:ascii="Arial" w:hAnsi="Arial" w:cs="Arial"/>
        </w:rPr>
        <w:t xml:space="preserve"> </w:t>
      </w:r>
      <w:proofErr w:type="spellStart"/>
      <w:r w:rsidR="00FE3A39">
        <w:rPr>
          <w:rFonts w:ascii="Arial" w:hAnsi="Arial" w:cs="Arial"/>
        </w:rPr>
        <w:t>Namandje</w:t>
      </w:r>
      <w:proofErr w:type="spellEnd"/>
      <w:r w:rsidR="00FE3A39">
        <w:rPr>
          <w:rFonts w:ascii="Arial" w:hAnsi="Arial" w:cs="Arial"/>
        </w:rPr>
        <w:t xml:space="preserve"> &amp; Co Inc.</w:t>
      </w:r>
      <w:r w:rsidR="00F543A2">
        <w:rPr>
          <w:rFonts w:ascii="Arial" w:hAnsi="Arial" w:cs="Arial"/>
        </w:rPr>
        <w:t>, Windhoek</w:t>
      </w:r>
      <w:bookmarkStart w:id="0" w:name="_GoBack"/>
      <w:bookmarkEnd w:id="0"/>
    </w:p>
    <w:sectPr w:rsidR="00F543A2" w:rsidRPr="00F543A2" w:rsidSect="006D6BCF">
      <w:headerReference w:type="even" r:id="rId9"/>
      <w:headerReference w:type="default" r:id="rId10"/>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ED57E" w14:textId="77777777" w:rsidR="00872EAD" w:rsidRDefault="00872EAD" w:rsidP="00FA5CEE">
      <w:r>
        <w:separator/>
      </w:r>
    </w:p>
  </w:endnote>
  <w:endnote w:type="continuationSeparator" w:id="0">
    <w:p w14:paraId="202E477F" w14:textId="77777777" w:rsidR="00872EAD" w:rsidRDefault="00872EAD" w:rsidP="00FA5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07C88" w14:textId="77777777" w:rsidR="00872EAD" w:rsidRDefault="00872EAD" w:rsidP="00FA5CEE">
      <w:r>
        <w:separator/>
      </w:r>
    </w:p>
  </w:footnote>
  <w:footnote w:type="continuationSeparator" w:id="0">
    <w:p w14:paraId="0E14FC08" w14:textId="77777777" w:rsidR="00872EAD" w:rsidRDefault="00872EAD" w:rsidP="00FA5CEE">
      <w:r>
        <w:continuationSeparator/>
      </w:r>
    </w:p>
  </w:footnote>
  <w:footnote w:id="1">
    <w:p w14:paraId="4E38DBFE" w14:textId="45FEF67C" w:rsidR="002A64B7" w:rsidRPr="005C0CE2" w:rsidRDefault="002A64B7" w:rsidP="002D5507">
      <w:pPr>
        <w:pStyle w:val="FootnoteText"/>
        <w:jc w:val="both"/>
        <w:rPr>
          <w:rFonts w:ascii="Arial" w:hAnsi="Arial" w:cs="Arial"/>
          <w:sz w:val="20"/>
          <w:szCs w:val="20"/>
          <w:lang w:val="en-US"/>
        </w:rPr>
      </w:pPr>
      <w:r w:rsidRPr="005C0CE2">
        <w:rPr>
          <w:rStyle w:val="FootnoteReference"/>
          <w:rFonts w:ascii="Arial" w:hAnsi="Arial" w:cs="Arial"/>
          <w:sz w:val="20"/>
          <w:szCs w:val="20"/>
        </w:rPr>
        <w:footnoteRef/>
      </w:r>
      <w:r w:rsidRPr="005C0CE2">
        <w:rPr>
          <w:rFonts w:ascii="Arial" w:hAnsi="Arial" w:cs="Arial"/>
          <w:sz w:val="20"/>
          <w:szCs w:val="20"/>
        </w:rPr>
        <w:t xml:space="preserve"> </w:t>
      </w:r>
      <w:r w:rsidRPr="005C0CE2">
        <w:rPr>
          <w:rFonts w:ascii="Arial" w:hAnsi="Arial" w:cs="Arial"/>
          <w:sz w:val="20"/>
          <w:szCs w:val="20"/>
          <w:lang w:val="en-US"/>
        </w:rPr>
        <w:t>Act No. 33 of 1992.</w:t>
      </w:r>
    </w:p>
  </w:footnote>
  <w:footnote w:id="2">
    <w:p w14:paraId="30F66519" w14:textId="69242BE4" w:rsidR="002A64B7" w:rsidRPr="002D5507" w:rsidRDefault="002A64B7" w:rsidP="002D5507">
      <w:pPr>
        <w:pStyle w:val="FootnoteText"/>
        <w:jc w:val="both"/>
        <w:rPr>
          <w:rFonts w:ascii="Arial" w:hAnsi="Arial" w:cs="Arial"/>
          <w:sz w:val="20"/>
          <w:szCs w:val="20"/>
          <w:lang w:val="en-US"/>
        </w:rPr>
      </w:pPr>
      <w:r w:rsidRPr="002D5507">
        <w:rPr>
          <w:rStyle w:val="FootnoteReference"/>
          <w:rFonts w:ascii="Arial" w:hAnsi="Arial" w:cs="Arial"/>
          <w:sz w:val="20"/>
          <w:szCs w:val="20"/>
        </w:rPr>
        <w:footnoteRef/>
      </w:r>
      <w:r w:rsidRPr="002D5507">
        <w:rPr>
          <w:rFonts w:ascii="Arial" w:hAnsi="Arial" w:cs="Arial"/>
          <w:sz w:val="20"/>
          <w:szCs w:val="20"/>
        </w:rPr>
        <w:t xml:space="preserve"> Case No. </w:t>
      </w:r>
      <w:proofErr w:type="gramStart"/>
      <w:r w:rsidRPr="002D5507">
        <w:rPr>
          <w:rFonts w:ascii="Arial" w:hAnsi="Arial" w:cs="Arial"/>
          <w:sz w:val="20"/>
          <w:szCs w:val="20"/>
        </w:rPr>
        <w:t>SA 35/2011.</w:t>
      </w:r>
      <w:proofErr w:type="gramEnd"/>
    </w:p>
  </w:footnote>
  <w:footnote w:id="3">
    <w:p w14:paraId="6C9EE9FB" w14:textId="24530595" w:rsidR="00930557" w:rsidRPr="002D5507" w:rsidRDefault="00930557" w:rsidP="002D5507">
      <w:pPr>
        <w:pStyle w:val="FootnoteText"/>
        <w:jc w:val="both"/>
        <w:rPr>
          <w:rFonts w:ascii="Arial" w:hAnsi="Arial" w:cs="Arial"/>
          <w:sz w:val="20"/>
          <w:szCs w:val="20"/>
          <w:lang w:val="en-US"/>
        </w:rPr>
      </w:pPr>
      <w:r w:rsidRPr="002D5507">
        <w:rPr>
          <w:rStyle w:val="FootnoteReference"/>
          <w:rFonts w:ascii="Arial" w:hAnsi="Arial" w:cs="Arial"/>
          <w:sz w:val="20"/>
          <w:szCs w:val="20"/>
        </w:rPr>
        <w:footnoteRef/>
      </w:r>
      <w:r w:rsidRPr="002D5507">
        <w:rPr>
          <w:rFonts w:ascii="Arial" w:hAnsi="Arial" w:cs="Arial"/>
          <w:sz w:val="20"/>
          <w:szCs w:val="20"/>
        </w:rPr>
        <w:t xml:space="preserve"> </w:t>
      </w:r>
      <w:proofErr w:type="gramStart"/>
      <w:r w:rsidR="004203AA" w:rsidRPr="002D5507">
        <w:rPr>
          <w:rFonts w:ascii="Arial" w:hAnsi="Arial" w:cs="Arial"/>
          <w:sz w:val="20"/>
          <w:szCs w:val="20"/>
          <w:lang w:val="en-US"/>
        </w:rPr>
        <w:t>2012 (1) NR 370 (SC) at 373.</w:t>
      </w:r>
      <w:proofErr w:type="gramEnd"/>
    </w:p>
  </w:footnote>
  <w:footnote w:id="4">
    <w:p w14:paraId="6D03A076" w14:textId="77777777" w:rsidR="004203AA" w:rsidRPr="002D5507" w:rsidRDefault="004203AA" w:rsidP="002D5507">
      <w:pPr>
        <w:pStyle w:val="FootnoteText"/>
        <w:jc w:val="both"/>
        <w:rPr>
          <w:rFonts w:ascii="Arial" w:hAnsi="Arial" w:cs="Arial"/>
          <w:sz w:val="20"/>
          <w:szCs w:val="20"/>
          <w:lang w:val="en-US"/>
        </w:rPr>
      </w:pPr>
      <w:r w:rsidRPr="002D5507">
        <w:rPr>
          <w:rStyle w:val="FootnoteReference"/>
          <w:rFonts w:ascii="Arial" w:hAnsi="Arial" w:cs="Arial"/>
          <w:sz w:val="20"/>
          <w:szCs w:val="20"/>
        </w:rPr>
        <w:footnoteRef/>
      </w:r>
      <w:r w:rsidRPr="002D5507">
        <w:rPr>
          <w:rFonts w:ascii="Arial" w:hAnsi="Arial" w:cs="Arial"/>
          <w:sz w:val="20"/>
          <w:szCs w:val="20"/>
        </w:rPr>
        <w:t xml:space="preserve"> </w:t>
      </w:r>
      <w:proofErr w:type="gramStart"/>
      <w:r w:rsidRPr="002D5507">
        <w:rPr>
          <w:rFonts w:ascii="Arial" w:hAnsi="Arial" w:cs="Arial"/>
          <w:sz w:val="20"/>
          <w:szCs w:val="20"/>
          <w:lang w:val="en-US"/>
        </w:rPr>
        <w:t>2007 (2) NR 494 (HC).</w:t>
      </w:r>
      <w:proofErr w:type="gramEnd"/>
    </w:p>
  </w:footnote>
  <w:footnote w:id="5">
    <w:p w14:paraId="6DED79FE" w14:textId="77777777" w:rsidR="004203AA" w:rsidRPr="002D5507" w:rsidRDefault="004203AA" w:rsidP="002D5507">
      <w:pPr>
        <w:pStyle w:val="FootnoteText"/>
        <w:jc w:val="both"/>
        <w:rPr>
          <w:rFonts w:ascii="Arial" w:hAnsi="Arial" w:cs="Arial"/>
          <w:sz w:val="20"/>
          <w:szCs w:val="20"/>
          <w:lang w:val="en-US"/>
        </w:rPr>
      </w:pPr>
      <w:r w:rsidRPr="002D5507">
        <w:rPr>
          <w:rStyle w:val="FootnoteReference"/>
          <w:rFonts w:ascii="Arial" w:hAnsi="Arial" w:cs="Arial"/>
          <w:sz w:val="20"/>
          <w:szCs w:val="20"/>
        </w:rPr>
        <w:footnoteRef/>
      </w:r>
      <w:r w:rsidRPr="002D5507">
        <w:rPr>
          <w:rFonts w:ascii="Arial" w:hAnsi="Arial" w:cs="Arial"/>
          <w:sz w:val="20"/>
          <w:szCs w:val="20"/>
        </w:rPr>
        <w:t xml:space="preserve"> </w:t>
      </w:r>
      <w:proofErr w:type="gramStart"/>
      <w:r w:rsidRPr="002D5507">
        <w:rPr>
          <w:rFonts w:ascii="Arial" w:hAnsi="Arial" w:cs="Arial"/>
          <w:sz w:val="20"/>
          <w:szCs w:val="20"/>
          <w:lang w:val="en-US"/>
        </w:rPr>
        <w:t>2005 NR 297 (HC).</w:t>
      </w:r>
      <w:proofErr w:type="gramEnd"/>
    </w:p>
  </w:footnote>
  <w:footnote w:id="6">
    <w:p w14:paraId="323EA51C" w14:textId="77777777" w:rsidR="004203AA" w:rsidRPr="002D5507" w:rsidRDefault="004203AA" w:rsidP="002D5507">
      <w:pPr>
        <w:pStyle w:val="FootnoteText"/>
        <w:jc w:val="both"/>
        <w:rPr>
          <w:rFonts w:ascii="Arial" w:hAnsi="Arial" w:cs="Arial"/>
          <w:sz w:val="20"/>
          <w:szCs w:val="20"/>
          <w:lang w:val="en-US"/>
        </w:rPr>
      </w:pPr>
      <w:r w:rsidRPr="002D5507">
        <w:rPr>
          <w:rStyle w:val="FootnoteReference"/>
          <w:rFonts w:ascii="Arial" w:hAnsi="Arial" w:cs="Arial"/>
          <w:sz w:val="20"/>
          <w:szCs w:val="20"/>
        </w:rPr>
        <w:footnoteRef/>
      </w:r>
      <w:r w:rsidRPr="002D5507">
        <w:rPr>
          <w:rFonts w:ascii="Arial" w:hAnsi="Arial" w:cs="Arial"/>
          <w:sz w:val="20"/>
          <w:szCs w:val="20"/>
        </w:rPr>
        <w:t xml:space="preserve"> </w:t>
      </w:r>
      <w:proofErr w:type="gramStart"/>
      <w:r w:rsidRPr="002D5507">
        <w:rPr>
          <w:rFonts w:ascii="Arial" w:hAnsi="Arial" w:cs="Arial"/>
          <w:sz w:val="20"/>
          <w:szCs w:val="20"/>
        </w:rPr>
        <w:t>2002 NR 451 (HC) at 453D-F.</w:t>
      </w:r>
      <w:proofErr w:type="gramEnd"/>
    </w:p>
  </w:footnote>
  <w:footnote w:id="7">
    <w:p w14:paraId="7656E122" w14:textId="648E7898" w:rsidR="002A64B7" w:rsidRPr="002D5507" w:rsidRDefault="002A64B7" w:rsidP="002D5507">
      <w:pPr>
        <w:pStyle w:val="FootnoteText"/>
        <w:jc w:val="both"/>
        <w:rPr>
          <w:rFonts w:ascii="Arial" w:hAnsi="Arial" w:cs="Arial"/>
          <w:sz w:val="20"/>
          <w:szCs w:val="20"/>
          <w:lang w:val="en-US"/>
        </w:rPr>
      </w:pPr>
      <w:r w:rsidRPr="002D5507">
        <w:rPr>
          <w:rStyle w:val="FootnoteReference"/>
          <w:rFonts w:ascii="Arial" w:hAnsi="Arial" w:cs="Arial"/>
          <w:sz w:val="20"/>
          <w:szCs w:val="20"/>
        </w:rPr>
        <w:footnoteRef/>
      </w:r>
      <w:r w:rsidRPr="002D5507">
        <w:rPr>
          <w:rFonts w:ascii="Arial" w:hAnsi="Arial" w:cs="Arial"/>
          <w:sz w:val="20"/>
          <w:szCs w:val="20"/>
        </w:rPr>
        <w:t xml:space="preserve"> </w:t>
      </w:r>
      <w:proofErr w:type="gramStart"/>
      <w:r w:rsidRPr="002D5507">
        <w:rPr>
          <w:rFonts w:ascii="Arial" w:hAnsi="Arial" w:cs="Arial"/>
          <w:sz w:val="20"/>
          <w:szCs w:val="20"/>
          <w:lang w:val="en-US"/>
        </w:rPr>
        <w:t>2001 (1) SA 88 (SCA) at 92H-93A.</w:t>
      </w:r>
      <w:proofErr w:type="gramEnd"/>
    </w:p>
  </w:footnote>
  <w:footnote w:id="8">
    <w:p w14:paraId="65FDB397" w14:textId="09DAE1B8" w:rsidR="002A64B7" w:rsidRPr="005C0CE2" w:rsidRDefault="002A64B7" w:rsidP="002D5507">
      <w:pPr>
        <w:pStyle w:val="FootnoteText"/>
        <w:jc w:val="both"/>
        <w:rPr>
          <w:rFonts w:ascii="Arial" w:hAnsi="Arial" w:cs="Arial"/>
          <w:sz w:val="20"/>
          <w:szCs w:val="20"/>
          <w:lang w:val="en-US"/>
        </w:rPr>
      </w:pPr>
      <w:r w:rsidRPr="005C0CE2">
        <w:rPr>
          <w:rStyle w:val="FootnoteReference"/>
          <w:rFonts w:ascii="Arial" w:hAnsi="Arial" w:cs="Arial"/>
          <w:sz w:val="20"/>
          <w:szCs w:val="20"/>
        </w:rPr>
        <w:footnoteRef/>
      </w:r>
      <w:r w:rsidRPr="005C0CE2">
        <w:rPr>
          <w:rFonts w:ascii="Arial" w:hAnsi="Arial" w:cs="Arial"/>
          <w:sz w:val="20"/>
          <w:szCs w:val="20"/>
        </w:rPr>
        <w:t xml:space="preserve"> </w:t>
      </w:r>
      <w:r w:rsidRPr="005C0CE2">
        <w:rPr>
          <w:rFonts w:ascii="Arial" w:hAnsi="Arial" w:cs="Arial"/>
          <w:sz w:val="20"/>
          <w:szCs w:val="20"/>
          <w:lang w:val="en-US"/>
        </w:rPr>
        <w:t>(I 1968/2015) [2017] NAHCMD 341 (29 September 2017).</w:t>
      </w:r>
    </w:p>
  </w:footnote>
  <w:footnote w:id="9">
    <w:p w14:paraId="66116926" w14:textId="0DF199E2" w:rsidR="002A64B7" w:rsidRPr="005C0CE2" w:rsidRDefault="002A64B7" w:rsidP="002D5507">
      <w:pPr>
        <w:pStyle w:val="FootnoteText"/>
        <w:jc w:val="both"/>
        <w:rPr>
          <w:rFonts w:ascii="Arial" w:hAnsi="Arial" w:cs="Arial"/>
          <w:sz w:val="20"/>
          <w:szCs w:val="20"/>
          <w:lang w:val="en-US"/>
        </w:rPr>
      </w:pPr>
      <w:r w:rsidRPr="005C0CE2">
        <w:rPr>
          <w:rStyle w:val="FootnoteReference"/>
          <w:rFonts w:ascii="Arial" w:hAnsi="Arial" w:cs="Arial"/>
          <w:sz w:val="20"/>
          <w:szCs w:val="20"/>
        </w:rPr>
        <w:footnoteRef/>
      </w:r>
      <w:r w:rsidRPr="005C0CE2">
        <w:rPr>
          <w:rFonts w:ascii="Arial" w:hAnsi="Arial" w:cs="Arial"/>
          <w:sz w:val="20"/>
          <w:szCs w:val="20"/>
        </w:rPr>
        <w:t xml:space="preserve"> </w:t>
      </w:r>
      <w:r w:rsidRPr="005C0CE2">
        <w:rPr>
          <w:rFonts w:ascii="Arial" w:hAnsi="Arial" w:cs="Arial"/>
          <w:sz w:val="20"/>
          <w:szCs w:val="20"/>
          <w:lang w:val="en-US"/>
        </w:rPr>
        <w:t>SA 10/2016 (Unreported judgment of the Supreme Court).</w:t>
      </w:r>
    </w:p>
  </w:footnote>
  <w:footnote w:id="10">
    <w:p w14:paraId="21766EFB" w14:textId="26F422E3" w:rsidR="002A64B7" w:rsidRPr="005C0CE2" w:rsidRDefault="002A64B7" w:rsidP="002D5507">
      <w:pPr>
        <w:pStyle w:val="FootnoteText"/>
        <w:jc w:val="both"/>
        <w:rPr>
          <w:rFonts w:ascii="Arial" w:hAnsi="Arial" w:cs="Arial"/>
          <w:sz w:val="20"/>
          <w:szCs w:val="20"/>
          <w:lang w:val="en-US"/>
        </w:rPr>
      </w:pPr>
      <w:r w:rsidRPr="005C0CE2">
        <w:rPr>
          <w:rStyle w:val="FootnoteReference"/>
          <w:rFonts w:ascii="Arial" w:hAnsi="Arial" w:cs="Arial"/>
          <w:sz w:val="20"/>
          <w:szCs w:val="20"/>
        </w:rPr>
        <w:footnoteRef/>
      </w:r>
      <w:r w:rsidRPr="005C0CE2">
        <w:rPr>
          <w:rFonts w:ascii="Arial" w:hAnsi="Arial" w:cs="Arial"/>
          <w:sz w:val="20"/>
          <w:szCs w:val="20"/>
        </w:rPr>
        <w:t xml:space="preserve"> </w:t>
      </w:r>
      <w:r w:rsidRPr="005C0CE2">
        <w:rPr>
          <w:rFonts w:ascii="Arial" w:hAnsi="Arial" w:cs="Arial"/>
          <w:i/>
          <w:sz w:val="20"/>
          <w:szCs w:val="20"/>
          <w:lang w:val="en-US"/>
        </w:rPr>
        <w:t xml:space="preserve">Ibid </w:t>
      </w:r>
      <w:r w:rsidRPr="005C0CE2">
        <w:rPr>
          <w:rFonts w:ascii="Arial" w:hAnsi="Arial" w:cs="Arial"/>
          <w:sz w:val="20"/>
          <w:szCs w:val="20"/>
          <w:lang w:val="en-US"/>
        </w:rPr>
        <w:t>at p. 14 para 33.</w:t>
      </w:r>
    </w:p>
  </w:footnote>
  <w:footnote w:id="11">
    <w:p w14:paraId="36964D8B" w14:textId="7855FDB4" w:rsidR="002A64B7" w:rsidRPr="005C0CE2" w:rsidRDefault="002A64B7" w:rsidP="002D5507">
      <w:pPr>
        <w:pStyle w:val="FootnoteText"/>
        <w:jc w:val="both"/>
        <w:rPr>
          <w:rFonts w:ascii="Arial" w:hAnsi="Arial" w:cs="Arial"/>
          <w:sz w:val="20"/>
          <w:szCs w:val="20"/>
          <w:lang w:val="en-US"/>
        </w:rPr>
      </w:pPr>
      <w:r w:rsidRPr="005C0CE2">
        <w:rPr>
          <w:rStyle w:val="FootnoteReference"/>
          <w:rFonts w:ascii="Arial" w:hAnsi="Arial" w:cs="Arial"/>
          <w:sz w:val="20"/>
          <w:szCs w:val="20"/>
        </w:rPr>
        <w:footnoteRef/>
      </w:r>
      <w:r w:rsidRPr="005C0CE2">
        <w:rPr>
          <w:rFonts w:ascii="Arial" w:hAnsi="Arial" w:cs="Arial"/>
          <w:sz w:val="20"/>
          <w:szCs w:val="20"/>
        </w:rPr>
        <w:t xml:space="preserve"> </w:t>
      </w:r>
      <w:r w:rsidRPr="005C0CE2">
        <w:rPr>
          <w:rFonts w:ascii="Arial" w:hAnsi="Arial" w:cs="Arial"/>
          <w:sz w:val="20"/>
          <w:szCs w:val="20"/>
          <w:lang w:val="en-US"/>
        </w:rPr>
        <w:t>2011 (1) NR 262 (SC).</w:t>
      </w:r>
    </w:p>
  </w:footnote>
  <w:footnote w:id="12">
    <w:p w14:paraId="3450889D" w14:textId="0695AF3C" w:rsidR="002A64B7" w:rsidRPr="005C0CE2" w:rsidRDefault="002A64B7" w:rsidP="002D5507">
      <w:pPr>
        <w:pStyle w:val="FootnoteText"/>
        <w:jc w:val="both"/>
        <w:rPr>
          <w:rFonts w:ascii="Arial" w:hAnsi="Arial" w:cs="Arial"/>
          <w:sz w:val="20"/>
          <w:szCs w:val="20"/>
          <w:lang w:val="en-US"/>
        </w:rPr>
      </w:pPr>
      <w:r w:rsidRPr="005C0CE2">
        <w:rPr>
          <w:rStyle w:val="FootnoteReference"/>
          <w:rFonts w:ascii="Arial" w:hAnsi="Arial" w:cs="Arial"/>
          <w:sz w:val="20"/>
          <w:szCs w:val="20"/>
        </w:rPr>
        <w:footnoteRef/>
      </w:r>
      <w:r w:rsidRPr="005C0CE2">
        <w:rPr>
          <w:rFonts w:ascii="Arial" w:hAnsi="Arial" w:cs="Arial"/>
          <w:sz w:val="20"/>
          <w:szCs w:val="20"/>
        </w:rPr>
        <w:t xml:space="preserve"> </w:t>
      </w:r>
      <w:r w:rsidRPr="005C0CE2">
        <w:rPr>
          <w:rFonts w:ascii="Arial" w:hAnsi="Arial" w:cs="Arial"/>
          <w:sz w:val="20"/>
          <w:szCs w:val="20"/>
          <w:lang w:val="en-US"/>
        </w:rPr>
        <w:t>2003 (4) SA 315 (SCA) at 321A.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D461E" w14:textId="77777777" w:rsidR="002A64B7" w:rsidRDefault="002A64B7" w:rsidP="006354D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9E609D" w14:textId="77777777" w:rsidR="002A64B7" w:rsidRDefault="002A64B7" w:rsidP="006354D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3883484"/>
      <w:docPartObj>
        <w:docPartGallery w:val="Page Numbers (Top of Page)"/>
        <w:docPartUnique/>
      </w:docPartObj>
    </w:sdtPr>
    <w:sdtEndPr>
      <w:rPr>
        <w:noProof/>
      </w:rPr>
    </w:sdtEndPr>
    <w:sdtContent>
      <w:p w14:paraId="0B5C0E01" w14:textId="2A4EE0EB" w:rsidR="006D6BCF" w:rsidRDefault="006D6BCF">
        <w:pPr>
          <w:pStyle w:val="Header"/>
          <w:jc w:val="right"/>
        </w:pPr>
        <w:r>
          <w:fldChar w:fldCharType="begin"/>
        </w:r>
        <w:r>
          <w:instrText xml:space="preserve"> PAGE   \* MERGEFORMAT </w:instrText>
        </w:r>
        <w:r>
          <w:fldChar w:fldCharType="separate"/>
        </w:r>
        <w:r w:rsidR="002D5507">
          <w:rPr>
            <w:noProof/>
          </w:rPr>
          <w:t>16</w:t>
        </w:r>
        <w:r>
          <w:rPr>
            <w:noProof/>
          </w:rPr>
          <w:fldChar w:fldCharType="end"/>
        </w:r>
      </w:p>
    </w:sdtContent>
  </w:sdt>
  <w:p w14:paraId="4F62D118" w14:textId="77777777" w:rsidR="002A64B7" w:rsidRDefault="002A64B7" w:rsidP="006354DB">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53139"/>
    <w:multiLevelType w:val="hybridMultilevel"/>
    <w:tmpl w:val="E4366870"/>
    <w:lvl w:ilvl="0" w:tplc="09C2BF36">
      <w:start w:val="1"/>
      <w:numFmt w:val="lowerLetter"/>
      <w:lvlText w:val="(%1)"/>
      <w:lvlJc w:val="left"/>
      <w:pPr>
        <w:ind w:left="720" w:hanging="360"/>
      </w:pPr>
      <w:rPr>
        <w:rFonts w:ascii="Arial" w:eastAsiaTheme="min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1407BA"/>
    <w:multiLevelType w:val="hybridMultilevel"/>
    <w:tmpl w:val="867C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70D06"/>
    <w:multiLevelType w:val="hybridMultilevel"/>
    <w:tmpl w:val="0234C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F8B"/>
    <w:rsid w:val="00033084"/>
    <w:rsid w:val="000553BD"/>
    <w:rsid w:val="000D43E5"/>
    <w:rsid w:val="000D682A"/>
    <w:rsid w:val="00132142"/>
    <w:rsid w:val="001524E1"/>
    <w:rsid w:val="0016369D"/>
    <w:rsid w:val="00212BAD"/>
    <w:rsid w:val="00217F8B"/>
    <w:rsid w:val="00226161"/>
    <w:rsid w:val="00231F1B"/>
    <w:rsid w:val="002A64B7"/>
    <w:rsid w:val="002C0ADD"/>
    <w:rsid w:val="002C3316"/>
    <w:rsid w:val="002D5507"/>
    <w:rsid w:val="003156D0"/>
    <w:rsid w:val="00342A38"/>
    <w:rsid w:val="00355622"/>
    <w:rsid w:val="003833F0"/>
    <w:rsid w:val="003B2E91"/>
    <w:rsid w:val="003D28D1"/>
    <w:rsid w:val="004203AA"/>
    <w:rsid w:val="00440137"/>
    <w:rsid w:val="00496E98"/>
    <w:rsid w:val="00546083"/>
    <w:rsid w:val="00586D7E"/>
    <w:rsid w:val="005C0CE2"/>
    <w:rsid w:val="005C2A01"/>
    <w:rsid w:val="005E60E4"/>
    <w:rsid w:val="005F1D3C"/>
    <w:rsid w:val="00622765"/>
    <w:rsid w:val="006354DB"/>
    <w:rsid w:val="00684B40"/>
    <w:rsid w:val="006C1012"/>
    <w:rsid w:val="006D0E44"/>
    <w:rsid w:val="006D6BCF"/>
    <w:rsid w:val="006E486A"/>
    <w:rsid w:val="00701FA8"/>
    <w:rsid w:val="008252A6"/>
    <w:rsid w:val="00854557"/>
    <w:rsid w:val="00872EAD"/>
    <w:rsid w:val="008E5046"/>
    <w:rsid w:val="00907732"/>
    <w:rsid w:val="00915876"/>
    <w:rsid w:val="00930557"/>
    <w:rsid w:val="0096067D"/>
    <w:rsid w:val="00961A56"/>
    <w:rsid w:val="00994DF5"/>
    <w:rsid w:val="009E537B"/>
    <w:rsid w:val="00A01543"/>
    <w:rsid w:val="00A040AD"/>
    <w:rsid w:val="00A2539F"/>
    <w:rsid w:val="00A25A6C"/>
    <w:rsid w:val="00A329EC"/>
    <w:rsid w:val="00A34F74"/>
    <w:rsid w:val="00B11B2B"/>
    <w:rsid w:val="00B13158"/>
    <w:rsid w:val="00B27FF2"/>
    <w:rsid w:val="00B63039"/>
    <w:rsid w:val="00B639B3"/>
    <w:rsid w:val="00BC47A9"/>
    <w:rsid w:val="00C04BF2"/>
    <w:rsid w:val="00C44663"/>
    <w:rsid w:val="00C93426"/>
    <w:rsid w:val="00CA590C"/>
    <w:rsid w:val="00CB1E65"/>
    <w:rsid w:val="00CE1B93"/>
    <w:rsid w:val="00D11DFE"/>
    <w:rsid w:val="00D521B2"/>
    <w:rsid w:val="00D5729B"/>
    <w:rsid w:val="00D6102A"/>
    <w:rsid w:val="00D81E81"/>
    <w:rsid w:val="00DC4FE3"/>
    <w:rsid w:val="00E06CCB"/>
    <w:rsid w:val="00E27826"/>
    <w:rsid w:val="00E41374"/>
    <w:rsid w:val="00E71C5E"/>
    <w:rsid w:val="00EA295E"/>
    <w:rsid w:val="00EF7BF8"/>
    <w:rsid w:val="00F45FF2"/>
    <w:rsid w:val="00F543A2"/>
    <w:rsid w:val="00F8791D"/>
    <w:rsid w:val="00FA5CEE"/>
    <w:rsid w:val="00FE3A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F2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8B"/>
    <w:pPr>
      <w:ind w:left="720"/>
      <w:contextualSpacing/>
    </w:pPr>
  </w:style>
  <w:style w:type="paragraph" w:styleId="FootnoteText">
    <w:name w:val="footnote text"/>
    <w:basedOn w:val="Normal"/>
    <w:link w:val="FootnoteTextChar"/>
    <w:uiPriority w:val="99"/>
    <w:unhideWhenUsed/>
    <w:rsid w:val="00FA5CEE"/>
  </w:style>
  <w:style w:type="character" w:customStyle="1" w:styleId="FootnoteTextChar">
    <w:name w:val="Footnote Text Char"/>
    <w:basedOn w:val="DefaultParagraphFont"/>
    <w:link w:val="FootnoteText"/>
    <w:uiPriority w:val="99"/>
    <w:rsid w:val="00FA5CEE"/>
  </w:style>
  <w:style w:type="character" w:styleId="FootnoteReference">
    <w:name w:val="footnote reference"/>
    <w:basedOn w:val="DefaultParagraphFont"/>
    <w:uiPriority w:val="99"/>
    <w:unhideWhenUsed/>
    <w:rsid w:val="00FA5CEE"/>
    <w:rPr>
      <w:vertAlign w:val="superscript"/>
    </w:rPr>
  </w:style>
  <w:style w:type="paragraph" w:styleId="Header">
    <w:name w:val="header"/>
    <w:basedOn w:val="Normal"/>
    <w:link w:val="HeaderChar"/>
    <w:uiPriority w:val="99"/>
    <w:unhideWhenUsed/>
    <w:rsid w:val="006354DB"/>
    <w:pPr>
      <w:tabs>
        <w:tab w:val="center" w:pos="4320"/>
        <w:tab w:val="right" w:pos="8640"/>
      </w:tabs>
    </w:pPr>
  </w:style>
  <w:style w:type="character" w:customStyle="1" w:styleId="HeaderChar">
    <w:name w:val="Header Char"/>
    <w:basedOn w:val="DefaultParagraphFont"/>
    <w:link w:val="Header"/>
    <w:uiPriority w:val="99"/>
    <w:rsid w:val="006354DB"/>
  </w:style>
  <w:style w:type="character" w:styleId="PageNumber">
    <w:name w:val="page number"/>
    <w:basedOn w:val="DefaultParagraphFont"/>
    <w:uiPriority w:val="99"/>
    <w:semiHidden/>
    <w:unhideWhenUsed/>
    <w:rsid w:val="006354DB"/>
  </w:style>
  <w:style w:type="paragraph" w:styleId="BalloonText">
    <w:name w:val="Balloon Text"/>
    <w:basedOn w:val="Normal"/>
    <w:link w:val="BalloonTextChar"/>
    <w:uiPriority w:val="99"/>
    <w:semiHidden/>
    <w:unhideWhenUsed/>
    <w:rsid w:val="00F45FF2"/>
    <w:rPr>
      <w:rFonts w:ascii="Lucida Grande" w:hAnsi="Lucida Grande"/>
      <w:sz w:val="18"/>
      <w:szCs w:val="18"/>
    </w:rPr>
  </w:style>
  <w:style w:type="character" w:customStyle="1" w:styleId="BalloonTextChar">
    <w:name w:val="Balloon Text Char"/>
    <w:basedOn w:val="DefaultParagraphFont"/>
    <w:link w:val="BalloonText"/>
    <w:uiPriority w:val="99"/>
    <w:semiHidden/>
    <w:rsid w:val="00F45FF2"/>
    <w:rPr>
      <w:rFonts w:ascii="Lucida Grande" w:hAnsi="Lucida Grande"/>
      <w:sz w:val="18"/>
      <w:szCs w:val="18"/>
    </w:rPr>
  </w:style>
  <w:style w:type="paragraph" w:styleId="Footer">
    <w:name w:val="footer"/>
    <w:basedOn w:val="Normal"/>
    <w:link w:val="FooterChar"/>
    <w:uiPriority w:val="99"/>
    <w:unhideWhenUsed/>
    <w:rsid w:val="006D6BCF"/>
    <w:pPr>
      <w:tabs>
        <w:tab w:val="center" w:pos="4513"/>
        <w:tab w:val="right" w:pos="9026"/>
      </w:tabs>
    </w:pPr>
  </w:style>
  <w:style w:type="character" w:customStyle="1" w:styleId="FooterChar">
    <w:name w:val="Footer Char"/>
    <w:basedOn w:val="DefaultParagraphFont"/>
    <w:link w:val="Footer"/>
    <w:uiPriority w:val="99"/>
    <w:rsid w:val="006D6B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8B"/>
    <w:pPr>
      <w:ind w:left="720"/>
      <w:contextualSpacing/>
    </w:pPr>
  </w:style>
  <w:style w:type="paragraph" w:styleId="FootnoteText">
    <w:name w:val="footnote text"/>
    <w:basedOn w:val="Normal"/>
    <w:link w:val="FootnoteTextChar"/>
    <w:uiPriority w:val="99"/>
    <w:unhideWhenUsed/>
    <w:rsid w:val="00FA5CEE"/>
  </w:style>
  <w:style w:type="character" w:customStyle="1" w:styleId="FootnoteTextChar">
    <w:name w:val="Footnote Text Char"/>
    <w:basedOn w:val="DefaultParagraphFont"/>
    <w:link w:val="FootnoteText"/>
    <w:uiPriority w:val="99"/>
    <w:rsid w:val="00FA5CEE"/>
  </w:style>
  <w:style w:type="character" w:styleId="FootnoteReference">
    <w:name w:val="footnote reference"/>
    <w:basedOn w:val="DefaultParagraphFont"/>
    <w:uiPriority w:val="99"/>
    <w:unhideWhenUsed/>
    <w:rsid w:val="00FA5CEE"/>
    <w:rPr>
      <w:vertAlign w:val="superscript"/>
    </w:rPr>
  </w:style>
  <w:style w:type="paragraph" w:styleId="Header">
    <w:name w:val="header"/>
    <w:basedOn w:val="Normal"/>
    <w:link w:val="HeaderChar"/>
    <w:uiPriority w:val="99"/>
    <w:unhideWhenUsed/>
    <w:rsid w:val="006354DB"/>
    <w:pPr>
      <w:tabs>
        <w:tab w:val="center" w:pos="4320"/>
        <w:tab w:val="right" w:pos="8640"/>
      </w:tabs>
    </w:pPr>
  </w:style>
  <w:style w:type="character" w:customStyle="1" w:styleId="HeaderChar">
    <w:name w:val="Header Char"/>
    <w:basedOn w:val="DefaultParagraphFont"/>
    <w:link w:val="Header"/>
    <w:uiPriority w:val="99"/>
    <w:rsid w:val="006354DB"/>
  </w:style>
  <w:style w:type="character" w:styleId="PageNumber">
    <w:name w:val="page number"/>
    <w:basedOn w:val="DefaultParagraphFont"/>
    <w:uiPriority w:val="99"/>
    <w:semiHidden/>
    <w:unhideWhenUsed/>
    <w:rsid w:val="006354DB"/>
  </w:style>
  <w:style w:type="paragraph" w:styleId="BalloonText">
    <w:name w:val="Balloon Text"/>
    <w:basedOn w:val="Normal"/>
    <w:link w:val="BalloonTextChar"/>
    <w:uiPriority w:val="99"/>
    <w:semiHidden/>
    <w:unhideWhenUsed/>
    <w:rsid w:val="00F45FF2"/>
    <w:rPr>
      <w:rFonts w:ascii="Lucida Grande" w:hAnsi="Lucida Grande"/>
      <w:sz w:val="18"/>
      <w:szCs w:val="18"/>
    </w:rPr>
  </w:style>
  <w:style w:type="character" w:customStyle="1" w:styleId="BalloonTextChar">
    <w:name w:val="Balloon Text Char"/>
    <w:basedOn w:val="DefaultParagraphFont"/>
    <w:link w:val="BalloonText"/>
    <w:uiPriority w:val="99"/>
    <w:semiHidden/>
    <w:rsid w:val="00F45FF2"/>
    <w:rPr>
      <w:rFonts w:ascii="Lucida Grande" w:hAnsi="Lucida Grande"/>
      <w:sz w:val="18"/>
      <w:szCs w:val="18"/>
    </w:rPr>
  </w:style>
  <w:style w:type="paragraph" w:styleId="Footer">
    <w:name w:val="footer"/>
    <w:basedOn w:val="Normal"/>
    <w:link w:val="FooterChar"/>
    <w:uiPriority w:val="99"/>
    <w:unhideWhenUsed/>
    <w:rsid w:val="006D6BCF"/>
    <w:pPr>
      <w:tabs>
        <w:tab w:val="center" w:pos="4513"/>
        <w:tab w:val="right" w:pos="9026"/>
      </w:tabs>
    </w:pPr>
  </w:style>
  <w:style w:type="character" w:customStyle="1" w:styleId="FooterChar">
    <w:name w:val="Footer Char"/>
    <w:basedOn w:val="DefaultParagraphFont"/>
    <w:link w:val="Footer"/>
    <w:uiPriority w:val="99"/>
    <w:rsid w:val="006D6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CE0F99B3F8644397ECB0C536651393" ma:contentTypeVersion="11" ma:contentTypeDescription="Create a new document." ma:contentTypeScope="" ma:versionID="b673f0f333acfa81009044480645c58a">
  <xsd:schema xmlns:xsd="http://www.w3.org/2001/XMLSchema" xmlns:xs="http://www.w3.org/2001/XMLSchema" xmlns:p="http://schemas.microsoft.com/office/2006/metadata/properties" xmlns:ns2="17a0f4bd-1162-49ac-b85f-dfe96a90bc01" xmlns:ns3="c1afb1bd-f2fb-40fd-9abb-aea55b4d7662" targetNamespace="http://schemas.microsoft.com/office/2006/metadata/properties" ma:root="true" ma:fieldsID="293dc9c623f9aa83555c564965efc2da" ns2:_="" ns3:_="">
    <xsd:import namespace="17a0f4bd-1162-49ac-b85f-dfe96a90bc01"/>
    <xsd:import namespace="c1afb1bd-f2fb-40fd-9abb-aea55b4d7662"/>
    <xsd:element name="properties">
      <xsd:complexType>
        <xsd:sequence>
          <xsd:element name="documentManagement">
            <xsd:complexType>
              <xsd:all>
                <xsd:element ref="ns2:Judgment_x0020_Date"/>
                <xsd:element ref="ns3:Yea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a0f4bd-1162-49ac-b85f-dfe96a90bc01" elementFormDefault="qualified">
    <xsd:import namespace="http://schemas.microsoft.com/office/2006/documentManagement/types"/>
    <xsd:import namespace="http://schemas.microsoft.com/office/infopath/2007/PartnerControls"/>
    <xsd:element name="Judgment_x0020_Date" ma:index="8" ma:displayName="Judgment Date" ma:format="DateOnly" ma:internalName="Judgment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1afb1bd-f2fb-40fd-9abb-aea55b4d7662" elementFormDefault="qualified">
    <xsd:import namespace="http://schemas.microsoft.com/office/2006/documentManagement/types"/>
    <xsd:import namespace="http://schemas.microsoft.com/office/infopath/2007/PartnerControls"/>
    <xsd:element name="Year" ma:index="13" ma:displayName="Year" ma:internalName="Ye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udgment_x0020_Date xmlns="17a0f4bd-1162-49ac-b85f-dfe96a90bc01">2018-06-07T18:30:00+00:00</Judgment_x0020_Date>
    <Year xmlns="c1afb1bd-f2fb-40fd-9abb-aea55b4d7662">2018</Year>
  </documentManagement>
</p:properties>
</file>

<file path=customXml/itemProps1.xml><?xml version="1.0" encoding="utf-8"?>
<ds:datastoreItem xmlns:ds="http://schemas.openxmlformats.org/officeDocument/2006/customXml" ds:itemID="{5E802956-62EC-445B-BE8B-3C1083CCD8FA}"/>
</file>

<file path=customXml/itemProps2.xml><?xml version="1.0" encoding="utf-8"?>
<ds:datastoreItem xmlns:ds="http://schemas.openxmlformats.org/officeDocument/2006/customXml" ds:itemID="{8CD5EC1E-67FE-4F51-BBDA-8FA9E51629F4}"/>
</file>

<file path=customXml/itemProps3.xml><?xml version="1.0" encoding="utf-8"?>
<ds:datastoreItem xmlns:ds="http://schemas.openxmlformats.org/officeDocument/2006/customXml" ds:itemID="{61C1C443-8217-428D-B6E2-935DB78F05A7}"/>
</file>

<file path=docProps/app.xml><?xml version="1.0" encoding="utf-8"?>
<Properties xmlns="http://schemas.openxmlformats.org/officeDocument/2006/extended-properties" xmlns:vt="http://schemas.openxmlformats.org/officeDocument/2006/docPropsVTypes">
  <Template>Normal</Template>
  <TotalTime>5</TotalTime>
  <Pages>16</Pages>
  <Words>3846</Words>
  <Characters>21926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High Court of Namibia</Company>
  <LinksUpToDate>false</LinksUpToDate>
  <CharactersWithSpaces>25721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 Orange Mining Consortium (Pty) Ltd v !Goaseb</dc:title>
  <dc:creator>Thomas Masuku</dc:creator>
  <cp:lastModifiedBy>Nicole Januarie</cp:lastModifiedBy>
  <cp:revision>3</cp:revision>
  <dcterms:created xsi:type="dcterms:W3CDTF">2018-06-08T09:12:00Z</dcterms:created>
  <dcterms:modified xsi:type="dcterms:W3CDTF">2018-06-08T09:26:00Z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0x0101000ECE0F99B3F8644397ECB0C536651393</vt:lpwstr>
  </property>
</Properties>
</file>