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CF7" w:rsidRPr="00BB1C6D" w:rsidRDefault="006C5CF7" w:rsidP="006C5CF7">
      <w:pPr>
        <w:spacing w:after="0" w:line="360" w:lineRule="auto"/>
        <w:jc w:val="center"/>
        <w:rPr>
          <w:rFonts w:ascii="Times New Roman" w:hAnsi="Times New Roman" w:cs="Times New Roman"/>
          <w:b/>
          <w:sz w:val="24"/>
          <w:szCs w:val="24"/>
        </w:rPr>
      </w:pPr>
      <w:bookmarkStart w:id="0" w:name="_GoBack"/>
      <w:bookmarkEnd w:id="0"/>
      <w:r w:rsidRPr="00BB1C6D">
        <w:rPr>
          <w:rFonts w:ascii="Times New Roman" w:hAnsi="Times New Roman" w:cs="Times New Roman"/>
          <w:b/>
          <w:sz w:val="24"/>
          <w:szCs w:val="24"/>
        </w:rPr>
        <w:t>THE REPUBLIC OF UGANDA</w:t>
      </w:r>
    </w:p>
    <w:p w:rsidR="006C5CF7" w:rsidRPr="00BB1C6D" w:rsidRDefault="006C5CF7" w:rsidP="006C5CF7">
      <w:pPr>
        <w:spacing w:after="0" w:line="360" w:lineRule="auto"/>
        <w:jc w:val="center"/>
        <w:rPr>
          <w:rFonts w:ascii="Times New Roman" w:hAnsi="Times New Roman" w:cs="Times New Roman"/>
          <w:b/>
          <w:sz w:val="24"/>
          <w:szCs w:val="24"/>
        </w:rPr>
      </w:pPr>
      <w:r w:rsidRPr="00BB1C6D">
        <w:rPr>
          <w:rFonts w:ascii="Times New Roman" w:hAnsi="Times New Roman" w:cs="Times New Roman"/>
          <w:b/>
          <w:sz w:val="24"/>
          <w:szCs w:val="24"/>
        </w:rPr>
        <w:t xml:space="preserve">IN THE HIGH COURT OF UGANDA SITTING AT </w:t>
      </w:r>
      <w:r w:rsidR="00EE2C54">
        <w:rPr>
          <w:rFonts w:ascii="Times New Roman" w:hAnsi="Times New Roman" w:cs="Times New Roman"/>
          <w:b/>
          <w:sz w:val="24"/>
          <w:szCs w:val="24"/>
        </w:rPr>
        <w:t>GULU</w:t>
      </w:r>
    </w:p>
    <w:p w:rsidR="006C5CF7" w:rsidRDefault="00D31893" w:rsidP="006C5CF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CIVIL </w:t>
      </w:r>
      <w:r w:rsidR="00A83D2B">
        <w:rPr>
          <w:rFonts w:ascii="Times New Roman" w:hAnsi="Times New Roman" w:cs="Times New Roman"/>
          <w:b/>
          <w:sz w:val="24"/>
          <w:szCs w:val="24"/>
        </w:rPr>
        <w:t>APP</w:t>
      </w:r>
      <w:r w:rsidR="00982D13">
        <w:rPr>
          <w:rFonts w:ascii="Times New Roman" w:hAnsi="Times New Roman" w:cs="Times New Roman"/>
          <w:b/>
          <w:sz w:val="24"/>
          <w:szCs w:val="24"/>
        </w:rPr>
        <w:t>EAL</w:t>
      </w:r>
      <w:r w:rsidR="0052715E" w:rsidRPr="00BB1C6D">
        <w:rPr>
          <w:rFonts w:ascii="Times New Roman" w:hAnsi="Times New Roman" w:cs="Times New Roman"/>
          <w:b/>
          <w:sz w:val="24"/>
          <w:szCs w:val="24"/>
        </w:rPr>
        <w:t xml:space="preserve"> </w:t>
      </w:r>
      <w:r w:rsidR="006C5CF7" w:rsidRPr="00BB1C6D">
        <w:rPr>
          <w:rFonts w:ascii="Times New Roman" w:hAnsi="Times New Roman" w:cs="Times New Roman"/>
          <w:b/>
          <w:sz w:val="24"/>
          <w:szCs w:val="24"/>
        </w:rPr>
        <w:t>No. 0</w:t>
      </w:r>
      <w:r w:rsidR="00B72D3B">
        <w:rPr>
          <w:rFonts w:ascii="Times New Roman" w:hAnsi="Times New Roman" w:cs="Times New Roman"/>
          <w:b/>
          <w:sz w:val="24"/>
          <w:szCs w:val="24"/>
        </w:rPr>
        <w:t>0</w:t>
      </w:r>
      <w:r w:rsidR="00C51BB7">
        <w:rPr>
          <w:rFonts w:ascii="Times New Roman" w:hAnsi="Times New Roman" w:cs="Times New Roman"/>
          <w:b/>
          <w:sz w:val="24"/>
          <w:szCs w:val="24"/>
        </w:rPr>
        <w:t>1</w:t>
      </w:r>
      <w:r w:rsidR="00B66055">
        <w:rPr>
          <w:rFonts w:ascii="Times New Roman" w:hAnsi="Times New Roman" w:cs="Times New Roman"/>
          <w:b/>
          <w:sz w:val="24"/>
          <w:szCs w:val="24"/>
        </w:rPr>
        <w:t>0</w:t>
      </w:r>
      <w:r w:rsidR="006C5CF7" w:rsidRPr="00BB1C6D">
        <w:rPr>
          <w:rFonts w:ascii="Times New Roman" w:hAnsi="Times New Roman" w:cs="Times New Roman"/>
          <w:b/>
          <w:sz w:val="24"/>
          <w:szCs w:val="24"/>
        </w:rPr>
        <w:t xml:space="preserve"> OF 20</w:t>
      </w:r>
      <w:r w:rsidR="0032100B">
        <w:rPr>
          <w:rFonts w:ascii="Times New Roman" w:hAnsi="Times New Roman" w:cs="Times New Roman"/>
          <w:b/>
          <w:sz w:val="24"/>
          <w:szCs w:val="24"/>
        </w:rPr>
        <w:t>1</w:t>
      </w:r>
      <w:r w:rsidR="00C51BB7">
        <w:rPr>
          <w:rFonts w:ascii="Times New Roman" w:hAnsi="Times New Roman" w:cs="Times New Roman"/>
          <w:b/>
          <w:sz w:val="24"/>
          <w:szCs w:val="24"/>
        </w:rPr>
        <w:t>7</w:t>
      </w:r>
    </w:p>
    <w:p w:rsidR="00A83D2B" w:rsidRDefault="00A83D2B" w:rsidP="006C5CF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(Arising from</w:t>
      </w:r>
      <w:r w:rsidR="00982D13">
        <w:rPr>
          <w:rFonts w:ascii="Times New Roman" w:hAnsi="Times New Roman" w:cs="Times New Roman"/>
          <w:b/>
          <w:sz w:val="24"/>
          <w:szCs w:val="24"/>
        </w:rPr>
        <w:t xml:space="preserve"> </w:t>
      </w:r>
      <w:r w:rsidR="00B66055">
        <w:rPr>
          <w:rFonts w:ascii="Times New Roman" w:hAnsi="Times New Roman" w:cs="Times New Roman"/>
          <w:b/>
          <w:sz w:val="24"/>
          <w:szCs w:val="24"/>
        </w:rPr>
        <w:t>Gulu</w:t>
      </w:r>
      <w:r w:rsidR="00982D13">
        <w:rPr>
          <w:rFonts w:ascii="Times New Roman" w:hAnsi="Times New Roman" w:cs="Times New Roman"/>
          <w:b/>
          <w:sz w:val="24"/>
          <w:szCs w:val="24"/>
        </w:rPr>
        <w:t xml:space="preserve"> Grade One Magistrate's Court</w:t>
      </w:r>
      <w:r>
        <w:rPr>
          <w:rFonts w:ascii="Times New Roman" w:hAnsi="Times New Roman" w:cs="Times New Roman"/>
          <w:b/>
          <w:sz w:val="24"/>
          <w:szCs w:val="24"/>
        </w:rPr>
        <w:t xml:space="preserve"> </w:t>
      </w:r>
      <w:r w:rsidR="00491828">
        <w:rPr>
          <w:rFonts w:ascii="Times New Roman" w:hAnsi="Times New Roman" w:cs="Times New Roman"/>
          <w:b/>
          <w:sz w:val="24"/>
          <w:szCs w:val="24"/>
        </w:rPr>
        <w:t xml:space="preserve">Civil </w:t>
      </w:r>
      <w:r w:rsidR="00982D13">
        <w:rPr>
          <w:rFonts w:ascii="Times New Roman" w:hAnsi="Times New Roman" w:cs="Times New Roman"/>
          <w:b/>
          <w:sz w:val="24"/>
          <w:szCs w:val="24"/>
        </w:rPr>
        <w:t>Suit</w:t>
      </w:r>
      <w:r w:rsidR="00491828">
        <w:rPr>
          <w:rFonts w:ascii="Times New Roman" w:hAnsi="Times New Roman" w:cs="Times New Roman"/>
          <w:b/>
          <w:sz w:val="24"/>
          <w:szCs w:val="24"/>
        </w:rPr>
        <w:t xml:space="preserve"> </w:t>
      </w:r>
      <w:r>
        <w:rPr>
          <w:rFonts w:ascii="Times New Roman" w:hAnsi="Times New Roman" w:cs="Times New Roman"/>
          <w:b/>
          <w:sz w:val="24"/>
          <w:szCs w:val="24"/>
        </w:rPr>
        <w:t xml:space="preserve">No. </w:t>
      </w:r>
      <w:r w:rsidR="00B66055">
        <w:rPr>
          <w:rFonts w:ascii="Times New Roman" w:hAnsi="Times New Roman" w:cs="Times New Roman"/>
          <w:b/>
          <w:sz w:val="24"/>
          <w:szCs w:val="24"/>
        </w:rPr>
        <w:t>0</w:t>
      </w:r>
      <w:r w:rsidR="00C51BB7">
        <w:rPr>
          <w:rFonts w:ascii="Times New Roman" w:hAnsi="Times New Roman" w:cs="Times New Roman"/>
          <w:b/>
          <w:sz w:val="24"/>
          <w:szCs w:val="24"/>
        </w:rPr>
        <w:t>51</w:t>
      </w:r>
      <w:r>
        <w:rPr>
          <w:rFonts w:ascii="Times New Roman" w:hAnsi="Times New Roman" w:cs="Times New Roman"/>
          <w:b/>
          <w:sz w:val="24"/>
          <w:szCs w:val="24"/>
        </w:rPr>
        <w:t xml:space="preserve"> of 20</w:t>
      </w:r>
      <w:r w:rsidR="00C51BB7">
        <w:rPr>
          <w:rFonts w:ascii="Times New Roman" w:hAnsi="Times New Roman" w:cs="Times New Roman"/>
          <w:b/>
          <w:sz w:val="24"/>
          <w:szCs w:val="24"/>
        </w:rPr>
        <w:t>1</w:t>
      </w:r>
      <w:r w:rsidR="006F1397">
        <w:rPr>
          <w:rFonts w:ascii="Times New Roman" w:hAnsi="Times New Roman" w:cs="Times New Roman"/>
          <w:b/>
          <w:sz w:val="24"/>
          <w:szCs w:val="24"/>
        </w:rPr>
        <w:t>1</w:t>
      </w:r>
      <w:r>
        <w:rPr>
          <w:rFonts w:ascii="Times New Roman" w:hAnsi="Times New Roman" w:cs="Times New Roman"/>
          <w:b/>
          <w:sz w:val="24"/>
          <w:szCs w:val="24"/>
        </w:rPr>
        <w:t>)</w:t>
      </w:r>
    </w:p>
    <w:p w:rsidR="00982D13" w:rsidRDefault="00982D13" w:rsidP="006C5CF7">
      <w:pPr>
        <w:spacing w:after="0" w:line="360" w:lineRule="auto"/>
        <w:jc w:val="center"/>
        <w:rPr>
          <w:rFonts w:ascii="Times New Roman" w:hAnsi="Times New Roman" w:cs="Times New Roman"/>
          <w:b/>
          <w:sz w:val="24"/>
          <w:szCs w:val="24"/>
        </w:rPr>
      </w:pPr>
    </w:p>
    <w:p w:rsidR="00DC046B" w:rsidRDefault="00C51BB7" w:rsidP="003D15C0">
      <w:pPr>
        <w:pStyle w:val="ListParagraph"/>
        <w:spacing w:after="0"/>
        <w:ind w:left="0"/>
        <w:jc w:val="both"/>
        <w:rPr>
          <w:rFonts w:ascii="Times New Roman" w:hAnsi="Times New Roman" w:cs="Times New Roman"/>
          <w:b/>
          <w:sz w:val="24"/>
          <w:szCs w:val="24"/>
        </w:rPr>
      </w:pPr>
      <w:r>
        <w:rPr>
          <w:rFonts w:ascii="Times New Roman" w:hAnsi="Times New Roman" w:cs="Times New Roman"/>
          <w:b/>
          <w:sz w:val="24"/>
          <w:szCs w:val="24"/>
        </w:rPr>
        <w:t>KAGGWA MICHAEL</w:t>
      </w:r>
      <w:r w:rsidR="00DC046B">
        <w:rPr>
          <w:rFonts w:ascii="Times New Roman" w:hAnsi="Times New Roman" w:cs="Times New Roman"/>
          <w:b/>
          <w:sz w:val="24"/>
          <w:szCs w:val="24"/>
        </w:rPr>
        <w:t xml:space="preserve"> </w:t>
      </w:r>
      <w:r w:rsidR="00DC046B" w:rsidRPr="00737CF0">
        <w:rPr>
          <w:rFonts w:ascii="Times New Roman" w:hAnsi="Times New Roman" w:cs="Times New Roman"/>
          <w:b/>
          <w:sz w:val="24"/>
          <w:szCs w:val="24"/>
        </w:rPr>
        <w:t>……</w:t>
      </w:r>
      <w:r w:rsidR="00310D67">
        <w:rPr>
          <w:rFonts w:ascii="Times New Roman" w:hAnsi="Times New Roman" w:cs="Times New Roman"/>
          <w:b/>
          <w:sz w:val="24"/>
          <w:szCs w:val="24"/>
        </w:rPr>
        <w:t>…</w:t>
      </w:r>
      <w:r w:rsidR="003D15C0" w:rsidRPr="00737CF0">
        <w:rPr>
          <w:rFonts w:ascii="Times New Roman" w:hAnsi="Times New Roman" w:cs="Times New Roman"/>
          <w:b/>
          <w:sz w:val="24"/>
          <w:szCs w:val="24"/>
        </w:rPr>
        <w:t>……</w:t>
      </w:r>
      <w:r w:rsidR="003D15C0">
        <w:rPr>
          <w:rFonts w:ascii="Times New Roman" w:hAnsi="Times New Roman" w:cs="Times New Roman"/>
          <w:b/>
          <w:sz w:val="24"/>
          <w:szCs w:val="24"/>
        </w:rPr>
        <w:t>…</w:t>
      </w:r>
      <w:r w:rsidR="003D15C0" w:rsidRPr="00737CF0">
        <w:rPr>
          <w:rFonts w:ascii="Times New Roman" w:hAnsi="Times New Roman" w:cs="Times New Roman"/>
          <w:b/>
          <w:sz w:val="24"/>
          <w:szCs w:val="24"/>
        </w:rPr>
        <w:t>……</w:t>
      </w:r>
      <w:r w:rsidR="00DC046B" w:rsidRPr="00737CF0">
        <w:rPr>
          <w:rFonts w:ascii="Times New Roman" w:hAnsi="Times New Roman" w:cs="Times New Roman"/>
          <w:b/>
          <w:sz w:val="24"/>
          <w:szCs w:val="24"/>
        </w:rPr>
        <w:t>…</w:t>
      </w:r>
      <w:r w:rsidR="00B66055">
        <w:rPr>
          <w:rFonts w:ascii="Times New Roman" w:hAnsi="Times New Roman" w:cs="Times New Roman"/>
          <w:b/>
          <w:sz w:val="24"/>
          <w:szCs w:val="24"/>
        </w:rPr>
        <w:t>…</w:t>
      </w:r>
      <w:r w:rsidR="00B66055" w:rsidRPr="00737CF0">
        <w:rPr>
          <w:rFonts w:ascii="Times New Roman" w:hAnsi="Times New Roman" w:cs="Times New Roman"/>
          <w:b/>
          <w:sz w:val="24"/>
          <w:szCs w:val="24"/>
        </w:rPr>
        <w:t>……</w:t>
      </w:r>
      <w:r w:rsidR="00B66055">
        <w:rPr>
          <w:rFonts w:ascii="Times New Roman" w:hAnsi="Times New Roman" w:cs="Times New Roman"/>
          <w:b/>
          <w:sz w:val="24"/>
          <w:szCs w:val="24"/>
        </w:rPr>
        <w:t>…</w:t>
      </w:r>
      <w:r w:rsidR="00DC046B" w:rsidRPr="00737CF0">
        <w:rPr>
          <w:rFonts w:ascii="Times New Roman" w:hAnsi="Times New Roman" w:cs="Times New Roman"/>
          <w:b/>
          <w:sz w:val="24"/>
          <w:szCs w:val="24"/>
        </w:rPr>
        <w:t>…</w:t>
      </w:r>
      <w:r w:rsidR="00DC046B">
        <w:rPr>
          <w:rFonts w:ascii="Times New Roman" w:hAnsi="Times New Roman" w:cs="Times New Roman"/>
          <w:b/>
          <w:sz w:val="24"/>
          <w:szCs w:val="24"/>
        </w:rPr>
        <w:t>…</w:t>
      </w:r>
      <w:r w:rsidR="00DC046B" w:rsidRPr="00737CF0">
        <w:rPr>
          <w:rFonts w:ascii="Times New Roman" w:hAnsi="Times New Roman" w:cs="Times New Roman"/>
          <w:b/>
          <w:sz w:val="24"/>
          <w:szCs w:val="24"/>
        </w:rPr>
        <w:t>……</w:t>
      </w:r>
      <w:r w:rsidR="00DC046B">
        <w:rPr>
          <w:rFonts w:ascii="Times New Roman" w:hAnsi="Times New Roman" w:cs="Times New Roman"/>
          <w:b/>
          <w:sz w:val="24"/>
          <w:szCs w:val="24"/>
        </w:rPr>
        <w:t>…</w:t>
      </w:r>
      <w:r w:rsidR="00DC046B" w:rsidRPr="00737CF0">
        <w:rPr>
          <w:rFonts w:ascii="Times New Roman" w:hAnsi="Times New Roman" w:cs="Times New Roman"/>
          <w:b/>
          <w:sz w:val="24"/>
          <w:szCs w:val="24"/>
        </w:rPr>
        <w:t>…</w:t>
      </w:r>
      <w:r w:rsidR="003D15C0">
        <w:rPr>
          <w:rFonts w:ascii="Times New Roman" w:hAnsi="Times New Roman" w:cs="Times New Roman"/>
          <w:b/>
          <w:sz w:val="24"/>
          <w:szCs w:val="24"/>
        </w:rPr>
        <w:t xml:space="preserve">……… </w:t>
      </w:r>
      <w:r w:rsidR="00310D67">
        <w:rPr>
          <w:rFonts w:ascii="Times New Roman" w:hAnsi="Times New Roman" w:cs="Times New Roman"/>
          <w:b/>
          <w:sz w:val="24"/>
          <w:szCs w:val="24"/>
        </w:rPr>
        <w:t>APP</w:t>
      </w:r>
      <w:r w:rsidR="00982D13">
        <w:rPr>
          <w:rFonts w:ascii="Times New Roman" w:hAnsi="Times New Roman" w:cs="Times New Roman"/>
          <w:b/>
          <w:sz w:val="24"/>
          <w:szCs w:val="24"/>
        </w:rPr>
        <w:t>ELLANT</w:t>
      </w:r>
    </w:p>
    <w:p w:rsidR="00310D67" w:rsidRDefault="00310D67" w:rsidP="003D15C0">
      <w:pPr>
        <w:pStyle w:val="ListParagraph"/>
        <w:spacing w:after="0"/>
        <w:ind w:left="0"/>
        <w:jc w:val="both"/>
        <w:rPr>
          <w:rFonts w:ascii="Times New Roman" w:hAnsi="Times New Roman" w:cs="Times New Roman"/>
          <w:b/>
          <w:sz w:val="24"/>
          <w:szCs w:val="24"/>
        </w:rPr>
      </w:pPr>
    </w:p>
    <w:p w:rsidR="00310D67" w:rsidRDefault="00310D67" w:rsidP="00310D67">
      <w:pPr>
        <w:pStyle w:val="ListParagraph"/>
        <w:spacing w:after="0"/>
        <w:jc w:val="center"/>
        <w:rPr>
          <w:rFonts w:ascii="Times New Roman" w:hAnsi="Times New Roman" w:cs="Times New Roman"/>
          <w:b/>
          <w:sz w:val="24"/>
          <w:szCs w:val="24"/>
        </w:rPr>
      </w:pPr>
      <w:r w:rsidRPr="00BB1C6D">
        <w:rPr>
          <w:rFonts w:ascii="Times New Roman" w:hAnsi="Times New Roman" w:cs="Times New Roman"/>
          <w:b/>
          <w:sz w:val="24"/>
          <w:szCs w:val="24"/>
        </w:rPr>
        <w:t>VERSUS</w:t>
      </w:r>
    </w:p>
    <w:p w:rsidR="00C51BB7" w:rsidRDefault="00C51BB7" w:rsidP="00C51BB7">
      <w:pPr>
        <w:pStyle w:val="ListParagraph"/>
        <w:numPr>
          <w:ilvl w:val="0"/>
          <w:numId w:val="22"/>
        </w:numPr>
        <w:spacing w:after="0"/>
        <w:ind w:left="0" w:firstLine="0"/>
        <w:jc w:val="both"/>
        <w:rPr>
          <w:rFonts w:ascii="Times New Roman" w:hAnsi="Times New Roman" w:cs="Times New Roman"/>
          <w:b/>
          <w:sz w:val="24"/>
          <w:szCs w:val="24"/>
        </w:rPr>
      </w:pPr>
      <w:r>
        <w:rPr>
          <w:rFonts w:ascii="Times New Roman" w:hAnsi="Times New Roman" w:cs="Times New Roman"/>
          <w:b/>
          <w:sz w:val="24"/>
          <w:szCs w:val="24"/>
        </w:rPr>
        <w:t>OLAL MARK</w:t>
      </w:r>
      <w:r>
        <w:rPr>
          <w:rFonts w:ascii="Times New Roman" w:hAnsi="Times New Roman" w:cs="Times New Roman"/>
          <w:b/>
          <w:sz w:val="24"/>
          <w:szCs w:val="24"/>
        </w:rPr>
        <w:tab/>
      </w:r>
      <w:r>
        <w:rPr>
          <w:rFonts w:ascii="Times New Roman" w:hAnsi="Times New Roman" w:cs="Times New Roman"/>
          <w:b/>
          <w:sz w:val="24"/>
          <w:szCs w:val="24"/>
        </w:rPr>
        <w:tab/>
        <w:t>}</w:t>
      </w:r>
      <w:r w:rsidR="00310D67">
        <w:rPr>
          <w:rFonts w:ascii="Times New Roman" w:hAnsi="Times New Roman" w:cs="Times New Roman"/>
          <w:b/>
          <w:sz w:val="24"/>
          <w:szCs w:val="24"/>
        </w:rPr>
        <w:tab/>
        <w:t xml:space="preserve"> </w:t>
      </w:r>
    </w:p>
    <w:p w:rsidR="00C51BB7" w:rsidRDefault="00C51BB7" w:rsidP="00C51BB7">
      <w:pPr>
        <w:pStyle w:val="ListParagraph"/>
        <w:numPr>
          <w:ilvl w:val="0"/>
          <w:numId w:val="22"/>
        </w:numPr>
        <w:spacing w:after="0"/>
        <w:ind w:left="0" w:firstLine="0"/>
        <w:jc w:val="both"/>
        <w:rPr>
          <w:rFonts w:ascii="Times New Roman" w:hAnsi="Times New Roman" w:cs="Times New Roman"/>
          <w:b/>
          <w:sz w:val="24"/>
          <w:szCs w:val="24"/>
        </w:rPr>
      </w:pPr>
      <w:r>
        <w:rPr>
          <w:rFonts w:ascii="Times New Roman" w:hAnsi="Times New Roman" w:cs="Times New Roman"/>
          <w:b/>
          <w:sz w:val="24"/>
          <w:szCs w:val="24"/>
        </w:rPr>
        <w:t>OLAL JIMMY</w:t>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r>
    </w:p>
    <w:p w:rsidR="00C51BB7" w:rsidRDefault="00C51BB7" w:rsidP="00C51BB7">
      <w:pPr>
        <w:pStyle w:val="ListParagraph"/>
        <w:numPr>
          <w:ilvl w:val="0"/>
          <w:numId w:val="22"/>
        </w:numPr>
        <w:spacing w:after="0"/>
        <w:ind w:left="0" w:firstLine="0"/>
        <w:jc w:val="both"/>
        <w:rPr>
          <w:rFonts w:ascii="Times New Roman" w:hAnsi="Times New Roman" w:cs="Times New Roman"/>
          <w:b/>
          <w:sz w:val="24"/>
          <w:szCs w:val="24"/>
        </w:rPr>
      </w:pPr>
      <w:r>
        <w:rPr>
          <w:rFonts w:ascii="Times New Roman" w:hAnsi="Times New Roman" w:cs="Times New Roman"/>
          <w:b/>
          <w:sz w:val="24"/>
          <w:szCs w:val="24"/>
        </w:rPr>
        <w:t>TABAN PAUL</w:t>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r>
    </w:p>
    <w:p w:rsidR="00310D67" w:rsidRDefault="00C51BB7" w:rsidP="00C51BB7">
      <w:pPr>
        <w:pStyle w:val="ListParagraph"/>
        <w:numPr>
          <w:ilvl w:val="0"/>
          <w:numId w:val="22"/>
        </w:numPr>
        <w:spacing w:after="0"/>
        <w:ind w:left="0" w:firstLine="0"/>
        <w:jc w:val="both"/>
        <w:rPr>
          <w:rFonts w:ascii="Times New Roman" w:hAnsi="Times New Roman" w:cs="Times New Roman"/>
          <w:b/>
          <w:sz w:val="24"/>
          <w:szCs w:val="24"/>
        </w:rPr>
      </w:pPr>
      <w:r>
        <w:rPr>
          <w:rFonts w:ascii="Times New Roman" w:hAnsi="Times New Roman" w:cs="Times New Roman"/>
          <w:b/>
          <w:sz w:val="24"/>
          <w:szCs w:val="24"/>
        </w:rPr>
        <w:t>OOLA PETER</w:t>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r>
      <w:r w:rsidR="00310D67">
        <w:rPr>
          <w:rFonts w:ascii="Times New Roman" w:hAnsi="Times New Roman" w:cs="Times New Roman"/>
          <w:b/>
          <w:sz w:val="24"/>
          <w:szCs w:val="24"/>
        </w:rPr>
        <w:t xml:space="preserve"> </w:t>
      </w:r>
      <w:r w:rsidR="00310D67" w:rsidRPr="00737CF0">
        <w:rPr>
          <w:rFonts w:ascii="Times New Roman" w:hAnsi="Times New Roman" w:cs="Times New Roman"/>
          <w:b/>
          <w:sz w:val="24"/>
          <w:szCs w:val="24"/>
        </w:rPr>
        <w:t>…………</w:t>
      </w:r>
      <w:r w:rsidR="00310D67">
        <w:rPr>
          <w:rFonts w:ascii="Times New Roman" w:hAnsi="Times New Roman" w:cs="Times New Roman"/>
          <w:b/>
          <w:sz w:val="24"/>
          <w:szCs w:val="24"/>
        </w:rPr>
        <w:t>…</w:t>
      </w:r>
      <w:r w:rsidR="00310D67" w:rsidRPr="00737CF0">
        <w:rPr>
          <w:rFonts w:ascii="Times New Roman" w:hAnsi="Times New Roman" w:cs="Times New Roman"/>
          <w:b/>
          <w:sz w:val="24"/>
          <w:szCs w:val="24"/>
        </w:rPr>
        <w:t>……</w:t>
      </w:r>
      <w:r w:rsidR="00310D67">
        <w:rPr>
          <w:rFonts w:ascii="Times New Roman" w:hAnsi="Times New Roman" w:cs="Times New Roman"/>
          <w:b/>
          <w:sz w:val="24"/>
          <w:szCs w:val="24"/>
        </w:rPr>
        <w:t>…</w:t>
      </w:r>
      <w:r w:rsidR="00310D67" w:rsidRPr="00737CF0">
        <w:rPr>
          <w:rFonts w:ascii="Times New Roman" w:hAnsi="Times New Roman" w:cs="Times New Roman"/>
          <w:b/>
          <w:sz w:val="24"/>
          <w:szCs w:val="24"/>
        </w:rPr>
        <w:t>……</w:t>
      </w:r>
      <w:r w:rsidR="00310D67">
        <w:rPr>
          <w:rFonts w:ascii="Times New Roman" w:hAnsi="Times New Roman" w:cs="Times New Roman"/>
          <w:b/>
          <w:sz w:val="24"/>
          <w:szCs w:val="24"/>
        </w:rPr>
        <w:t>…… RESPONDENT</w:t>
      </w:r>
      <w:r>
        <w:rPr>
          <w:rFonts w:ascii="Times New Roman" w:hAnsi="Times New Roman" w:cs="Times New Roman"/>
          <w:b/>
          <w:sz w:val="24"/>
          <w:szCs w:val="24"/>
        </w:rPr>
        <w:t>S</w:t>
      </w:r>
      <w:r w:rsidR="00310D67">
        <w:rPr>
          <w:rFonts w:ascii="Times New Roman" w:hAnsi="Times New Roman" w:cs="Times New Roman"/>
          <w:b/>
          <w:sz w:val="24"/>
          <w:szCs w:val="24"/>
        </w:rPr>
        <w:t xml:space="preserve"> </w:t>
      </w:r>
    </w:p>
    <w:p w:rsidR="00C51BB7" w:rsidRDefault="00C51BB7" w:rsidP="00C51BB7">
      <w:pPr>
        <w:pStyle w:val="ListParagraph"/>
        <w:numPr>
          <w:ilvl w:val="0"/>
          <w:numId w:val="22"/>
        </w:numPr>
        <w:spacing w:after="0"/>
        <w:ind w:left="0" w:firstLine="0"/>
        <w:jc w:val="both"/>
        <w:rPr>
          <w:rFonts w:ascii="Times New Roman" w:hAnsi="Times New Roman" w:cs="Times New Roman"/>
          <w:b/>
          <w:sz w:val="24"/>
          <w:szCs w:val="24"/>
        </w:rPr>
      </w:pPr>
      <w:r>
        <w:rPr>
          <w:rFonts w:ascii="Times New Roman" w:hAnsi="Times New Roman" w:cs="Times New Roman"/>
          <w:b/>
          <w:sz w:val="24"/>
          <w:szCs w:val="24"/>
        </w:rPr>
        <w:t>KOMAKECH MARIO</w:t>
      </w:r>
      <w:r>
        <w:rPr>
          <w:rFonts w:ascii="Times New Roman" w:hAnsi="Times New Roman" w:cs="Times New Roman"/>
          <w:b/>
          <w:sz w:val="24"/>
          <w:szCs w:val="24"/>
        </w:rPr>
        <w:tab/>
        <w:t>}</w:t>
      </w:r>
    </w:p>
    <w:p w:rsidR="00C51BB7" w:rsidRDefault="00C51BB7" w:rsidP="00C51BB7">
      <w:pPr>
        <w:pStyle w:val="ListParagraph"/>
        <w:numPr>
          <w:ilvl w:val="0"/>
          <w:numId w:val="22"/>
        </w:numPr>
        <w:spacing w:after="0"/>
        <w:ind w:left="0" w:firstLine="0"/>
        <w:jc w:val="both"/>
        <w:rPr>
          <w:rFonts w:ascii="Times New Roman" w:hAnsi="Times New Roman" w:cs="Times New Roman"/>
          <w:b/>
          <w:sz w:val="24"/>
          <w:szCs w:val="24"/>
        </w:rPr>
      </w:pPr>
      <w:r>
        <w:rPr>
          <w:rFonts w:ascii="Times New Roman" w:hAnsi="Times New Roman" w:cs="Times New Roman"/>
          <w:b/>
          <w:sz w:val="24"/>
          <w:szCs w:val="24"/>
        </w:rPr>
        <w:t>OCAN CHARLES</w:t>
      </w:r>
      <w:r>
        <w:rPr>
          <w:rFonts w:ascii="Times New Roman" w:hAnsi="Times New Roman" w:cs="Times New Roman"/>
          <w:b/>
          <w:sz w:val="24"/>
          <w:szCs w:val="24"/>
        </w:rPr>
        <w:tab/>
      </w:r>
      <w:r>
        <w:rPr>
          <w:rFonts w:ascii="Times New Roman" w:hAnsi="Times New Roman" w:cs="Times New Roman"/>
          <w:b/>
          <w:sz w:val="24"/>
          <w:szCs w:val="24"/>
        </w:rPr>
        <w:tab/>
        <w:t>}</w:t>
      </w:r>
    </w:p>
    <w:p w:rsidR="00C51BB7" w:rsidRDefault="00C51BB7" w:rsidP="00C51BB7">
      <w:pPr>
        <w:pStyle w:val="ListParagraph"/>
        <w:numPr>
          <w:ilvl w:val="0"/>
          <w:numId w:val="22"/>
        </w:numPr>
        <w:spacing w:after="0"/>
        <w:ind w:left="0" w:firstLine="0"/>
        <w:jc w:val="both"/>
        <w:rPr>
          <w:rFonts w:ascii="Times New Roman" w:hAnsi="Times New Roman" w:cs="Times New Roman"/>
          <w:b/>
          <w:sz w:val="24"/>
          <w:szCs w:val="24"/>
        </w:rPr>
      </w:pPr>
      <w:r>
        <w:rPr>
          <w:rFonts w:ascii="Times New Roman" w:hAnsi="Times New Roman" w:cs="Times New Roman"/>
          <w:b/>
          <w:sz w:val="24"/>
          <w:szCs w:val="24"/>
        </w:rPr>
        <w:t xml:space="preserve">ANJELINA </w:t>
      </w:r>
      <w:r w:rsidR="0040494E">
        <w:rPr>
          <w:rFonts w:ascii="Times New Roman" w:hAnsi="Times New Roman" w:cs="Times New Roman"/>
          <w:b/>
          <w:sz w:val="24"/>
          <w:szCs w:val="24"/>
        </w:rPr>
        <w:t>L</w:t>
      </w:r>
      <w:r>
        <w:rPr>
          <w:rFonts w:ascii="Times New Roman" w:hAnsi="Times New Roman" w:cs="Times New Roman"/>
          <w:b/>
          <w:sz w:val="24"/>
          <w:szCs w:val="24"/>
        </w:rPr>
        <w:t>ATTO</w:t>
      </w:r>
      <w:r>
        <w:rPr>
          <w:rFonts w:ascii="Times New Roman" w:hAnsi="Times New Roman" w:cs="Times New Roman"/>
          <w:b/>
          <w:sz w:val="24"/>
          <w:szCs w:val="24"/>
        </w:rPr>
        <w:tab/>
      </w:r>
      <w:r>
        <w:rPr>
          <w:rFonts w:ascii="Times New Roman" w:hAnsi="Times New Roman" w:cs="Times New Roman"/>
          <w:b/>
          <w:sz w:val="24"/>
          <w:szCs w:val="24"/>
        </w:rPr>
        <w:tab/>
        <w:t>}</w:t>
      </w:r>
    </w:p>
    <w:p w:rsidR="00097490" w:rsidRDefault="00097490" w:rsidP="00097490">
      <w:pPr>
        <w:pStyle w:val="ListParagraph"/>
        <w:spacing w:after="0"/>
        <w:ind w:left="360"/>
        <w:jc w:val="both"/>
        <w:rPr>
          <w:rFonts w:ascii="Times New Roman" w:hAnsi="Times New Roman" w:cs="Times New Roman"/>
          <w:b/>
          <w:sz w:val="24"/>
          <w:szCs w:val="24"/>
        </w:rPr>
      </w:pPr>
    </w:p>
    <w:p w:rsidR="006C5CF7" w:rsidRDefault="006C5CF7" w:rsidP="00097490">
      <w:pPr>
        <w:pStyle w:val="ListParagraph"/>
        <w:spacing w:after="0"/>
        <w:ind w:left="0"/>
        <w:jc w:val="both"/>
        <w:rPr>
          <w:rFonts w:ascii="Times New Roman" w:hAnsi="Times New Roman" w:cs="Times New Roman"/>
          <w:b/>
          <w:sz w:val="24"/>
          <w:szCs w:val="24"/>
        </w:rPr>
      </w:pPr>
      <w:r>
        <w:rPr>
          <w:rFonts w:ascii="Times New Roman" w:hAnsi="Times New Roman" w:cs="Times New Roman"/>
          <w:b/>
          <w:sz w:val="24"/>
          <w:szCs w:val="24"/>
        </w:rPr>
        <w:t>Before: Hon Justice Stephen Mubiru.</w:t>
      </w:r>
    </w:p>
    <w:p w:rsidR="007914F7" w:rsidRDefault="007914F7" w:rsidP="007914F7">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JUDGMENT</w:t>
      </w:r>
    </w:p>
    <w:p w:rsidR="00BD2ADF" w:rsidRDefault="00BD2ADF" w:rsidP="007914F7">
      <w:pPr>
        <w:spacing w:after="0"/>
        <w:jc w:val="center"/>
        <w:rPr>
          <w:rFonts w:ascii="Times New Roman" w:hAnsi="Times New Roman" w:cs="Times New Roman"/>
          <w:b/>
          <w:sz w:val="24"/>
          <w:szCs w:val="24"/>
          <w:u w:val="single"/>
        </w:rPr>
      </w:pPr>
    </w:p>
    <w:p w:rsidR="007914F7" w:rsidRDefault="007914F7" w:rsidP="00BD2ADF">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The respondent</w:t>
      </w:r>
      <w:r w:rsidR="00EE3EA3">
        <w:rPr>
          <w:rFonts w:ascii="Times New Roman" w:hAnsi="Times New Roman" w:cs="Times New Roman"/>
          <w:sz w:val="24"/>
          <w:szCs w:val="24"/>
        </w:rPr>
        <w:t>s jointly and severally</w:t>
      </w:r>
      <w:r>
        <w:rPr>
          <w:rFonts w:ascii="Times New Roman" w:hAnsi="Times New Roman" w:cs="Times New Roman"/>
          <w:sz w:val="24"/>
          <w:szCs w:val="24"/>
        </w:rPr>
        <w:t xml:space="preserve"> sued the appellant for </w:t>
      </w:r>
      <w:r w:rsidR="00EE3EA3">
        <w:rPr>
          <w:rFonts w:ascii="Times New Roman" w:hAnsi="Times New Roman" w:cs="Times New Roman"/>
          <w:sz w:val="24"/>
          <w:szCs w:val="24"/>
        </w:rPr>
        <w:t>a declaration that they are joint owners of a plot of land measuring approximately two and a half acres located at</w:t>
      </w:r>
      <w:r>
        <w:rPr>
          <w:rFonts w:ascii="Times New Roman" w:hAnsi="Times New Roman" w:cs="Times New Roman"/>
          <w:sz w:val="24"/>
          <w:szCs w:val="24"/>
        </w:rPr>
        <w:t xml:space="preserve">, </w:t>
      </w:r>
      <w:r w:rsidR="00EE3EA3">
        <w:rPr>
          <w:rFonts w:ascii="Times New Roman" w:hAnsi="Times New Roman" w:cs="Times New Roman"/>
          <w:sz w:val="24"/>
          <w:szCs w:val="24"/>
        </w:rPr>
        <w:t xml:space="preserve">Kanyagoga "A" sub ward, Kanyagoga "A" Parish, Bar-Dege Division, Gulu Municipality </w:t>
      </w:r>
      <w:r>
        <w:rPr>
          <w:rFonts w:ascii="Times New Roman" w:hAnsi="Times New Roman" w:cs="Times New Roman"/>
          <w:sz w:val="24"/>
          <w:szCs w:val="24"/>
        </w:rPr>
        <w:t xml:space="preserve">general damages for trespass to land, a </w:t>
      </w:r>
      <w:r w:rsidR="00EE3EA3" w:rsidRPr="00BD2ADF">
        <w:rPr>
          <w:rFonts w:ascii="Times New Roman" w:hAnsi="Times New Roman" w:cs="Times New Roman"/>
          <w:i/>
          <w:sz w:val="24"/>
          <w:szCs w:val="24"/>
        </w:rPr>
        <w:t>mesne profits</w:t>
      </w:r>
      <w:r w:rsidR="00EE3EA3">
        <w:rPr>
          <w:rFonts w:ascii="Times New Roman" w:hAnsi="Times New Roman" w:cs="Times New Roman"/>
          <w:sz w:val="24"/>
          <w:szCs w:val="24"/>
        </w:rPr>
        <w:t xml:space="preserve">, a </w:t>
      </w:r>
      <w:r>
        <w:rPr>
          <w:rFonts w:ascii="Times New Roman" w:hAnsi="Times New Roman" w:cs="Times New Roman"/>
          <w:sz w:val="24"/>
          <w:szCs w:val="24"/>
        </w:rPr>
        <w:t xml:space="preserve">permanent injunction, </w:t>
      </w:r>
      <w:r w:rsidR="00EE3EA3">
        <w:rPr>
          <w:rFonts w:ascii="Times New Roman" w:hAnsi="Times New Roman" w:cs="Times New Roman"/>
          <w:sz w:val="24"/>
          <w:szCs w:val="24"/>
        </w:rPr>
        <w:t xml:space="preserve">interest </w:t>
      </w:r>
      <w:r>
        <w:rPr>
          <w:rFonts w:ascii="Times New Roman" w:hAnsi="Times New Roman" w:cs="Times New Roman"/>
          <w:sz w:val="24"/>
          <w:szCs w:val="24"/>
        </w:rPr>
        <w:t>and costs.</w:t>
      </w:r>
    </w:p>
    <w:p w:rsidR="00BD2ADF" w:rsidRDefault="00BD2ADF" w:rsidP="00BD2ADF">
      <w:pPr>
        <w:pStyle w:val="ListParagraph"/>
        <w:spacing w:after="0" w:line="360" w:lineRule="auto"/>
        <w:ind w:left="0"/>
        <w:jc w:val="both"/>
        <w:rPr>
          <w:rFonts w:ascii="Times New Roman" w:hAnsi="Times New Roman" w:cs="Times New Roman"/>
          <w:sz w:val="24"/>
          <w:szCs w:val="24"/>
        </w:rPr>
      </w:pPr>
    </w:p>
    <w:p w:rsidR="007914F7" w:rsidRDefault="00EE3EA3" w:rsidP="00BD2ADF">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Their case was that the first respondent's father Okumu Lagwee acquired the land in 1935 as vacant land under customary tenure. During 1967, the first respondent's elder brother, Martino Oyugi began paying ground rent for the land to Gulu Town Council under a Temporary Occupation Licence. The first respondent continued with those payments until the year 1995 when they were abolished. During December, 2009 the appellant approached him with a proposal to exchange that plot for one in Atiak Trading Centre, which the first respondent rejected. The appellant nevertheless began trespassing onto the land</w:t>
      </w:r>
      <w:r w:rsidR="00DF1CC9">
        <w:rPr>
          <w:rFonts w:ascii="Times New Roman" w:hAnsi="Times New Roman" w:cs="Times New Roman"/>
          <w:sz w:val="24"/>
          <w:szCs w:val="24"/>
        </w:rPr>
        <w:t xml:space="preserve"> and brought his mother, Margaret Ngula, to live </w:t>
      </w:r>
      <w:r w:rsidR="009A0E0F">
        <w:rPr>
          <w:rFonts w:ascii="Times New Roman" w:hAnsi="Times New Roman" w:cs="Times New Roman"/>
          <w:sz w:val="24"/>
          <w:szCs w:val="24"/>
        </w:rPr>
        <w:t>o</w:t>
      </w:r>
      <w:r w:rsidR="00DF1CC9">
        <w:rPr>
          <w:rFonts w:ascii="Times New Roman" w:hAnsi="Times New Roman" w:cs="Times New Roman"/>
          <w:sz w:val="24"/>
          <w:szCs w:val="24"/>
        </w:rPr>
        <w:t xml:space="preserve">n the land. </w:t>
      </w:r>
      <w:r>
        <w:rPr>
          <w:rFonts w:ascii="Times New Roman" w:hAnsi="Times New Roman" w:cs="Times New Roman"/>
          <w:sz w:val="24"/>
          <w:szCs w:val="24"/>
        </w:rPr>
        <w:t xml:space="preserve"> </w:t>
      </w:r>
      <w:r w:rsidR="00DF1CC9">
        <w:rPr>
          <w:rFonts w:ascii="Times New Roman" w:hAnsi="Times New Roman" w:cs="Times New Roman"/>
          <w:sz w:val="24"/>
          <w:szCs w:val="24"/>
        </w:rPr>
        <w:t xml:space="preserve">The appellant and his mother have since refused to vacate the land and have instead laid false claims of ownership of the land. They have as well falsified and mutilated diverse documents to support their baseless claim. They have since inhibited the </w:t>
      </w:r>
      <w:r w:rsidR="00DF1CC9">
        <w:rPr>
          <w:rFonts w:ascii="Times New Roman" w:hAnsi="Times New Roman" w:cs="Times New Roman"/>
          <w:sz w:val="24"/>
          <w:szCs w:val="24"/>
        </w:rPr>
        <w:lastRenderedPageBreak/>
        <w:t xml:space="preserve">respondents' process of acquiring registered title to the land and prevented the respondents from having quiet enjoyment of the land. </w:t>
      </w:r>
    </w:p>
    <w:p w:rsidR="00BD2ADF" w:rsidRDefault="00BD2ADF" w:rsidP="00BD2ADF">
      <w:pPr>
        <w:pStyle w:val="ListParagraph"/>
        <w:spacing w:after="0" w:line="360" w:lineRule="auto"/>
        <w:ind w:left="0"/>
        <w:jc w:val="both"/>
        <w:rPr>
          <w:rFonts w:ascii="Times New Roman" w:hAnsi="Times New Roman" w:cs="Times New Roman"/>
          <w:sz w:val="24"/>
          <w:szCs w:val="24"/>
        </w:rPr>
      </w:pPr>
    </w:p>
    <w:p w:rsidR="007914F7" w:rsidRDefault="00BD2ADF" w:rsidP="00BD2ADF">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In his written statement of defence, t</w:t>
      </w:r>
      <w:r w:rsidR="007914F7">
        <w:rPr>
          <w:rFonts w:ascii="Times New Roman" w:hAnsi="Times New Roman" w:cs="Times New Roman"/>
          <w:sz w:val="24"/>
          <w:szCs w:val="24"/>
        </w:rPr>
        <w:t xml:space="preserve">he appellant denied the claim in toto. </w:t>
      </w:r>
      <w:r>
        <w:rPr>
          <w:rFonts w:ascii="Times New Roman" w:hAnsi="Times New Roman" w:cs="Times New Roman"/>
          <w:sz w:val="24"/>
          <w:szCs w:val="24"/>
        </w:rPr>
        <w:t>His case was that t</w:t>
      </w:r>
      <w:r w:rsidR="00BD7DFC">
        <w:rPr>
          <w:rFonts w:ascii="Times New Roman" w:hAnsi="Times New Roman" w:cs="Times New Roman"/>
          <w:sz w:val="24"/>
          <w:szCs w:val="24"/>
        </w:rPr>
        <w:t>he respondents are not customary owners of the land as claimed. The appellant was born and raised on this land but the respondents grabbed it from him by the use of force. He therefore c</w:t>
      </w:r>
      <w:r w:rsidR="00DB3620">
        <w:rPr>
          <w:rFonts w:ascii="Times New Roman" w:hAnsi="Times New Roman" w:cs="Times New Roman"/>
          <w:sz w:val="24"/>
          <w:szCs w:val="24"/>
        </w:rPr>
        <w:t>ounterclaimed for a declaration that he owns plot 117 Kanyagoga "A" sub ward, Kanyagoga "A" Parish, Bar-Dege Division, Gulu Municipality, measuring approximately three and a half acres, an eviction order, a permanent injunction, general damages, interest and costs</w:t>
      </w:r>
      <w:r w:rsidR="007914F7">
        <w:rPr>
          <w:rFonts w:ascii="Times New Roman" w:hAnsi="Times New Roman" w:cs="Times New Roman"/>
          <w:sz w:val="24"/>
          <w:szCs w:val="24"/>
        </w:rPr>
        <w:t xml:space="preserve">. </w:t>
      </w:r>
    </w:p>
    <w:p w:rsidR="00BD2ADF" w:rsidRDefault="00BD2ADF" w:rsidP="00BD2ADF">
      <w:pPr>
        <w:pStyle w:val="ListParagraph"/>
        <w:spacing w:after="0" w:line="360" w:lineRule="auto"/>
        <w:ind w:left="0"/>
        <w:jc w:val="both"/>
        <w:rPr>
          <w:rFonts w:ascii="Times New Roman" w:hAnsi="Times New Roman" w:cs="Times New Roman"/>
          <w:sz w:val="24"/>
          <w:szCs w:val="24"/>
        </w:rPr>
      </w:pPr>
    </w:p>
    <w:p w:rsidR="00DB3620" w:rsidRDefault="00DB3620" w:rsidP="00BD2ADF">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His case </w:t>
      </w:r>
      <w:r w:rsidR="00BD2ADF">
        <w:rPr>
          <w:rFonts w:ascii="Times New Roman" w:hAnsi="Times New Roman" w:cs="Times New Roman"/>
          <w:sz w:val="24"/>
          <w:szCs w:val="24"/>
        </w:rPr>
        <w:t xml:space="preserve">in the counterclaim </w:t>
      </w:r>
      <w:r>
        <w:rPr>
          <w:rFonts w:ascii="Times New Roman" w:hAnsi="Times New Roman" w:cs="Times New Roman"/>
          <w:sz w:val="24"/>
          <w:szCs w:val="24"/>
        </w:rPr>
        <w:t xml:space="preserve">was that he is the administrator of the estate of his late father, Lazaro Okumu, comprising the plot in dispute. </w:t>
      </w:r>
      <w:r w:rsidR="00B72775">
        <w:rPr>
          <w:rFonts w:ascii="Times New Roman" w:hAnsi="Times New Roman" w:cs="Times New Roman"/>
          <w:sz w:val="24"/>
          <w:szCs w:val="24"/>
        </w:rPr>
        <w:t xml:space="preserve">His father officially bought the plot in 1954 from </w:t>
      </w:r>
      <w:r w:rsidR="00BD7DFC">
        <w:rPr>
          <w:rFonts w:ascii="Times New Roman" w:hAnsi="Times New Roman" w:cs="Times New Roman"/>
          <w:sz w:val="24"/>
          <w:szCs w:val="24"/>
        </w:rPr>
        <w:t>his maternal uncle</w:t>
      </w:r>
      <w:r w:rsidR="00B72775">
        <w:rPr>
          <w:rFonts w:ascii="Times New Roman" w:hAnsi="Times New Roman" w:cs="Times New Roman"/>
          <w:sz w:val="24"/>
          <w:szCs w:val="24"/>
        </w:rPr>
        <w:t xml:space="preserve"> Lodu Yohana although he had been living on it as way back as 1924</w:t>
      </w:r>
      <w:r w:rsidR="00BD7DFC">
        <w:rPr>
          <w:rFonts w:ascii="Times New Roman" w:hAnsi="Times New Roman" w:cs="Times New Roman"/>
          <w:sz w:val="24"/>
          <w:szCs w:val="24"/>
        </w:rPr>
        <w:t xml:space="preserve"> before he was joined by the appellant's mother in 1950</w:t>
      </w:r>
      <w:r w:rsidR="00B72775">
        <w:rPr>
          <w:rFonts w:ascii="Times New Roman" w:hAnsi="Times New Roman" w:cs="Times New Roman"/>
          <w:sz w:val="24"/>
          <w:szCs w:val="24"/>
        </w:rPr>
        <w:t xml:space="preserve">. It was eventually assigned plot No. 117 during the year 1967 by the then Gulu Town Council. His father paid ground tax for the plot from then until its abolition in 1995. </w:t>
      </w:r>
      <w:r>
        <w:rPr>
          <w:rFonts w:ascii="Times New Roman" w:hAnsi="Times New Roman" w:cs="Times New Roman"/>
          <w:sz w:val="24"/>
          <w:szCs w:val="24"/>
        </w:rPr>
        <w:t xml:space="preserve">He and his family lived peacefully on that plot until the year 2015 when the respondents began trespassing on it. </w:t>
      </w:r>
      <w:r w:rsidR="00BB0B9B">
        <w:rPr>
          <w:rFonts w:ascii="Times New Roman" w:hAnsi="Times New Roman" w:cs="Times New Roman"/>
          <w:sz w:val="24"/>
          <w:szCs w:val="24"/>
        </w:rPr>
        <w:t xml:space="preserve">They eventually took over the land after destruction of houses and crops belonging to the appellant and his family and have since denied the appellant and his family access to the land. </w:t>
      </w:r>
      <w:r w:rsidR="00B72775">
        <w:rPr>
          <w:rFonts w:ascii="Times New Roman" w:hAnsi="Times New Roman" w:cs="Times New Roman"/>
          <w:sz w:val="24"/>
          <w:szCs w:val="24"/>
        </w:rPr>
        <w:t>The 3</w:t>
      </w:r>
      <w:r w:rsidR="00B72775" w:rsidRPr="00B72775">
        <w:rPr>
          <w:rFonts w:ascii="Times New Roman" w:hAnsi="Times New Roman" w:cs="Times New Roman"/>
          <w:sz w:val="24"/>
          <w:szCs w:val="24"/>
          <w:vertAlign w:val="superscript"/>
        </w:rPr>
        <w:t>rd</w:t>
      </w:r>
      <w:r w:rsidR="00B72775">
        <w:rPr>
          <w:rFonts w:ascii="Times New Roman" w:hAnsi="Times New Roman" w:cs="Times New Roman"/>
          <w:sz w:val="24"/>
          <w:szCs w:val="24"/>
        </w:rPr>
        <w:t>, 4</w:t>
      </w:r>
      <w:r w:rsidR="00B72775" w:rsidRPr="00B72775">
        <w:rPr>
          <w:rFonts w:ascii="Times New Roman" w:hAnsi="Times New Roman" w:cs="Times New Roman"/>
          <w:sz w:val="24"/>
          <w:szCs w:val="24"/>
          <w:vertAlign w:val="superscript"/>
        </w:rPr>
        <w:t>th</w:t>
      </w:r>
      <w:r w:rsidR="00B72775">
        <w:rPr>
          <w:rFonts w:ascii="Times New Roman" w:hAnsi="Times New Roman" w:cs="Times New Roman"/>
          <w:sz w:val="24"/>
          <w:szCs w:val="24"/>
        </w:rPr>
        <w:t>, 5</w:t>
      </w:r>
      <w:r w:rsidR="00B72775" w:rsidRPr="00B72775">
        <w:rPr>
          <w:rFonts w:ascii="Times New Roman" w:hAnsi="Times New Roman" w:cs="Times New Roman"/>
          <w:sz w:val="24"/>
          <w:szCs w:val="24"/>
          <w:vertAlign w:val="superscript"/>
        </w:rPr>
        <w:t>th</w:t>
      </w:r>
      <w:r w:rsidR="00B72775">
        <w:rPr>
          <w:rFonts w:ascii="Times New Roman" w:hAnsi="Times New Roman" w:cs="Times New Roman"/>
          <w:sz w:val="24"/>
          <w:szCs w:val="24"/>
        </w:rPr>
        <w:t xml:space="preserve"> and 6</w:t>
      </w:r>
      <w:r w:rsidR="00B72775" w:rsidRPr="00B72775">
        <w:rPr>
          <w:rFonts w:ascii="Times New Roman" w:hAnsi="Times New Roman" w:cs="Times New Roman"/>
          <w:sz w:val="24"/>
          <w:szCs w:val="24"/>
          <w:vertAlign w:val="superscript"/>
        </w:rPr>
        <w:t>th</w:t>
      </w:r>
      <w:r w:rsidR="00B72775">
        <w:rPr>
          <w:rFonts w:ascii="Times New Roman" w:hAnsi="Times New Roman" w:cs="Times New Roman"/>
          <w:sz w:val="24"/>
          <w:szCs w:val="24"/>
        </w:rPr>
        <w:t xml:space="preserve"> respondents are refugees who are sisters in law of the first respondent, educated by his late father. </w:t>
      </w:r>
    </w:p>
    <w:p w:rsidR="00BD2ADF" w:rsidRDefault="00BD2ADF" w:rsidP="00BD2ADF">
      <w:pPr>
        <w:pStyle w:val="ListParagraph"/>
        <w:spacing w:after="0" w:line="360" w:lineRule="auto"/>
        <w:ind w:left="0"/>
        <w:jc w:val="both"/>
        <w:rPr>
          <w:rFonts w:ascii="Times New Roman" w:hAnsi="Times New Roman" w:cs="Times New Roman"/>
          <w:sz w:val="24"/>
          <w:szCs w:val="24"/>
        </w:rPr>
      </w:pPr>
    </w:p>
    <w:p w:rsidR="007914F7" w:rsidRDefault="00BD2ADF" w:rsidP="00BD2ADF">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The fourth respondent,</w:t>
      </w:r>
      <w:r w:rsidRPr="00BD2ADF">
        <w:rPr>
          <w:rFonts w:ascii="Times New Roman" w:hAnsi="Times New Roman" w:cs="Times New Roman"/>
          <w:sz w:val="24"/>
          <w:szCs w:val="24"/>
        </w:rPr>
        <w:t xml:space="preserve"> </w:t>
      </w:r>
      <w:r>
        <w:rPr>
          <w:rFonts w:ascii="Times New Roman" w:hAnsi="Times New Roman" w:cs="Times New Roman"/>
          <w:sz w:val="24"/>
          <w:szCs w:val="24"/>
        </w:rPr>
        <w:t xml:space="preserve">Oola Peter, testified as </w:t>
      </w:r>
      <w:r w:rsidR="007914F7">
        <w:rPr>
          <w:rFonts w:ascii="Times New Roman" w:hAnsi="Times New Roman" w:cs="Times New Roman"/>
          <w:sz w:val="24"/>
          <w:szCs w:val="24"/>
        </w:rPr>
        <w:t>P.W.1</w:t>
      </w:r>
      <w:r w:rsidR="00AE5743">
        <w:rPr>
          <w:rFonts w:ascii="Times New Roman" w:hAnsi="Times New Roman" w:cs="Times New Roman"/>
          <w:sz w:val="24"/>
          <w:szCs w:val="24"/>
        </w:rPr>
        <w:t>,</w:t>
      </w:r>
      <w:r>
        <w:rPr>
          <w:rFonts w:ascii="Times New Roman" w:hAnsi="Times New Roman" w:cs="Times New Roman"/>
          <w:sz w:val="24"/>
          <w:szCs w:val="24"/>
        </w:rPr>
        <w:t xml:space="preserve"> and stated that</w:t>
      </w:r>
      <w:r w:rsidR="007914F7" w:rsidRPr="00A456BF">
        <w:rPr>
          <w:rFonts w:ascii="Times New Roman" w:hAnsi="Times New Roman" w:cs="Times New Roman"/>
          <w:sz w:val="24"/>
          <w:szCs w:val="24"/>
        </w:rPr>
        <w:t xml:space="preserve"> </w:t>
      </w:r>
      <w:r w:rsidR="006E11E9">
        <w:rPr>
          <w:rFonts w:ascii="Times New Roman" w:hAnsi="Times New Roman" w:cs="Times New Roman"/>
          <w:sz w:val="24"/>
          <w:szCs w:val="24"/>
        </w:rPr>
        <w:t xml:space="preserve">he is the grandson of Okumu Lagwee, </w:t>
      </w:r>
      <w:r>
        <w:rPr>
          <w:rFonts w:ascii="Times New Roman" w:hAnsi="Times New Roman" w:cs="Times New Roman"/>
          <w:sz w:val="24"/>
          <w:szCs w:val="24"/>
        </w:rPr>
        <w:t xml:space="preserve">a </w:t>
      </w:r>
      <w:r w:rsidR="005A4E07">
        <w:rPr>
          <w:rFonts w:ascii="Times New Roman" w:hAnsi="Times New Roman" w:cs="Times New Roman"/>
          <w:sz w:val="24"/>
          <w:szCs w:val="24"/>
        </w:rPr>
        <w:t>Ugandan by nationality born on 25</w:t>
      </w:r>
      <w:r w:rsidR="005A4E07" w:rsidRPr="00AE5743">
        <w:rPr>
          <w:rFonts w:ascii="Times New Roman" w:hAnsi="Times New Roman" w:cs="Times New Roman"/>
          <w:sz w:val="24"/>
          <w:szCs w:val="24"/>
          <w:vertAlign w:val="superscript"/>
        </w:rPr>
        <w:t>th</w:t>
      </w:r>
      <w:r w:rsidR="005A4E07">
        <w:rPr>
          <w:rFonts w:ascii="Times New Roman" w:hAnsi="Times New Roman" w:cs="Times New Roman"/>
          <w:sz w:val="24"/>
          <w:szCs w:val="24"/>
        </w:rPr>
        <w:t xml:space="preserve"> December, 1975</w:t>
      </w:r>
      <w:r w:rsidR="007914F7">
        <w:rPr>
          <w:rFonts w:ascii="Times New Roman" w:hAnsi="Times New Roman" w:cs="Times New Roman"/>
          <w:sz w:val="24"/>
          <w:szCs w:val="24"/>
        </w:rPr>
        <w:t xml:space="preserve">. </w:t>
      </w:r>
      <w:r w:rsidR="00AE5743">
        <w:rPr>
          <w:rFonts w:ascii="Times New Roman" w:hAnsi="Times New Roman" w:cs="Times New Roman"/>
          <w:sz w:val="24"/>
          <w:szCs w:val="24"/>
        </w:rPr>
        <w:t xml:space="preserve">His father is Modesto Okumu and mother Ajelina Latto. Both his parents are Ugandan. </w:t>
      </w:r>
      <w:r w:rsidR="006E11E9">
        <w:rPr>
          <w:rFonts w:ascii="Times New Roman" w:hAnsi="Times New Roman" w:cs="Times New Roman"/>
          <w:sz w:val="24"/>
          <w:szCs w:val="24"/>
        </w:rPr>
        <w:t xml:space="preserve">He is not a refugee. </w:t>
      </w:r>
      <w:r w:rsidR="00DB4EDD">
        <w:rPr>
          <w:rFonts w:ascii="Times New Roman" w:hAnsi="Times New Roman" w:cs="Times New Roman"/>
          <w:sz w:val="24"/>
          <w:szCs w:val="24"/>
        </w:rPr>
        <w:t xml:space="preserve">The </w:t>
      </w:r>
      <w:r>
        <w:rPr>
          <w:rFonts w:ascii="Times New Roman" w:hAnsi="Times New Roman" w:cs="Times New Roman"/>
          <w:sz w:val="24"/>
          <w:szCs w:val="24"/>
        </w:rPr>
        <w:t>first</w:t>
      </w:r>
      <w:r w:rsidR="00DB4EDD">
        <w:rPr>
          <w:rFonts w:ascii="Times New Roman" w:hAnsi="Times New Roman" w:cs="Times New Roman"/>
          <w:sz w:val="24"/>
          <w:szCs w:val="24"/>
        </w:rPr>
        <w:t xml:space="preserve"> respondent was his uncle. </w:t>
      </w:r>
      <w:r w:rsidR="006E11E9">
        <w:rPr>
          <w:rFonts w:ascii="Times New Roman" w:hAnsi="Times New Roman" w:cs="Times New Roman"/>
          <w:sz w:val="24"/>
          <w:szCs w:val="24"/>
        </w:rPr>
        <w:t>He i</w:t>
      </w:r>
      <w:r w:rsidR="00AE5743">
        <w:rPr>
          <w:rFonts w:ascii="Times New Roman" w:hAnsi="Times New Roman" w:cs="Times New Roman"/>
          <w:sz w:val="24"/>
          <w:szCs w:val="24"/>
        </w:rPr>
        <w:t>nherited the land in dispute</w:t>
      </w:r>
      <w:r w:rsidR="00DB4EDD">
        <w:rPr>
          <w:rFonts w:ascii="Times New Roman" w:hAnsi="Times New Roman" w:cs="Times New Roman"/>
          <w:sz w:val="24"/>
          <w:szCs w:val="24"/>
        </w:rPr>
        <w:t>, plot 91,</w:t>
      </w:r>
      <w:r w:rsidR="00AE5743">
        <w:rPr>
          <w:rFonts w:ascii="Times New Roman" w:hAnsi="Times New Roman" w:cs="Times New Roman"/>
          <w:sz w:val="24"/>
          <w:szCs w:val="24"/>
        </w:rPr>
        <w:t xml:space="preserve"> at birth. </w:t>
      </w:r>
      <w:r>
        <w:rPr>
          <w:rFonts w:ascii="Times New Roman" w:hAnsi="Times New Roman" w:cs="Times New Roman"/>
          <w:sz w:val="24"/>
          <w:szCs w:val="24"/>
        </w:rPr>
        <w:t>He p</w:t>
      </w:r>
      <w:r w:rsidR="00AE5743">
        <w:rPr>
          <w:rFonts w:ascii="Times New Roman" w:hAnsi="Times New Roman" w:cs="Times New Roman"/>
          <w:sz w:val="24"/>
          <w:szCs w:val="24"/>
        </w:rPr>
        <w:t>resented a letter confirming that his father had been paying ground rent f</w:t>
      </w:r>
      <w:r>
        <w:rPr>
          <w:rFonts w:ascii="Times New Roman" w:hAnsi="Times New Roman" w:cs="Times New Roman"/>
          <w:sz w:val="24"/>
          <w:szCs w:val="24"/>
        </w:rPr>
        <w:t>o</w:t>
      </w:r>
      <w:r w:rsidR="00AE5743">
        <w:rPr>
          <w:rFonts w:ascii="Times New Roman" w:hAnsi="Times New Roman" w:cs="Times New Roman"/>
          <w:sz w:val="24"/>
          <w:szCs w:val="24"/>
        </w:rPr>
        <w:t xml:space="preserve">r the plot before his death. The plot numbers have been changing over the years. </w:t>
      </w:r>
      <w:r w:rsidR="006E11E9">
        <w:rPr>
          <w:rFonts w:ascii="Times New Roman" w:hAnsi="Times New Roman" w:cs="Times New Roman"/>
          <w:sz w:val="24"/>
          <w:szCs w:val="24"/>
        </w:rPr>
        <w:t xml:space="preserve">He began constructing houses on the land around 2007 - 2009. </w:t>
      </w:r>
      <w:r w:rsidR="00AE5743">
        <w:rPr>
          <w:rFonts w:ascii="Times New Roman" w:hAnsi="Times New Roman" w:cs="Times New Roman"/>
          <w:sz w:val="24"/>
          <w:szCs w:val="24"/>
        </w:rPr>
        <w:t>A number of his deceased relatives were buried on the land. Okumu Lazaro is the owner of plot 117 but he does not know him. He first saw the appellant on 23</w:t>
      </w:r>
      <w:r w:rsidR="00AE5743" w:rsidRPr="00AE5743">
        <w:rPr>
          <w:rFonts w:ascii="Times New Roman" w:hAnsi="Times New Roman" w:cs="Times New Roman"/>
          <w:sz w:val="24"/>
          <w:szCs w:val="24"/>
          <w:vertAlign w:val="superscript"/>
        </w:rPr>
        <w:t>rd</w:t>
      </w:r>
      <w:r w:rsidR="00AE5743">
        <w:rPr>
          <w:rFonts w:ascii="Times New Roman" w:hAnsi="Times New Roman" w:cs="Times New Roman"/>
          <w:sz w:val="24"/>
          <w:szCs w:val="24"/>
        </w:rPr>
        <w:t xml:space="preserve"> December, 2009 when he came to the first respondent to request him to give him apart of the land in dispute in </w:t>
      </w:r>
      <w:r w:rsidR="00AE5743">
        <w:rPr>
          <w:rFonts w:ascii="Times New Roman" w:hAnsi="Times New Roman" w:cs="Times New Roman"/>
          <w:sz w:val="24"/>
          <w:szCs w:val="24"/>
        </w:rPr>
        <w:lastRenderedPageBreak/>
        <w:t xml:space="preserve">exchange for the one at Atiak Trading Centre which the first respondent rejected. </w:t>
      </w:r>
      <w:r w:rsidR="006E11E9">
        <w:rPr>
          <w:rFonts w:ascii="Times New Roman" w:hAnsi="Times New Roman" w:cs="Times New Roman"/>
          <w:sz w:val="24"/>
          <w:szCs w:val="24"/>
        </w:rPr>
        <w:t xml:space="preserve">The appellant instructed his mother to occupy the land nevertheless. </w:t>
      </w:r>
    </w:p>
    <w:p w:rsidR="00BD2ADF" w:rsidRDefault="00BD2ADF" w:rsidP="00BD2ADF">
      <w:pPr>
        <w:pStyle w:val="ListParagraph"/>
        <w:spacing w:after="0" w:line="360" w:lineRule="auto"/>
        <w:ind w:left="0"/>
        <w:jc w:val="both"/>
        <w:rPr>
          <w:rFonts w:ascii="Times New Roman" w:hAnsi="Times New Roman" w:cs="Times New Roman"/>
          <w:sz w:val="24"/>
          <w:szCs w:val="24"/>
        </w:rPr>
      </w:pPr>
    </w:p>
    <w:p w:rsidR="007914F7" w:rsidRDefault="007914F7" w:rsidP="00BD2ADF">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P.W.2 </w:t>
      </w:r>
      <w:r w:rsidR="00DB4EDD">
        <w:rPr>
          <w:rFonts w:ascii="Times New Roman" w:hAnsi="Times New Roman" w:cs="Times New Roman"/>
          <w:sz w:val="24"/>
          <w:szCs w:val="24"/>
        </w:rPr>
        <w:t>Regina Ladul, a neighbour</w:t>
      </w:r>
      <w:r w:rsidR="00BD2ADF">
        <w:rPr>
          <w:rFonts w:ascii="Times New Roman" w:hAnsi="Times New Roman" w:cs="Times New Roman"/>
          <w:sz w:val="24"/>
          <w:szCs w:val="24"/>
        </w:rPr>
        <w:t>, testified that</w:t>
      </w:r>
      <w:r>
        <w:rPr>
          <w:rFonts w:ascii="Times New Roman" w:hAnsi="Times New Roman" w:cs="Times New Roman"/>
          <w:sz w:val="24"/>
          <w:szCs w:val="24"/>
        </w:rPr>
        <w:t xml:space="preserve"> </w:t>
      </w:r>
      <w:r w:rsidR="00DB4EDD">
        <w:rPr>
          <w:rFonts w:ascii="Times New Roman" w:hAnsi="Times New Roman" w:cs="Times New Roman"/>
          <w:sz w:val="24"/>
          <w:szCs w:val="24"/>
        </w:rPr>
        <w:t>Okumu Lagwee was an Acholi. He and his wife Ayur, had four children who included the first respondent</w:t>
      </w:r>
      <w:r>
        <w:rPr>
          <w:rFonts w:ascii="Times New Roman" w:hAnsi="Times New Roman" w:cs="Times New Roman"/>
          <w:sz w:val="24"/>
          <w:szCs w:val="24"/>
        </w:rPr>
        <w:t xml:space="preserve">. </w:t>
      </w:r>
      <w:r w:rsidR="00DB4EDD">
        <w:rPr>
          <w:rFonts w:ascii="Times New Roman" w:hAnsi="Times New Roman" w:cs="Times New Roman"/>
          <w:sz w:val="24"/>
          <w:szCs w:val="24"/>
        </w:rPr>
        <w:t>They lived on the land in dispute. She never knew nor saw Okumu Lazaro.</w:t>
      </w:r>
      <w:r w:rsidR="00BD2ADF">
        <w:rPr>
          <w:rFonts w:ascii="Times New Roman" w:hAnsi="Times New Roman" w:cs="Times New Roman"/>
          <w:b/>
          <w:sz w:val="24"/>
          <w:szCs w:val="24"/>
        </w:rPr>
        <w:t xml:space="preserve"> </w:t>
      </w:r>
      <w:r>
        <w:rPr>
          <w:rFonts w:ascii="Times New Roman" w:hAnsi="Times New Roman" w:cs="Times New Roman"/>
          <w:sz w:val="24"/>
          <w:szCs w:val="24"/>
        </w:rPr>
        <w:t xml:space="preserve">P.W.3 </w:t>
      </w:r>
      <w:r w:rsidR="00BE246A">
        <w:rPr>
          <w:rFonts w:ascii="Times New Roman" w:hAnsi="Times New Roman" w:cs="Times New Roman"/>
          <w:sz w:val="24"/>
          <w:szCs w:val="24"/>
        </w:rPr>
        <w:t>Acaa Agnes, a neighbour</w:t>
      </w:r>
      <w:r w:rsidR="00BD2ADF">
        <w:rPr>
          <w:rFonts w:ascii="Times New Roman" w:hAnsi="Times New Roman" w:cs="Times New Roman"/>
          <w:sz w:val="24"/>
          <w:szCs w:val="24"/>
        </w:rPr>
        <w:t>, testified that she</w:t>
      </w:r>
      <w:r>
        <w:rPr>
          <w:rFonts w:ascii="Times New Roman" w:hAnsi="Times New Roman" w:cs="Times New Roman"/>
          <w:sz w:val="24"/>
          <w:szCs w:val="24"/>
        </w:rPr>
        <w:t xml:space="preserve"> </w:t>
      </w:r>
      <w:r w:rsidR="00BE246A">
        <w:rPr>
          <w:rFonts w:ascii="Times New Roman" w:hAnsi="Times New Roman" w:cs="Times New Roman"/>
          <w:sz w:val="24"/>
          <w:szCs w:val="24"/>
        </w:rPr>
        <w:t>grew up with the late Olal Mark, the first respondent</w:t>
      </w:r>
      <w:r>
        <w:rPr>
          <w:rFonts w:ascii="Times New Roman" w:hAnsi="Times New Roman" w:cs="Times New Roman"/>
          <w:sz w:val="24"/>
          <w:szCs w:val="24"/>
        </w:rPr>
        <w:t xml:space="preserve">. </w:t>
      </w:r>
      <w:r w:rsidR="00BE246A">
        <w:rPr>
          <w:rFonts w:ascii="Times New Roman" w:hAnsi="Times New Roman" w:cs="Times New Roman"/>
          <w:sz w:val="24"/>
          <w:szCs w:val="24"/>
        </w:rPr>
        <w:t xml:space="preserve">He was an Acholi. The first respondent's father Okumu Lagwee lived on the land in dispute but she did not know how he acquired it. Okumu Lagwee was an Acholi and not Sudanese. The first respondent's father was Modesto. </w:t>
      </w:r>
    </w:p>
    <w:p w:rsidR="00BD2ADF" w:rsidRDefault="00BD2ADF" w:rsidP="00BD2ADF">
      <w:pPr>
        <w:pStyle w:val="ListParagraph"/>
        <w:spacing w:after="0" w:line="360" w:lineRule="auto"/>
        <w:ind w:left="0"/>
        <w:jc w:val="both"/>
        <w:rPr>
          <w:rFonts w:ascii="Times New Roman" w:hAnsi="Times New Roman" w:cs="Times New Roman"/>
          <w:sz w:val="24"/>
          <w:szCs w:val="24"/>
        </w:rPr>
      </w:pPr>
    </w:p>
    <w:p w:rsidR="007914F7" w:rsidRDefault="00BD2ADF" w:rsidP="00BD2ADF">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 his defence as </w:t>
      </w:r>
      <w:r w:rsidR="007914F7">
        <w:rPr>
          <w:rFonts w:ascii="Times New Roman" w:hAnsi="Times New Roman" w:cs="Times New Roman"/>
          <w:sz w:val="24"/>
          <w:szCs w:val="24"/>
        </w:rPr>
        <w:t>D</w:t>
      </w:r>
      <w:r w:rsidR="007914F7" w:rsidRPr="00AD306D">
        <w:rPr>
          <w:rFonts w:ascii="Times New Roman" w:hAnsi="Times New Roman" w:cs="Times New Roman"/>
          <w:sz w:val="24"/>
          <w:szCs w:val="24"/>
        </w:rPr>
        <w:t xml:space="preserve">.W.1 </w:t>
      </w:r>
      <w:r>
        <w:rPr>
          <w:rFonts w:ascii="Times New Roman" w:hAnsi="Times New Roman" w:cs="Times New Roman"/>
          <w:sz w:val="24"/>
          <w:szCs w:val="24"/>
        </w:rPr>
        <w:t xml:space="preserve">the appellant </w:t>
      </w:r>
      <w:r w:rsidR="00BE246A">
        <w:rPr>
          <w:rFonts w:ascii="Times New Roman" w:hAnsi="Times New Roman" w:cs="Times New Roman"/>
          <w:sz w:val="24"/>
          <w:szCs w:val="24"/>
        </w:rPr>
        <w:t>Kaggwa Michael</w:t>
      </w:r>
      <w:r>
        <w:rPr>
          <w:rFonts w:ascii="Times New Roman" w:hAnsi="Times New Roman" w:cs="Times New Roman"/>
          <w:sz w:val="24"/>
          <w:szCs w:val="24"/>
        </w:rPr>
        <w:t xml:space="preserve"> testified that </w:t>
      </w:r>
      <w:r w:rsidR="00BE246A">
        <w:rPr>
          <w:rFonts w:ascii="Times New Roman" w:hAnsi="Times New Roman" w:cs="Times New Roman"/>
          <w:sz w:val="24"/>
          <w:szCs w:val="24"/>
        </w:rPr>
        <w:t>his father, Okumu Lazaro, bought the land in dispute</w:t>
      </w:r>
      <w:r w:rsidR="00BE246A" w:rsidRPr="00BE246A">
        <w:rPr>
          <w:rFonts w:ascii="Times New Roman" w:hAnsi="Times New Roman" w:cs="Times New Roman"/>
          <w:sz w:val="24"/>
          <w:szCs w:val="24"/>
        </w:rPr>
        <w:t xml:space="preserve"> </w:t>
      </w:r>
      <w:r w:rsidR="00BE246A">
        <w:rPr>
          <w:rFonts w:ascii="Times New Roman" w:hAnsi="Times New Roman" w:cs="Times New Roman"/>
          <w:sz w:val="24"/>
          <w:szCs w:val="24"/>
        </w:rPr>
        <w:t>in 1954</w:t>
      </w:r>
      <w:r w:rsidR="007914F7">
        <w:rPr>
          <w:rFonts w:ascii="Times New Roman" w:hAnsi="Times New Roman" w:cs="Times New Roman"/>
          <w:sz w:val="24"/>
          <w:szCs w:val="24"/>
        </w:rPr>
        <w:t xml:space="preserve">. </w:t>
      </w:r>
      <w:r w:rsidR="00DF682D">
        <w:rPr>
          <w:rFonts w:ascii="Times New Roman" w:hAnsi="Times New Roman" w:cs="Times New Roman"/>
          <w:sz w:val="24"/>
          <w:szCs w:val="24"/>
        </w:rPr>
        <w:t xml:space="preserve">He was born on the land in dispute and had five grass thatched houses on it. He met the respondents at the Kiryandongo Refugee Camp in 1995. It is in 2009 that the first respondent brought the rest of the respondents onto the land in order to force the appellant and his family off the land. </w:t>
      </w:r>
      <w:r w:rsidR="007914F7">
        <w:rPr>
          <w:rFonts w:ascii="Times New Roman" w:hAnsi="Times New Roman" w:cs="Times New Roman"/>
          <w:sz w:val="24"/>
          <w:szCs w:val="24"/>
        </w:rPr>
        <w:t xml:space="preserve">D.W.2 </w:t>
      </w:r>
      <w:r w:rsidR="00DF682D">
        <w:rPr>
          <w:rFonts w:ascii="Times New Roman" w:hAnsi="Times New Roman" w:cs="Times New Roman"/>
          <w:sz w:val="24"/>
          <w:szCs w:val="24"/>
        </w:rPr>
        <w:t>Omaya John</w:t>
      </w:r>
      <w:r>
        <w:rPr>
          <w:rFonts w:ascii="Times New Roman" w:hAnsi="Times New Roman" w:cs="Times New Roman"/>
          <w:sz w:val="24"/>
          <w:szCs w:val="24"/>
        </w:rPr>
        <w:t>, testified that</w:t>
      </w:r>
      <w:r w:rsidR="007914F7">
        <w:rPr>
          <w:rFonts w:ascii="Times New Roman" w:hAnsi="Times New Roman" w:cs="Times New Roman"/>
          <w:sz w:val="24"/>
          <w:szCs w:val="24"/>
        </w:rPr>
        <w:t xml:space="preserve"> the </w:t>
      </w:r>
      <w:r w:rsidR="00DF682D">
        <w:rPr>
          <w:rFonts w:ascii="Times New Roman" w:hAnsi="Times New Roman" w:cs="Times New Roman"/>
          <w:sz w:val="24"/>
          <w:szCs w:val="24"/>
        </w:rPr>
        <w:t>appellant's father was Okumu Lazaro and was buried in Atiak upon his death</w:t>
      </w:r>
      <w:r w:rsidR="007914F7">
        <w:rPr>
          <w:rFonts w:ascii="Times New Roman" w:hAnsi="Times New Roman" w:cs="Times New Roman"/>
          <w:sz w:val="24"/>
          <w:szCs w:val="24"/>
        </w:rPr>
        <w:t xml:space="preserve">. </w:t>
      </w:r>
      <w:r w:rsidR="00DF682D">
        <w:rPr>
          <w:rFonts w:ascii="Times New Roman" w:hAnsi="Times New Roman" w:cs="Times New Roman"/>
          <w:sz w:val="24"/>
          <w:szCs w:val="24"/>
        </w:rPr>
        <w:t xml:space="preserve">The appellant was about six years old at the time his father bought the land in dispute. </w:t>
      </w:r>
      <w:r w:rsidR="007914F7">
        <w:rPr>
          <w:rFonts w:ascii="Times New Roman" w:hAnsi="Times New Roman" w:cs="Times New Roman"/>
          <w:sz w:val="24"/>
          <w:szCs w:val="24"/>
        </w:rPr>
        <w:t xml:space="preserve">D.W.3 </w:t>
      </w:r>
      <w:r w:rsidR="00DF682D">
        <w:rPr>
          <w:rFonts w:ascii="Times New Roman" w:hAnsi="Times New Roman" w:cs="Times New Roman"/>
          <w:sz w:val="24"/>
          <w:szCs w:val="24"/>
        </w:rPr>
        <w:t>Odur Ensio</w:t>
      </w:r>
      <w:r>
        <w:rPr>
          <w:rFonts w:ascii="Times New Roman" w:hAnsi="Times New Roman" w:cs="Times New Roman"/>
          <w:sz w:val="24"/>
          <w:szCs w:val="24"/>
        </w:rPr>
        <w:t>, testified that</w:t>
      </w:r>
      <w:r w:rsidR="007914F7">
        <w:rPr>
          <w:rFonts w:ascii="Times New Roman" w:hAnsi="Times New Roman" w:cs="Times New Roman"/>
          <w:sz w:val="24"/>
          <w:szCs w:val="24"/>
        </w:rPr>
        <w:t xml:space="preserve"> </w:t>
      </w:r>
      <w:r w:rsidR="00DF682D">
        <w:rPr>
          <w:rFonts w:ascii="Times New Roman" w:hAnsi="Times New Roman" w:cs="Times New Roman"/>
          <w:sz w:val="24"/>
          <w:szCs w:val="24"/>
        </w:rPr>
        <w:t xml:space="preserve">the </w:t>
      </w:r>
      <w:r w:rsidR="00830178">
        <w:rPr>
          <w:rFonts w:ascii="Times New Roman" w:hAnsi="Times New Roman" w:cs="Times New Roman"/>
          <w:sz w:val="24"/>
          <w:szCs w:val="24"/>
        </w:rPr>
        <w:t>appellant</w:t>
      </w:r>
      <w:r w:rsidR="00DF682D">
        <w:rPr>
          <w:rFonts w:ascii="Times New Roman" w:hAnsi="Times New Roman" w:cs="Times New Roman"/>
          <w:sz w:val="24"/>
          <w:szCs w:val="24"/>
        </w:rPr>
        <w:t xml:space="preserve"> </w:t>
      </w:r>
      <w:r w:rsidR="00830178">
        <w:rPr>
          <w:rFonts w:ascii="Times New Roman" w:hAnsi="Times New Roman" w:cs="Times New Roman"/>
          <w:sz w:val="24"/>
          <w:szCs w:val="24"/>
        </w:rPr>
        <w:t>inherited</w:t>
      </w:r>
      <w:r w:rsidR="00DF682D">
        <w:rPr>
          <w:rFonts w:ascii="Times New Roman" w:hAnsi="Times New Roman" w:cs="Times New Roman"/>
          <w:sz w:val="24"/>
          <w:szCs w:val="24"/>
        </w:rPr>
        <w:t xml:space="preserve"> the disputed land from his father Lazaro Okumu</w:t>
      </w:r>
      <w:r w:rsidR="007914F7">
        <w:rPr>
          <w:rFonts w:ascii="Times New Roman" w:hAnsi="Times New Roman" w:cs="Times New Roman"/>
          <w:sz w:val="24"/>
          <w:szCs w:val="24"/>
        </w:rPr>
        <w:t xml:space="preserve">. </w:t>
      </w:r>
    </w:p>
    <w:p w:rsidR="00BD2ADF" w:rsidRDefault="00BD2ADF" w:rsidP="00BD2ADF">
      <w:pPr>
        <w:pStyle w:val="ListParagraph"/>
        <w:spacing w:after="0" w:line="360" w:lineRule="auto"/>
        <w:ind w:left="0"/>
        <w:jc w:val="both"/>
        <w:rPr>
          <w:rFonts w:ascii="Times New Roman" w:hAnsi="Times New Roman" w:cs="Times New Roman"/>
          <w:sz w:val="24"/>
          <w:szCs w:val="24"/>
        </w:rPr>
      </w:pPr>
    </w:p>
    <w:p w:rsidR="007914F7" w:rsidRDefault="00BD2ADF" w:rsidP="00BD2ADF">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trial Magistrate then visited the </w:t>
      </w:r>
      <w:r w:rsidRPr="00EF040D">
        <w:rPr>
          <w:rFonts w:ascii="Times New Roman" w:hAnsi="Times New Roman" w:cs="Times New Roman"/>
          <w:i/>
          <w:sz w:val="24"/>
          <w:szCs w:val="24"/>
        </w:rPr>
        <w:t>locus in quo</w:t>
      </w:r>
      <w:r>
        <w:rPr>
          <w:rFonts w:ascii="Times New Roman" w:hAnsi="Times New Roman" w:cs="Times New Roman"/>
          <w:b/>
          <w:sz w:val="24"/>
          <w:szCs w:val="24"/>
        </w:rPr>
        <w:t xml:space="preserve"> </w:t>
      </w:r>
      <w:r w:rsidRPr="00BD2ADF">
        <w:rPr>
          <w:rFonts w:ascii="Times New Roman" w:hAnsi="Times New Roman" w:cs="Times New Roman"/>
          <w:sz w:val="24"/>
          <w:szCs w:val="24"/>
        </w:rPr>
        <w:t xml:space="preserve">on </w:t>
      </w:r>
      <w:r w:rsidR="00406D21">
        <w:rPr>
          <w:rFonts w:ascii="Times New Roman" w:hAnsi="Times New Roman" w:cs="Times New Roman"/>
          <w:sz w:val="24"/>
          <w:szCs w:val="24"/>
        </w:rPr>
        <w:t>21</w:t>
      </w:r>
      <w:r w:rsidR="00406D21" w:rsidRPr="00406D21">
        <w:rPr>
          <w:rFonts w:ascii="Times New Roman" w:hAnsi="Times New Roman" w:cs="Times New Roman"/>
          <w:sz w:val="24"/>
          <w:szCs w:val="24"/>
          <w:vertAlign w:val="superscript"/>
        </w:rPr>
        <w:t>st</w:t>
      </w:r>
      <w:r>
        <w:rPr>
          <w:rFonts w:ascii="Times New Roman" w:hAnsi="Times New Roman" w:cs="Times New Roman"/>
          <w:sz w:val="24"/>
          <w:szCs w:val="24"/>
        </w:rPr>
        <w:t xml:space="preserve"> December, 2016. He r</w:t>
      </w:r>
      <w:r w:rsidR="00406D21">
        <w:rPr>
          <w:rFonts w:ascii="Times New Roman" w:hAnsi="Times New Roman" w:cs="Times New Roman"/>
          <w:sz w:val="24"/>
          <w:szCs w:val="24"/>
        </w:rPr>
        <w:t xml:space="preserve">ecorded </w:t>
      </w:r>
      <w:r>
        <w:rPr>
          <w:rFonts w:ascii="Times New Roman" w:hAnsi="Times New Roman" w:cs="Times New Roman"/>
          <w:sz w:val="24"/>
          <w:szCs w:val="24"/>
        </w:rPr>
        <w:t xml:space="preserve">additional </w:t>
      </w:r>
      <w:r w:rsidR="00406D21">
        <w:rPr>
          <w:rFonts w:ascii="Times New Roman" w:hAnsi="Times New Roman" w:cs="Times New Roman"/>
          <w:sz w:val="24"/>
          <w:szCs w:val="24"/>
        </w:rPr>
        <w:t>evidence</w:t>
      </w:r>
      <w:r>
        <w:rPr>
          <w:rFonts w:ascii="Times New Roman" w:hAnsi="Times New Roman" w:cs="Times New Roman"/>
          <w:sz w:val="24"/>
          <w:szCs w:val="24"/>
        </w:rPr>
        <w:t xml:space="preserve"> from</w:t>
      </w:r>
      <w:r w:rsidR="00406D21">
        <w:rPr>
          <w:rFonts w:ascii="Times New Roman" w:hAnsi="Times New Roman" w:cs="Times New Roman"/>
          <w:sz w:val="24"/>
          <w:szCs w:val="24"/>
        </w:rPr>
        <w:t xml:space="preserve">; (i) Auma Olga </w:t>
      </w:r>
      <w:r>
        <w:rPr>
          <w:rFonts w:ascii="Times New Roman" w:hAnsi="Times New Roman" w:cs="Times New Roman"/>
          <w:sz w:val="24"/>
          <w:szCs w:val="24"/>
        </w:rPr>
        <w:t xml:space="preserve">who stated that </w:t>
      </w:r>
      <w:r w:rsidR="00406D21">
        <w:rPr>
          <w:rFonts w:ascii="Times New Roman" w:hAnsi="Times New Roman" w:cs="Times New Roman"/>
          <w:sz w:val="24"/>
          <w:szCs w:val="24"/>
        </w:rPr>
        <w:t xml:space="preserve">Okumu Lagwee and his deceased relatives were buried on the land. Modesto was her neighbour, (ii) Ocalla George, General Secretary L.C1 </w:t>
      </w:r>
      <w:r>
        <w:rPr>
          <w:rFonts w:ascii="Times New Roman" w:hAnsi="Times New Roman" w:cs="Times New Roman"/>
          <w:sz w:val="24"/>
          <w:szCs w:val="24"/>
        </w:rPr>
        <w:t>who stated that</w:t>
      </w:r>
      <w:r w:rsidR="00406D21">
        <w:rPr>
          <w:rFonts w:ascii="Times New Roman" w:hAnsi="Times New Roman" w:cs="Times New Roman"/>
          <w:sz w:val="24"/>
          <w:szCs w:val="24"/>
        </w:rPr>
        <w:t xml:space="preserve"> the land in dispute was occupied by the first respondent. The appellant's mother came onto the land during the insurgency. The first respondent does not have a house on the land in dispute, (iii) Arach Marg</w:t>
      </w:r>
      <w:r w:rsidR="00BA1EB5">
        <w:rPr>
          <w:rFonts w:ascii="Times New Roman" w:hAnsi="Times New Roman" w:cs="Times New Roman"/>
          <w:sz w:val="24"/>
          <w:szCs w:val="24"/>
        </w:rPr>
        <w:t>ar</w:t>
      </w:r>
      <w:r w:rsidR="00406D21">
        <w:rPr>
          <w:rFonts w:ascii="Times New Roman" w:hAnsi="Times New Roman" w:cs="Times New Roman"/>
          <w:sz w:val="24"/>
          <w:szCs w:val="24"/>
        </w:rPr>
        <w:t xml:space="preserve">et </w:t>
      </w:r>
      <w:r>
        <w:rPr>
          <w:rFonts w:ascii="Times New Roman" w:hAnsi="Times New Roman" w:cs="Times New Roman"/>
          <w:sz w:val="24"/>
          <w:szCs w:val="24"/>
        </w:rPr>
        <w:t>who stated that</w:t>
      </w:r>
      <w:r w:rsidR="00406D21">
        <w:rPr>
          <w:rFonts w:ascii="Times New Roman" w:hAnsi="Times New Roman" w:cs="Times New Roman"/>
          <w:sz w:val="24"/>
          <w:szCs w:val="24"/>
        </w:rPr>
        <w:t xml:space="preserve"> Lazaro Okumu was her husband. Her late husband bought the land from Yoana Ladu in 1954 at the price of shs. 200/= She has since then been living on the land. When her husband died he was buried at Atiak at their other home. </w:t>
      </w:r>
    </w:p>
    <w:p w:rsidR="00BD2ADF" w:rsidRDefault="00BD2ADF" w:rsidP="00BD2ADF">
      <w:pPr>
        <w:pStyle w:val="ListParagraph"/>
        <w:spacing w:after="0" w:line="360" w:lineRule="auto"/>
        <w:ind w:left="0"/>
        <w:jc w:val="both"/>
        <w:rPr>
          <w:rFonts w:ascii="Times New Roman" w:hAnsi="Times New Roman" w:cs="Times New Roman"/>
          <w:sz w:val="24"/>
          <w:szCs w:val="24"/>
        </w:rPr>
      </w:pPr>
    </w:p>
    <w:p w:rsidR="007914F7" w:rsidRDefault="00BD2ADF" w:rsidP="00BD2ADF">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In his judgment, the trial magistrate found that t</w:t>
      </w:r>
      <w:r w:rsidR="00C953F8">
        <w:rPr>
          <w:rFonts w:ascii="Times New Roman" w:hAnsi="Times New Roman" w:cs="Times New Roman"/>
          <w:sz w:val="24"/>
          <w:szCs w:val="24"/>
        </w:rPr>
        <w:t xml:space="preserve">he land in dispute is plot 91/65 and not plot 117. </w:t>
      </w:r>
      <w:r w:rsidR="00667825">
        <w:rPr>
          <w:rFonts w:ascii="Times New Roman" w:hAnsi="Times New Roman" w:cs="Times New Roman"/>
          <w:sz w:val="24"/>
          <w:szCs w:val="24"/>
        </w:rPr>
        <w:t>The land belongs to the first respondent having inherited it from his late father, Okumu Lagwee. It is him who in the year 2009 invited his nephews, the 2</w:t>
      </w:r>
      <w:r w:rsidR="00667825" w:rsidRPr="00667825">
        <w:rPr>
          <w:rFonts w:ascii="Times New Roman" w:hAnsi="Times New Roman" w:cs="Times New Roman"/>
          <w:sz w:val="24"/>
          <w:szCs w:val="24"/>
          <w:vertAlign w:val="superscript"/>
        </w:rPr>
        <w:t>nd</w:t>
      </w:r>
      <w:r w:rsidR="00667825">
        <w:rPr>
          <w:rFonts w:ascii="Times New Roman" w:hAnsi="Times New Roman" w:cs="Times New Roman"/>
          <w:sz w:val="24"/>
          <w:szCs w:val="24"/>
        </w:rPr>
        <w:t xml:space="preserve"> to the 7</w:t>
      </w:r>
      <w:r w:rsidR="00667825" w:rsidRPr="00667825">
        <w:rPr>
          <w:rFonts w:ascii="Times New Roman" w:hAnsi="Times New Roman" w:cs="Times New Roman"/>
          <w:sz w:val="24"/>
          <w:szCs w:val="24"/>
          <w:vertAlign w:val="superscript"/>
        </w:rPr>
        <w:t>th</w:t>
      </w:r>
      <w:r w:rsidR="00667825">
        <w:rPr>
          <w:rFonts w:ascii="Times New Roman" w:hAnsi="Times New Roman" w:cs="Times New Roman"/>
          <w:sz w:val="24"/>
          <w:szCs w:val="24"/>
        </w:rPr>
        <w:t xml:space="preserve"> respondents, onto the land. </w:t>
      </w:r>
      <w:r w:rsidR="00667825">
        <w:rPr>
          <w:rFonts w:ascii="Times New Roman" w:hAnsi="Times New Roman" w:cs="Times New Roman"/>
          <w:sz w:val="24"/>
          <w:szCs w:val="24"/>
        </w:rPr>
        <w:lastRenderedPageBreak/>
        <w:t xml:space="preserve">The appellant's contention that all the respondents were Sudanese Nationals, refugees in Uganda and not citizens was not proved since the appellant neither worked in the Ministry of Internal Affairs nor in the UNHCR. The appellant and his witness contradicted themselves as to whether the appellant had been born by the time the appellant's father is purported to have purchased the land and therefore their evidence was rejected in its entirety. Judgment was entered for the respondents against the appellant for; a declaration that they are the joint owners of the land in dispute, vacant possession, a permanent injunction, general damages of shs. 15,000,000/= the counterclaim was dismissed and the respondents awarded the costs of the suit and of the counterclaim. </w:t>
      </w:r>
    </w:p>
    <w:p w:rsidR="007914F7" w:rsidRDefault="007914F7" w:rsidP="007914F7">
      <w:pPr>
        <w:spacing w:after="0" w:line="360" w:lineRule="auto"/>
        <w:jc w:val="both"/>
        <w:rPr>
          <w:rFonts w:ascii="Times New Roman" w:hAnsi="Times New Roman" w:cs="Times New Roman"/>
          <w:sz w:val="24"/>
          <w:szCs w:val="24"/>
        </w:rPr>
      </w:pPr>
    </w:p>
    <w:p w:rsidR="00C44498" w:rsidRPr="00182658" w:rsidRDefault="00C44498" w:rsidP="00C4449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appellant was dissatisfied with the decision and appealed to this court on the following grounds, namely;</w:t>
      </w:r>
    </w:p>
    <w:p w:rsidR="007914F7" w:rsidRDefault="007914F7" w:rsidP="007914F7">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trial Magistrate erred in law and fact </w:t>
      </w:r>
      <w:r w:rsidR="00DF1CC9">
        <w:rPr>
          <w:rFonts w:ascii="Times New Roman" w:hAnsi="Times New Roman" w:cs="Times New Roman"/>
          <w:sz w:val="24"/>
          <w:szCs w:val="24"/>
        </w:rPr>
        <w:t>in admitting that the respondents are Ugandans</w:t>
      </w:r>
      <w:r>
        <w:rPr>
          <w:rFonts w:ascii="Times New Roman" w:hAnsi="Times New Roman" w:cs="Times New Roman"/>
          <w:sz w:val="24"/>
          <w:szCs w:val="24"/>
        </w:rPr>
        <w:t xml:space="preserve">. </w:t>
      </w:r>
    </w:p>
    <w:p w:rsidR="007914F7" w:rsidRDefault="00DF1CC9" w:rsidP="007914F7">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trial Magistrate erred in law and fact in rejecting the letter from the Prime Minister's Office confirming the respondents to be refugees</w:t>
      </w:r>
      <w:r w:rsidR="007914F7">
        <w:rPr>
          <w:rFonts w:ascii="Times New Roman" w:hAnsi="Times New Roman" w:cs="Times New Roman"/>
          <w:sz w:val="24"/>
          <w:szCs w:val="24"/>
        </w:rPr>
        <w:t>.</w:t>
      </w:r>
    </w:p>
    <w:p w:rsidR="007914F7" w:rsidRDefault="00DF1CC9" w:rsidP="007914F7">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trial Magistrate erred in law and fact in evaluating the evidence on record and arriving at a wrong decision</w:t>
      </w:r>
      <w:r w:rsidR="007914F7">
        <w:rPr>
          <w:rFonts w:ascii="Times New Roman" w:hAnsi="Times New Roman" w:cs="Times New Roman"/>
          <w:sz w:val="24"/>
          <w:szCs w:val="24"/>
        </w:rPr>
        <w:t>.</w:t>
      </w:r>
    </w:p>
    <w:p w:rsidR="007914F7" w:rsidRDefault="00DF1CC9" w:rsidP="007914F7">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trial Magistrate erred in law and fact by relying on the inconsistencies and contradictions in the evidence of the plaintiffs / respondents on record thus arriving at a wrong decision</w:t>
      </w:r>
      <w:r w:rsidR="007914F7">
        <w:rPr>
          <w:rFonts w:ascii="Times New Roman" w:hAnsi="Times New Roman" w:cs="Times New Roman"/>
          <w:sz w:val="24"/>
          <w:szCs w:val="24"/>
        </w:rPr>
        <w:t>.</w:t>
      </w:r>
    </w:p>
    <w:p w:rsidR="007914F7" w:rsidRDefault="00DF1CC9" w:rsidP="007914F7">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trial Magistrate erred in law and fact in being biased during the trial by not allowing the defendant / appellant to cross-examine the plaintiffs / respondents</w:t>
      </w:r>
      <w:r w:rsidR="007914F7">
        <w:rPr>
          <w:rFonts w:ascii="Times New Roman" w:hAnsi="Times New Roman" w:cs="Times New Roman"/>
          <w:sz w:val="24"/>
          <w:szCs w:val="24"/>
        </w:rPr>
        <w:t>.</w:t>
      </w:r>
    </w:p>
    <w:p w:rsidR="00CD23BC" w:rsidRDefault="00CD23BC" w:rsidP="00CD23BC">
      <w:pPr>
        <w:spacing w:after="0"/>
        <w:jc w:val="both"/>
        <w:rPr>
          <w:rFonts w:ascii="Times New Roman" w:hAnsi="Times New Roman" w:cs="Times New Roman"/>
          <w:sz w:val="24"/>
          <w:szCs w:val="24"/>
        </w:rPr>
      </w:pPr>
    </w:p>
    <w:p w:rsidR="00CD23BC" w:rsidRDefault="00E67866" w:rsidP="00E6786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When the appeal came up for hearing, the court found that g</w:t>
      </w:r>
      <w:r w:rsidR="00CD23BC" w:rsidRPr="007914F7">
        <w:rPr>
          <w:rFonts w:ascii="Times New Roman" w:hAnsi="Times New Roman" w:cs="Times New Roman"/>
          <w:sz w:val="24"/>
          <w:szCs w:val="24"/>
        </w:rPr>
        <w:t xml:space="preserve">round </w:t>
      </w:r>
      <w:r w:rsidR="00F87B34">
        <w:rPr>
          <w:rFonts w:ascii="Times New Roman" w:hAnsi="Times New Roman" w:cs="Times New Roman"/>
          <w:sz w:val="24"/>
          <w:szCs w:val="24"/>
        </w:rPr>
        <w:t>3</w:t>
      </w:r>
      <w:r w:rsidR="00320EFF" w:rsidRPr="007914F7">
        <w:rPr>
          <w:rFonts w:ascii="Times New Roman" w:hAnsi="Times New Roman" w:cs="Times New Roman"/>
          <w:sz w:val="24"/>
          <w:szCs w:val="24"/>
        </w:rPr>
        <w:t xml:space="preserve"> </w:t>
      </w:r>
      <w:r w:rsidR="00CD23BC" w:rsidRPr="007914F7">
        <w:rPr>
          <w:rFonts w:ascii="Times New Roman" w:hAnsi="Times New Roman" w:cs="Times New Roman"/>
          <w:sz w:val="24"/>
          <w:szCs w:val="24"/>
        </w:rPr>
        <w:t xml:space="preserve">of </w:t>
      </w:r>
      <w:r>
        <w:rPr>
          <w:rFonts w:ascii="Times New Roman" w:hAnsi="Times New Roman" w:cs="Times New Roman"/>
          <w:sz w:val="24"/>
          <w:szCs w:val="24"/>
        </w:rPr>
        <w:t xml:space="preserve">the memorandum of </w:t>
      </w:r>
      <w:r w:rsidR="00CD23BC" w:rsidRPr="007914F7">
        <w:rPr>
          <w:rFonts w:ascii="Times New Roman" w:hAnsi="Times New Roman" w:cs="Times New Roman"/>
          <w:sz w:val="24"/>
          <w:szCs w:val="24"/>
        </w:rPr>
        <w:t xml:space="preserve">appeal </w:t>
      </w:r>
      <w:r w:rsidR="00CB483E">
        <w:rPr>
          <w:rFonts w:ascii="Times New Roman" w:hAnsi="Times New Roman" w:cs="Times New Roman"/>
          <w:sz w:val="24"/>
          <w:szCs w:val="24"/>
        </w:rPr>
        <w:t>was</w:t>
      </w:r>
      <w:r w:rsidR="00CD23BC" w:rsidRPr="007914F7">
        <w:rPr>
          <w:rFonts w:ascii="Times New Roman" w:hAnsi="Times New Roman" w:cs="Times New Roman"/>
          <w:sz w:val="24"/>
          <w:szCs w:val="24"/>
        </w:rPr>
        <w:t xml:space="preserve"> too general and offends the provisions of Order 43 r (1) and (2) of </w:t>
      </w:r>
      <w:r w:rsidR="00CD23BC" w:rsidRPr="007914F7">
        <w:rPr>
          <w:rFonts w:ascii="Times New Roman" w:hAnsi="Times New Roman" w:cs="Times New Roman"/>
          <w:i/>
          <w:sz w:val="24"/>
          <w:szCs w:val="24"/>
        </w:rPr>
        <w:t>The Civil Procedure Rules</w:t>
      </w:r>
      <w:r w:rsidR="00CD23BC" w:rsidRPr="007914F7">
        <w:rPr>
          <w:rFonts w:ascii="Times New Roman" w:hAnsi="Times New Roman" w:cs="Times New Roman"/>
          <w:sz w:val="24"/>
          <w:szCs w:val="24"/>
        </w:rPr>
        <w:t xml:space="preserve"> which require a memorandum of appeal to set forth concisely the grounds of the objection to the decision appealed against. Every memorandum of appeal is required to set forth, concisely and under distinct heads, the grounds of objection to the decree appealed from without any argument or narrative, and the grounds should be numbered consecutively. Properly framed grounds of appeal should specifically point out errors observed in the course of the trial, including the decision, which the appellant believes occasioned a miscarriage of justice. </w:t>
      </w:r>
      <w:r w:rsidR="00CD23BC" w:rsidRPr="007914F7">
        <w:rPr>
          <w:rFonts w:ascii="Times New Roman" w:hAnsi="Times New Roman" w:cs="Times New Roman"/>
          <w:sz w:val="24"/>
          <w:szCs w:val="24"/>
        </w:rPr>
        <w:lastRenderedPageBreak/>
        <w:t xml:space="preserve">Appellate courts frown upon the practice of advocates setting out general grounds of appeal that allow them to go on a general fishing expedition at the hearing of the appeal hoping to get something they themselves do not know. Such grounds have been struck out numerous times (see for example </w:t>
      </w:r>
      <w:r w:rsidR="00CD23BC" w:rsidRPr="007914F7">
        <w:rPr>
          <w:rFonts w:ascii="Times New Roman" w:hAnsi="Times New Roman" w:cs="Times New Roman"/>
          <w:i/>
          <w:sz w:val="24"/>
          <w:szCs w:val="24"/>
        </w:rPr>
        <w:t>Katumba Byaruhanga v. Edward Kyewalabye Musoke, C.A. Civil Appeal No. 2 of 1998; (1999) KALR 621</w:t>
      </w:r>
      <w:r w:rsidR="00CD23BC" w:rsidRPr="007914F7">
        <w:rPr>
          <w:rFonts w:ascii="Times New Roman" w:hAnsi="Times New Roman" w:cs="Times New Roman"/>
          <w:sz w:val="24"/>
          <w:szCs w:val="24"/>
        </w:rPr>
        <w:t xml:space="preserve">; </w:t>
      </w:r>
      <w:r w:rsidR="00CD23BC" w:rsidRPr="007914F7">
        <w:rPr>
          <w:rFonts w:ascii="Times New Roman" w:hAnsi="Times New Roman" w:cs="Times New Roman"/>
          <w:i/>
          <w:sz w:val="24"/>
          <w:szCs w:val="24"/>
        </w:rPr>
        <w:t>Attorney General v. Florence Baliraine, CA. Civil Appeal No. 79 of 2003</w:t>
      </w:r>
      <w:r w:rsidR="00CD23BC" w:rsidRPr="007914F7">
        <w:rPr>
          <w:rFonts w:ascii="Times New Roman" w:hAnsi="Times New Roman" w:cs="Times New Roman"/>
          <w:sz w:val="24"/>
          <w:szCs w:val="24"/>
        </w:rPr>
        <w:t>).</w:t>
      </w:r>
      <w:r w:rsidR="00CE469C" w:rsidRPr="007914F7">
        <w:rPr>
          <w:rFonts w:ascii="Times New Roman" w:hAnsi="Times New Roman" w:cs="Times New Roman"/>
          <w:sz w:val="24"/>
          <w:szCs w:val="24"/>
        </w:rPr>
        <w:t xml:space="preserve"> The ground </w:t>
      </w:r>
      <w:r>
        <w:rPr>
          <w:rFonts w:ascii="Times New Roman" w:hAnsi="Times New Roman" w:cs="Times New Roman"/>
          <w:sz w:val="24"/>
          <w:szCs w:val="24"/>
        </w:rPr>
        <w:t>was accordingly</w:t>
      </w:r>
      <w:r w:rsidR="00CE469C" w:rsidRPr="007914F7">
        <w:rPr>
          <w:rFonts w:ascii="Times New Roman" w:hAnsi="Times New Roman" w:cs="Times New Roman"/>
          <w:sz w:val="24"/>
          <w:szCs w:val="24"/>
        </w:rPr>
        <w:t xml:space="preserve"> struck out.</w:t>
      </w:r>
    </w:p>
    <w:p w:rsidR="00636ED6" w:rsidRDefault="00636ED6" w:rsidP="00E67866">
      <w:pPr>
        <w:spacing w:after="0" w:line="360" w:lineRule="auto"/>
        <w:jc w:val="both"/>
        <w:rPr>
          <w:rFonts w:ascii="Times New Roman" w:hAnsi="Times New Roman" w:cs="Times New Roman"/>
          <w:sz w:val="24"/>
          <w:szCs w:val="24"/>
        </w:rPr>
      </w:pPr>
    </w:p>
    <w:p w:rsidR="00E1484A" w:rsidRDefault="00636ED6" w:rsidP="00636E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his submissio</w:t>
      </w:r>
      <w:r w:rsidR="009271BC">
        <w:rPr>
          <w:rFonts w:ascii="Times New Roman" w:hAnsi="Times New Roman" w:cs="Times New Roman"/>
          <w:sz w:val="24"/>
          <w:szCs w:val="24"/>
        </w:rPr>
        <w:t>ns, counsel for the appellant,</w:t>
      </w:r>
      <w:r w:rsidRPr="00636ED6">
        <w:rPr>
          <w:rFonts w:ascii="Times New Roman" w:hAnsi="Times New Roman" w:cs="Times New Roman"/>
          <w:sz w:val="24"/>
          <w:szCs w:val="24"/>
        </w:rPr>
        <w:t xml:space="preserve"> </w:t>
      </w:r>
      <w:r>
        <w:rPr>
          <w:rFonts w:ascii="Times New Roman" w:hAnsi="Times New Roman" w:cs="Times New Roman"/>
          <w:sz w:val="24"/>
          <w:szCs w:val="24"/>
        </w:rPr>
        <w:t>Mr. Awor Abuga, argued grounds</w:t>
      </w:r>
      <w:r w:rsidR="00CD23BC" w:rsidRPr="004E0709">
        <w:rPr>
          <w:rFonts w:ascii="Times New Roman" w:hAnsi="Times New Roman" w:cs="Times New Roman"/>
          <w:sz w:val="24"/>
          <w:szCs w:val="24"/>
        </w:rPr>
        <w:t xml:space="preserve"> (</w:t>
      </w:r>
      <w:r>
        <w:rPr>
          <w:rFonts w:ascii="Times New Roman" w:hAnsi="Times New Roman" w:cs="Times New Roman"/>
          <w:sz w:val="24"/>
          <w:szCs w:val="24"/>
        </w:rPr>
        <w:t>1</w:t>
      </w:r>
      <w:r w:rsidR="00CD23BC" w:rsidRPr="004E0709">
        <w:rPr>
          <w:rFonts w:ascii="Times New Roman" w:hAnsi="Times New Roman" w:cs="Times New Roman"/>
          <w:sz w:val="24"/>
          <w:szCs w:val="24"/>
        </w:rPr>
        <w:t>) and (</w:t>
      </w:r>
      <w:r>
        <w:rPr>
          <w:rFonts w:ascii="Times New Roman" w:hAnsi="Times New Roman" w:cs="Times New Roman"/>
          <w:sz w:val="24"/>
          <w:szCs w:val="24"/>
        </w:rPr>
        <w:t>2</w:t>
      </w:r>
      <w:r w:rsidR="00CD23BC" w:rsidRPr="004E0709">
        <w:rPr>
          <w:rFonts w:ascii="Times New Roman" w:hAnsi="Times New Roman" w:cs="Times New Roman"/>
          <w:sz w:val="24"/>
          <w:szCs w:val="24"/>
        </w:rPr>
        <w:t>) together and then (</w:t>
      </w:r>
      <w:r>
        <w:rPr>
          <w:rFonts w:ascii="Times New Roman" w:hAnsi="Times New Roman" w:cs="Times New Roman"/>
          <w:sz w:val="24"/>
          <w:szCs w:val="24"/>
        </w:rPr>
        <w:t>4)</w:t>
      </w:r>
      <w:r w:rsidR="009271BC">
        <w:rPr>
          <w:rFonts w:ascii="Times New Roman" w:hAnsi="Times New Roman" w:cs="Times New Roman"/>
          <w:sz w:val="24"/>
          <w:szCs w:val="24"/>
        </w:rPr>
        <w:t xml:space="preserve"> separately</w:t>
      </w:r>
      <w:r>
        <w:rPr>
          <w:rFonts w:ascii="Times New Roman" w:hAnsi="Times New Roman" w:cs="Times New Roman"/>
          <w:sz w:val="24"/>
          <w:szCs w:val="24"/>
        </w:rPr>
        <w:t xml:space="preserve">. He </w:t>
      </w:r>
      <w:r w:rsidR="003808CD" w:rsidRPr="004E0709">
        <w:rPr>
          <w:rFonts w:ascii="Times New Roman" w:hAnsi="Times New Roman" w:cs="Times New Roman"/>
          <w:sz w:val="24"/>
          <w:szCs w:val="24"/>
        </w:rPr>
        <w:t>abandoned</w:t>
      </w:r>
      <w:r>
        <w:rPr>
          <w:rFonts w:ascii="Times New Roman" w:hAnsi="Times New Roman" w:cs="Times New Roman"/>
          <w:sz w:val="24"/>
          <w:szCs w:val="24"/>
        </w:rPr>
        <w:t xml:space="preserve"> ground (5)</w:t>
      </w:r>
      <w:r w:rsidR="00CD23BC" w:rsidRPr="004E0709">
        <w:rPr>
          <w:rFonts w:ascii="Times New Roman" w:hAnsi="Times New Roman" w:cs="Times New Roman"/>
          <w:sz w:val="24"/>
          <w:szCs w:val="24"/>
        </w:rPr>
        <w:t xml:space="preserve">. </w:t>
      </w:r>
      <w:r>
        <w:rPr>
          <w:rFonts w:ascii="Times New Roman" w:hAnsi="Times New Roman" w:cs="Times New Roman"/>
          <w:sz w:val="24"/>
          <w:szCs w:val="24"/>
        </w:rPr>
        <w:t>He submitted that in p</w:t>
      </w:r>
      <w:r w:rsidR="00CD23BC" w:rsidRPr="004E0709">
        <w:rPr>
          <w:rFonts w:ascii="Times New Roman" w:hAnsi="Times New Roman" w:cs="Times New Roman"/>
          <w:sz w:val="24"/>
          <w:szCs w:val="24"/>
        </w:rPr>
        <w:t>ara</w:t>
      </w:r>
      <w:r>
        <w:rPr>
          <w:rFonts w:ascii="Times New Roman" w:hAnsi="Times New Roman" w:cs="Times New Roman"/>
          <w:sz w:val="24"/>
          <w:szCs w:val="24"/>
        </w:rPr>
        <w:t>graph</w:t>
      </w:r>
      <w:r w:rsidR="00CD23BC" w:rsidRPr="004E0709">
        <w:rPr>
          <w:rFonts w:ascii="Times New Roman" w:hAnsi="Times New Roman" w:cs="Times New Roman"/>
          <w:sz w:val="24"/>
          <w:szCs w:val="24"/>
        </w:rPr>
        <w:t xml:space="preserve"> 16 of the counterclaim, para</w:t>
      </w:r>
      <w:r>
        <w:rPr>
          <w:rFonts w:ascii="Times New Roman" w:hAnsi="Times New Roman" w:cs="Times New Roman"/>
          <w:sz w:val="24"/>
          <w:szCs w:val="24"/>
        </w:rPr>
        <w:t>graph</w:t>
      </w:r>
      <w:r w:rsidR="00CD23BC" w:rsidRPr="004E0709">
        <w:rPr>
          <w:rFonts w:ascii="Times New Roman" w:hAnsi="Times New Roman" w:cs="Times New Roman"/>
          <w:sz w:val="24"/>
          <w:szCs w:val="24"/>
        </w:rPr>
        <w:t xml:space="preserve">s 3, 77 - 91 of the witness statement for the appellant, </w:t>
      </w:r>
      <w:r>
        <w:rPr>
          <w:rFonts w:ascii="Times New Roman" w:hAnsi="Times New Roman" w:cs="Times New Roman"/>
          <w:sz w:val="24"/>
          <w:szCs w:val="24"/>
        </w:rPr>
        <w:t xml:space="preserve">and </w:t>
      </w:r>
      <w:r w:rsidR="00CD23BC" w:rsidRPr="004E0709">
        <w:rPr>
          <w:rFonts w:ascii="Times New Roman" w:hAnsi="Times New Roman" w:cs="Times New Roman"/>
          <w:sz w:val="24"/>
          <w:szCs w:val="24"/>
        </w:rPr>
        <w:t>para</w:t>
      </w:r>
      <w:r>
        <w:rPr>
          <w:rFonts w:ascii="Times New Roman" w:hAnsi="Times New Roman" w:cs="Times New Roman"/>
          <w:sz w:val="24"/>
          <w:szCs w:val="24"/>
        </w:rPr>
        <w:t>graph</w:t>
      </w:r>
      <w:r w:rsidR="00CD23BC" w:rsidRPr="004E0709">
        <w:rPr>
          <w:rFonts w:ascii="Times New Roman" w:hAnsi="Times New Roman" w:cs="Times New Roman"/>
          <w:sz w:val="24"/>
          <w:szCs w:val="24"/>
        </w:rPr>
        <w:t xml:space="preserve"> 6 of the witness statement of </w:t>
      </w:r>
      <w:r w:rsidR="00BA1EB5">
        <w:rPr>
          <w:rFonts w:ascii="Times New Roman" w:hAnsi="Times New Roman" w:cs="Times New Roman"/>
          <w:sz w:val="24"/>
          <w:szCs w:val="24"/>
        </w:rPr>
        <w:t xml:space="preserve">D.W.3 Odur Ensio </w:t>
      </w:r>
      <w:r>
        <w:rPr>
          <w:rFonts w:ascii="Times New Roman" w:hAnsi="Times New Roman" w:cs="Times New Roman"/>
          <w:sz w:val="24"/>
          <w:szCs w:val="24"/>
        </w:rPr>
        <w:t>it was asserted that</w:t>
      </w:r>
      <w:r w:rsidR="00CD23BC" w:rsidRPr="004E0709">
        <w:rPr>
          <w:rFonts w:ascii="Times New Roman" w:hAnsi="Times New Roman" w:cs="Times New Roman"/>
          <w:sz w:val="24"/>
          <w:szCs w:val="24"/>
        </w:rPr>
        <w:t xml:space="preserve"> </w:t>
      </w:r>
      <w:r>
        <w:rPr>
          <w:rFonts w:ascii="Times New Roman" w:hAnsi="Times New Roman" w:cs="Times New Roman"/>
          <w:sz w:val="24"/>
          <w:szCs w:val="24"/>
        </w:rPr>
        <w:t>the</w:t>
      </w:r>
      <w:r w:rsidR="003808CD" w:rsidRPr="004E0709">
        <w:rPr>
          <w:rFonts w:ascii="Times New Roman" w:hAnsi="Times New Roman" w:cs="Times New Roman"/>
          <w:sz w:val="24"/>
          <w:szCs w:val="24"/>
        </w:rPr>
        <w:t xml:space="preserve"> 3</w:t>
      </w:r>
      <w:r w:rsidRPr="00636ED6">
        <w:rPr>
          <w:rFonts w:ascii="Times New Roman" w:hAnsi="Times New Roman" w:cs="Times New Roman"/>
          <w:sz w:val="24"/>
          <w:szCs w:val="24"/>
          <w:vertAlign w:val="superscript"/>
        </w:rPr>
        <w:t>rd</w:t>
      </w:r>
      <w:r w:rsidR="003808CD" w:rsidRPr="004E0709">
        <w:rPr>
          <w:rFonts w:ascii="Times New Roman" w:hAnsi="Times New Roman" w:cs="Times New Roman"/>
          <w:sz w:val="24"/>
          <w:szCs w:val="24"/>
        </w:rPr>
        <w:t xml:space="preserve"> - 7</w:t>
      </w:r>
      <w:r w:rsidRPr="00636ED6">
        <w:rPr>
          <w:rFonts w:ascii="Times New Roman" w:hAnsi="Times New Roman" w:cs="Times New Roman"/>
          <w:sz w:val="24"/>
          <w:szCs w:val="24"/>
          <w:vertAlign w:val="superscript"/>
        </w:rPr>
        <w:t>th</w:t>
      </w:r>
      <w:r>
        <w:rPr>
          <w:rFonts w:ascii="Times New Roman" w:hAnsi="Times New Roman" w:cs="Times New Roman"/>
          <w:sz w:val="24"/>
          <w:szCs w:val="24"/>
        </w:rPr>
        <w:t xml:space="preserve"> respondents</w:t>
      </w:r>
      <w:r w:rsidR="003808CD" w:rsidRPr="004E0709">
        <w:rPr>
          <w:rFonts w:ascii="Times New Roman" w:hAnsi="Times New Roman" w:cs="Times New Roman"/>
          <w:sz w:val="24"/>
          <w:szCs w:val="24"/>
        </w:rPr>
        <w:t xml:space="preserve"> are Sudanese. This </w:t>
      </w:r>
      <w:r>
        <w:rPr>
          <w:rFonts w:ascii="Times New Roman" w:hAnsi="Times New Roman" w:cs="Times New Roman"/>
          <w:sz w:val="24"/>
          <w:szCs w:val="24"/>
        </w:rPr>
        <w:t>was</w:t>
      </w:r>
      <w:r w:rsidR="003808CD" w:rsidRPr="004E0709">
        <w:rPr>
          <w:rFonts w:ascii="Times New Roman" w:hAnsi="Times New Roman" w:cs="Times New Roman"/>
          <w:sz w:val="24"/>
          <w:szCs w:val="24"/>
        </w:rPr>
        <w:t xml:space="preserve"> corroborated by D.W.4. </w:t>
      </w:r>
      <w:r>
        <w:rPr>
          <w:rFonts w:ascii="Times New Roman" w:hAnsi="Times New Roman" w:cs="Times New Roman"/>
          <w:sz w:val="24"/>
          <w:szCs w:val="24"/>
        </w:rPr>
        <w:t xml:space="preserve">when he </w:t>
      </w:r>
      <w:r w:rsidR="003808CD" w:rsidRPr="004E0709">
        <w:rPr>
          <w:rFonts w:ascii="Times New Roman" w:hAnsi="Times New Roman" w:cs="Times New Roman"/>
          <w:sz w:val="24"/>
          <w:szCs w:val="24"/>
        </w:rPr>
        <w:t>tender</w:t>
      </w:r>
      <w:r>
        <w:rPr>
          <w:rFonts w:ascii="Times New Roman" w:hAnsi="Times New Roman" w:cs="Times New Roman"/>
          <w:sz w:val="24"/>
          <w:szCs w:val="24"/>
        </w:rPr>
        <w:t xml:space="preserve">ed </w:t>
      </w:r>
      <w:r w:rsidR="003808CD" w:rsidRPr="004E0709">
        <w:rPr>
          <w:rFonts w:ascii="Times New Roman" w:hAnsi="Times New Roman" w:cs="Times New Roman"/>
          <w:sz w:val="24"/>
          <w:szCs w:val="24"/>
        </w:rPr>
        <w:t xml:space="preserve">in </w:t>
      </w:r>
      <w:r>
        <w:rPr>
          <w:rFonts w:ascii="Times New Roman" w:hAnsi="Times New Roman" w:cs="Times New Roman"/>
          <w:sz w:val="24"/>
          <w:szCs w:val="24"/>
        </w:rPr>
        <w:t xml:space="preserve">documents of </w:t>
      </w:r>
      <w:r w:rsidR="003808CD" w:rsidRPr="004E0709">
        <w:rPr>
          <w:rFonts w:ascii="Times New Roman" w:hAnsi="Times New Roman" w:cs="Times New Roman"/>
          <w:sz w:val="24"/>
          <w:szCs w:val="24"/>
        </w:rPr>
        <w:t xml:space="preserve">refugee family attestation for the </w:t>
      </w:r>
      <w:r>
        <w:rPr>
          <w:rFonts w:ascii="Times New Roman" w:hAnsi="Times New Roman" w:cs="Times New Roman"/>
          <w:sz w:val="24"/>
          <w:szCs w:val="24"/>
        </w:rPr>
        <w:t>said respondents</w:t>
      </w:r>
      <w:r w:rsidR="003808CD" w:rsidRPr="004E0709">
        <w:rPr>
          <w:rFonts w:ascii="Times New Roman" w:hAnsi="Times New Roman" w:cs="Times New Roman"/>
          <w:sz w:val="24"/>
          <w:szCs w:val="24"/>
        </w:rPr>
        <w:t xml:space="preserve"> to show </w:t>
      </w:r>
      <w:r>
        <w:rPr>
          <w:rFonts w:ascii="Times New Roman" w:hAnsi="Times New Roman" w:cs="Times New Roman"/>
          <w:sz w:val="24"/>
          <w:szCs w:val="24"/>
        </w:rPr>
        <w:t xml:space="preserve">that </w:t>
      </w:r>
      <w:r w:rsidR="003808CD" w:rsidRPr="004E0709">
        <w:rPr>
          <w:rFonts w:ascii="Times New Roman" w:hAnsi="Times New Roman" w:cs="Times New Roman"/>
          <w:sz w:val="24"/>
          <w:szCs w:val="24"/>
        </w:rPr>
        <w:t xml:space="preserve">they are refugees. </w:t>
      </w:r>
      <w:r>
        <w:rPr>
          <w:rFonts w:ascii="Times New Roman" w:hAnsi="Times New Roman" w:cs="Times New Roman"/>
          <w:sz w:val="24"/>
          <w:szCs w:val="24"/>
        </w:rPr>
        <w:t xml:space="preserve">The </w:t>
      </w:r>
      <w:r w:rsidRPr="004E0709">
        <w:rPr>
          <w:rFonts w:ascii="Times New Roman" w:hAnsi="Times New Roman" w:cs="Times New Roman"/>
          <w:sz w:val="24"/>
          <w:szCs w:val="24"/>
        </w:rPr>
        <w:t xml:space="preserve">refugee family attestation </w:t>
      </w:r>
      <w:r>
        <w:rPr>
          <w:rFonts w:ascii="Times New Roman" w:hAnsi="Times New Roman" w:cs="Times New Roman"/>
          <w:sz w:val="24"/>
          <w:szCs w:val="24"/>
        </w:rPr>
        <w:t xml:space="preserve">documents were </w:t>
      </w:r>
      <w:r w:rsidR="003808CD" w:rsidRPr="004E0709">
        <w:rPr>
          <w:rFonts w:ascii="Times New Roman" w:hAnsi="Times New Roman" w:cs="Times New Roman"/>
          <w:sz w:val="24"/>
          <w:szCs w:val="24"/>
        </w:rPr>
        <w:t>received as identification document</w:t>
      </w:r>
      <w:r>
        <w:rPr>
          <w:rFonts w:ascii="Times New Roman" w:hAnsi="Times New Roman" w:cs="Times New Roman"/>
          <w:sz w:val="24"/>
          <w:szCs w:val="24"/>
        </w:rPr>
        <w:t>s only</w:t>
      </w:r>
      <w:r w:rsidR="003808CD" w:rsidRPr="004E0709">
        <w:rPr>
          <w:rFonts w:ascii="Times New Roman" w:hAnsi="Times New Roman" w:cs="Times New Roman"/>
          <w:sz w:val="24"/>
          <w:szCs w:val="24"/>
        </w:rPr>
        <w:t xml:space="preserve"> yet they </w:t>
      </w:r>
      <w:r w:rsidR="00FC799D" w:rsidRPr="004E0709">
        <w:rPr>
          <w:rFonts w:ascii="Times New Roman" w:hAnsi="Times New Roman" w:cs="Times New Roman"/>
          <w:sz w:val="24"/>
          <w:szCs w:val="24"/>
        </w:rPr>
        <w:t>were</w:t>
      </w:r>
      <w:r w:rsidR="003808CD" w:rsidRPr="004E0709">
        <w:rPr>
          <w:rFonts w:ascii="Times New Roman" w:hAnsi="Times New Roman" w:cs="Times New Roman"/>
          <w:sz w:val="24"/>
          <w:szCs w:val="24"/>
        </w:rPr>
        <w:t xml:space="preserve"> certified </w:t>
      </w:r>
      <w:r w:rsidR="00FC799D" w:rsidRPr="004E0709">
        <w:rPr>
          <w:rFonts w:ascii="Times New Roman" w:hAnsi="Times New Roman" w:cs="Times New Roman"/>
          <w:sz w:val="24"/>
          <w:szCs w:val="24"/>
        </w:rPr>
        <w:t>documents</w:t>
      </w:r>
      <w:r w:rsidR="003808CD" w:rsidRPr="004E0709">
        <w:rPr>
          <w:rFonts w:ascii="Times New Roman" w:hAnsi="Times New Roman" w:cs="Times New Roman"/>
          <w:sz w:val="24"/>
          <w:szCs w:val="24"/>
        </w:rPr>
        <w:t xml:space="preserve"> from the Office of the Prime Minister. Each of the </w:t>
      </w:r>
      <w:r w:rsidR="00FC799D" w:rsidRPr="004E0709">
        <w:rPr>
          <w:rFonts w:ascii="Times New Roman" w:hAnsi="Times New Roman" w:cs="Times New Roman"/>
          <w:sz w:val="24"/>
          <w:szCs w:val="24"/>
        </w:rPr>
        <w:t xml:space="preserve">respondents was identified as a refugee. They should have been received as exhibits and not as identified documents. The respondents never challenged the documents from the Office of the Prime Minister. At page 44 of the record, the appellant explained the source of the documents. </w:t>
      </w:r>
      <w:r>
        <w:rPr>
          <w:rFonts w:ascii="Times New Roman" w:hAnsi="Times New Roman" w:cs="Times New Roman"/>
          <w:sz w:val="24"/>
          <w:szCs w:val="24"/>
        </w:rPr>
        <w:t>The accompanying</w:t>
      </w:r>
      <w:r w:rsidR="00FC799D" w:rsidRPr="004E0709">
        <w:rPr>
          <w:rFonts w:ascii="Times New Roman" w:hAnsi="Times New Roman" w:cs="Times New Roman"/>
          <w:sz w:val="24"/>
          <w:szCs w:val="24"/>
        </w:rPr>
        <w:t xml:space="preserve"> </w:t>
      </w:r>
      <w:r w:rsidR="0057009A" w:rsidRPr="004E0709">
        <w:rPr>
          <w:rFonts w:ascii="Times New Roman" w:hAnsi="Times New Roman" w:cs="Times New Roman"/>
          <w:sz w:val="24"/>
          <w:szCs w:val="24"/>
        </w:rPr>
        <w:t>letter</w:t>
      </w:r>
      <w:r w:rsidR="00FC799D" w:rsidRPr="004E0709">
        <w:rPr>
          <w:rFonts w:ascii="Times New Roman" w:hAnsi="Times New Roman" w:cs="Times New Roman"/>
          <w:sz w:val="24"/>
          <w:szCs w:val="24"/>
        </w:rPr>
        <w:t xml:space="preserve"> from the Office of the Prime Minister was </w:t>
      </w:r>
      <w:r w:rsidR="0057009A" w:rsidRPr="004E0709">
        <w:rPr>
          <w:rFonts w:ascii="Times New Roman" w:hAnsi="Times New Roman" w:cs="Times New Roman"/>
          <w:sz w:val="24"/>
          <w:szCs w:val="24"/>
        </w:rPr>
        <w:t>tendered</w:t>
      </w:r>
      <w:r w:rsidR="00FC799D" w:rsidRPr="004E0709">
        <w:rPr>
          <w:rFonts w:ascii="Times New Roman" w:hAnsi="Times New Roman" w:cs="Times New Roman"/>
          <w:sz w:val="24"/>
          <w:szCs w:val="24"/>
        </w:rPr>
        <w:t xml:space="preserve"> in</w:t>
      </w:r>
      <w:r w:rsidR="0057009A" w:rsidRPr="004E0709">
        <w:rPr>
          <w:rFonts w:ascii="Times New Roman" w:hAnsi="Times New Roman" w:cs="Times New Roman"/>
          <w:sz w:val="24"/>
          <w:szCs w:val="24"/>
        </w:rPr>
        <w:t xml:space="preserve"> court</w:t>
      </w:r>
      <w:r w:rsidR="00FC799D" w:rsidRPr="004E0709">
        <w:rPr>
          <w:rFonts w:ascii="Times New Roman" w:hAnsi="Times New Roman" w:cs="Times New Roman"/>
          <w:sz w:val="24"/>
          <w:szCs w:val="24"/>
        </w:rPr>
        <w:t xml:space="preserve"> as exhibit No. 10. The da</w:t>
      </w:r>
      <w:r w:rsidR="0057009A" w:rsidRPr="004E0709">
        <w:rPr>
          <w:rFonts w:ascii="Times New Roman" w:hAnsi="Times New Roman" w:cs="Times New Roman"/>
          <w:sz w:val="24"/>
          <w:szCs w:val="24"/>
        </w:rPr>
        <w:t>t</w:t>
      </w:r>
      <w:r w:rsidR="00FC799D" w:rsidRPr="004E0709">
        <w:rPr>
          <w:rFonts w:ascii="Times New Roman" w:hAnsi="Times New Roman" w:cs="Times New Roman"/>
          <w:sz w:val="24"/>
          <w:szCs w:val="24"/>
        </w:rPr>
        <w:t xml:space="preserve">a of the respondents was authorised to </w:t>
      </w:r>
      <w:r w:rsidR="0057009A" w:rsidRPr="004E0709">
        <w:rPr>
          <w:rFonts w:ascii="Times New Roman" w:hAnsi="Times New Roman" w:cs="Times New Roman"/>
          <w:sz w:val="24"/>
          <w:szCs w:val="24"/>
        </w:rPr>
        <w:t>be</w:t>
      </w:r>
      <w:r w:rsidR="00FC799D" w:rsidRPr="004E0709">
        <w:rPr>
          <w:rFonts w:ascii="Times New Roman" w:hAnsi="Times New Roman" w:cs="Times New Roman"/>
          <w:sz w:val="24"/>
          <w:szCs w:val="24"/>
        </w:rPr>
        <w:t xml:space="preserve"> taken. This too was not challenged by the respondents. </w:t>
      </w:r>
      <w:r>
        <w:rPr>
          <w:rFonts w:ascii="Times New Roman" w:hAnsi="Times New Roman" w:cs="Times New Roman"/>
          <w:sz w:val="24"/>
          <w:szCs w:val="24"/>
        </w:rPr>
        <w:t>He</w:t>
      </w:r>
      <w:r w:rsidR="0057009A" w:rsidRPr="004E0709">
        <w:rPr>
          <w:rFonts w:ascii="Times New Roman" w:hAnsi="Times New Roman" w:cs="Times New Roman"/>
          <w:sz w:val="24"/>
          <w:szCs w:val="24"/>
        </w:rPr>
        <w:t xml:space="preserve"> submit</w:t>
      </w:r>
      <w:r>
        <w:rPr>
          <w:rFonts w:ascii="Times New Roman" w:hAnsi="Times New Roman" w:cs="Times New Roman"/>
          <w:sz w:val="24"/>
          <w:szCs w:val="24"/>
        </w:rPr>
        <w:t>ted</w:t>
      </w:r>
      <w:r w:rsidR="0057009A" w:rsidRPr="004E0709">
        <w:rPr>
          <w:rFonts w:ascii="Times New Roman" w:hAnsi="Times New Roman" w:cs="Times New Roman"/>
          <w:sz w:val="24"/>
          <w:szCs w:val="24"/>
        </w:rPr>
        <w:t xml:space="preserve"> that </w:t>
      </w:r>
      <w:r>
        <w:rPr>
          <w:rFonts w:ascii="Times New Roman" w:hAnsi="Times New Roman" w:cs="Times New Roman"/>
          <w:sz w:val="24"/>
          <w:szCs w:val="24"/>
        </w:rPr>
        <w:t xml:space="preserve">by virtue of their status, </w:t>
      </w:r>
      <w:r w:rsidR="0057009A" w:rsidRPr="004E0709">
        <w:rPr>
          <w:rFonts w:ascii="Times New Roman" w:hAnsi="Times New Roman" w:cs="Times New Roman"/>
          <w:sz w:val="24"/>
          <w:szCs w:val="24"/>
        </w:rPr>
        <w:t>the respondents can only acquire a leas</w:t>
      </w:r>
      <w:r>
        <w:rPr>
          <w:rFonts w:ascii="Times New Roman" w:hAnsi="Times New Roman" w:cs="Times New Roman"/>
          <w:sz w:val="24"/>
          <w:szCs w:val="24"/>
        </w:rPr>
        <w:t>e</w:t>
      </w:r>
      <w:r w:rsidR="0057009A" w:rsidRPr="004E0709">
        <w:rPr>
          <w:rFonts w:ascii="Times New Roman" w:hAnsi="Times New Roman" w:cs="Times New Roman"/>
          <w:sz w:val="24"/>
          <w:szCs w:val="24"/>
        </w:rPr>
        <w:t xml:space="preserve"> and not </w:t>
      </w:r>
      <w:r>
        <w:rPr>
          <w:rFonts w:ascii="Times New Roman" w:hAnsi="Times New Roman" w:cs="Times New Roman"/>
          <w:sz w:val="24"/>
          <w:szCs w:val="24"/>
        </w:rPr>
        <w:t xml:space="preserve">land under </w:t>
      </w:r>
      <w:r w:rsidR="0057009A" w:rsidRPr="004E0709">
        <w:rPr>
          <w:rFonts w:ascii="Times New Roman" w:hAnsi="Times New Roman" w:cs="Times New Roman"/>
          <w:sz w:val="24"/>
          <w:szCs w:val="24"/>
        </w:rPr>
        <w:t xml:space="preserve">customary tenure. They claimed dot have acquire it from their grandfather as customary land. </w:t>
      </w:r>
    </w:p>
    <w:p w:rsidR="00636ED6" w:rsidRDefault="00636ED6" w:rsidP="00636ED6">
      <w:pPr>
        <w:spacing w:after="0" w:line="360" w:lineRule="auto"/>
        <w:jc w:val="both"/>
        <w:rPr>
          <w:rFonts w:ascii="Times New Roman" w:hAnsi="Times New Roman" w:cs="Times New Roman"/>
          <w:sz w:val="24"/>
          <w:szCs w:val="24"/>
        </w:rPr>
      </w:pPr>
    </w:p>
    <w:p w:rsidR="00F217DC" w:rsidRDefault="00636ED6" w:rsidP="00636E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As regard the fourth ground relating to </w:t>
      </w:r>
      <w:r w:rsidR="0057009A" w:rsidRPr="004E0709">
        <w:rPr>
          <w:rFonts w:ascii="Times New Roman" w:hAnsi="Times New Roman" w:cs="Times New Roman"/>
          <w:sz w:val="24"/>
          <w:szCs w:val="24"/>
        </w:rPr>
        <w:t xml:space="preserve">inconsistencies and contradictions, </w:t>
      </w:r>
      <w:r>
        <w:rPr>
          <w:rFonts w:ascii="Times New Roman" w:hAnsi="Times New Roman" w:cs="Times New Roman"/>
          <w:sz w:val="24"/>
          <w:szCs w:val="24"/>
        </w:rPr>
        <w:t xml:space="preserve">at </w:t>
      </w:r>
      <w:r w:rsidR="0057009A" w:rsidRPr="004E0709">
        <w:rPr>
          <w:rFonts w:ascii="Times New Roman" w:hAnsi="Times New Roman" w:cs="Times New Roman"/>
          <w:sz w:val="24"/>
          <w:szCs w:val="24"/>
        </w:rPr>
        <w:t xml:space="preserve">page 12 of the </w:t>
      </w:r>
      <w:r>
        <w:rPr>
          <w:rFonts w:ascii="Times New Roman" w:hAnsi="Times New Roman" w:cs="Times New Roman"/>
          <w:sz w:val="24"/>
          <w:szCs w:val="24"/>
        </w:rPr>
        <w:t xml:space="preserve">record of </w:t>
      </w:r>
      <w:r w:rsidR="0057009A" w:rsidRPr="004E0709">
        <w:rPr>
          <w:rFonts w:ascii="Times New Roman" w:hAnsi="Times New Roman" w:cs="Times New Roman"/>
          <w:sz w:val="24"/>
          <w:szCs w:val="24"/>
        </w:rPr>
        <w:t xml:space="preserve">proceedings </w:t>
      </w:r>
      <w:r>
        <w:rPr>
          <w:rFonts w:ascii="Times New Roman" w:hAnsi="Times New Roman" w:cs="Times New Roman"/>
          <w:sz w:val="24"/>
          <w:szCs w:val="24"/>
        </w:rPr>
        <w:t xml:space="preserve">the court </w:t>
      </w:r>
      <w:r w:rsidR="0057009A" w:rsidRPr="004E0709">
        <w:rPr>
          <w:rFonts w:ascii="Times New Roman" w:hAnsi="Times New Roman" w:cs="Times New Roman"/>
          <w:sz w:val="24"/>
          <w:szCs w:val="24"/>
        </w:rPr>
        <w:t>identifie</w:t>
      </w:r>
      <w:r>
        <w:rPr>
          <w:rFonts w:ascii="Times New Roman" w:hAnsi="Times New Roman" w:cs="Times New Roman"/>
          <w:sz w:val="24"/>
          <w:szCs w:val="24"/>
        </w:rPr>
        <w:t>d</w:t>
      </w:r>
      <w:r w:rsidR="0057009A" w:rsidRPr="004E0709">
        <w:rPr>
          <w:rFonts w:ascii="Times New Roman" w:hAnsi="Times New Roman" w:cs="Times New Roman"/>
          <w:sz w:val="24"/>
          <w:szCs w:val="24"/>
        </w:rPr>
        <w:t xml:space="preserve"> the land in dispute but in the judgement reference </w:t>
      </w:r>
      <w:r w:rsidR="00BA1EB5">
        <w:rPr>
          <w:rFonts w:ascii="Times New Roman" w:hAnsi="Times New Roman" w:cs="Times New Roman"/>
          <w:sz w:val="24"/>
          <w:szCs w:val="24"/>
        </w:rPr>
        <w:t>was</w:t>
      </w:r>
      <w:r w:rsidR="0057009A" w:rsidRPr="004E0709">
        <w:rPr>
          <w:rFonts w:ascii="Times New Roman" w:hAnsi="Times New Roman" w:cs="Times New Roman"/>
          <w:sz w:val="24"/>
          <w:szCs w:val="24"/>
        </w:rPr>
        <w:t xml:space="preserve"> made to plot 65 which was not in dispute. The appellant in his W.S.D stated that he di</w:t>
      </w:r>
      <w:r w:rsidR="00BA1EB5">
        <w:rPr>
          <w:rFonts w:ascii="Times New Roman" w:hAnsi="Times New Roman" w:cs="Times New Roman"/>
          <w:sz w:val="24"/>
          <w:szCs w:val="24"/>
        </w:rPr>
        <w:t>d</w:t>
      </w:r>
      <w:r w:rsidR="0057009A" w:rsidRPr="004E0709">
        <w:rPr>
          <w:rFonts w:ascii="Times New Roman" w:hAnsi="Times New Roman" w:cs="Times New Roman"/>
          <w:sz w:val="24"/>
          <w:szCs w:val="24"/>
        </w:rPr>
        <w:t xml:space="preserve"> not have any dispute over plot 81 that the respondents are claiming. He inherited plot 117. It is him in occupation. The respondents claimed that he was a trespasser on their land. Para 7 of the counterclaim state</w:t>
      </w:r>
      <w:r w:rsidR="00CB483E">
        <w:rPr>
          <w:rFonts w:ascii="Times New Roman" w:hAnsi="Times New Roman" w:cs="Times New Roman"/>
          <w:sz w:val="24"/>
          <w:szCs w:val="24"/>
        </w:rPr>
        <w:t>s</w:t>
      </w:r>
      <w:r w:rsidR="0057009A" w:rsidRPr="004E0709">
        <w:rPr>
          <w:rFonts w:ascii="Times New Roman" w:hAnsi="Times New Roman" w:cs="Times New Roman"/>
          <w:sz w:val="24"/>
          <w:szCs w:val="24"/>
        </w:rPr>
        <w:t xml:space="preserve"> that he inherited the property and his late father </w:t>
      </w:r>
      <w:r w:rsidR="00BA1EB5">
        <w:rPr>
          <w:rFonts w:ascii="Times New Roman" w:hAnsi="Times New Roman" w:cs="Times New Roman"/>
          <w:sz w:val="24"/>
          <w:szCs w:val="24"/>
        </w:rPr>
        <w:t>who b</w:t>
      </w:r>
      <w:r w:rsidR="0057009A" w:rsidRPr="004E0709">
        <w:rPr>
          <w:rFonts w:ascii="Times New Roman" w:hAnsi="Times New Roman" w:cs="Times New Roman"/>
          <w:sz w:val="24"/>
          <w:szCs w:val="24"/>
        </w:rPr>
        <w:t xml:space="preserve">ought it at shs. 200/= and the evidence is corroborated by D.W.2 </w:t>
      </w:r>
      <w:r w:rsidR="00BA1EB5">
        <w:rPr>
          <w:rFonts w:ascii="Times New Roman" w:hAnsi="Times New Roman" w:cs="Times New Roman"/>
          <w:sz w:val="24"/>
          <w:szCs w:val="24"/>
        </w:rPr>
        <w:t>Omaya John</w:t>
      </w:r>
      <w:r w:rsidR="00F217DC">
        <w:rPr>
          <w:rFonts w:ascii="Times New Roman" w:hAnsi="Times New Roman" w:cs="Times New Roman"/>
          <w:sz w:val="24"/>
          <w:szCs w:val="24"/>
        </w:rPr>
        <w:t xml:space="preserve"> aged 87. </w:t>
      </w:r>
      <w:r w:rsidR="0057009A" w:rsidRPr="004E0709">
        <w:rPr>
          <w:rFonts w:ascii="Times New Roman" w:hAnsi="Times New Roman" w:cs="Times New Roman"/>
          <w:sz w:val="24"/>
          <w:szCs w:val="24"/>
        </w:rPr>
        <w:t xml:space="preserve">The father of the appellant obtained it from a Yoana Lodur in 1954. D.W.2 in para 4 of his testimony stated that he with the </w:t>
      </w:r>
      <w:r w:rsidR="0057009A" w:rsidRPr="004E0709">
        <w:rPr>
          <w:rFonts w:ascii="Times New Roman" w:hAnsi="Times New Roman" w:cs="Times New Roman"/>
          <w:sz w:val="24"/>
          <w:szCs w:val="24"/>
        </w:rPr>
        <w:lastRenderedPageBreak/>
        <w:t xml:space="preserve">late Yoana Lodur were carpenters. The land was allocated to the late </w:t>
      </w:r>
      <w:r w:rsidR="007E11D8" w:rsidRPr="004E0709">
        <w:rPr>
          <w:rFonts w:ascii="Times New Roman" w:hAnsi="Times New Roman" w:cs="Times New Roman"/>
          <w:sz w:val="24"/>
          <w:szCs w:val="24"/>
        </w:rPr>
        <w:t>Y</w:t>
      </w:r>
      <w:r w:rsidR="0057009A" w:rsidRPr="004E0709">
        <w:rPr>
          <w:rFonts w:ascii="Times New Roman" w:hAnsi="Times New Roman" w:cs="Times New Roman"/>
          <w:sz w:val="24"/>
          <w:szCs w:val="24"/>
        </w:rPr>
        <w:t xml:space="preserve">oana Lodur by the British Government Officials.  The evidence of the respondent witness </w:t>
      </w:r>
      <w:r w:rsidR="00F217DC">
        <w:rPr>
          <w:rFonts w:ascii="Times New Roman" w:hAnsi="Times New Roman" w:cs="Times New Roman"/>
          <w:sz w:val="24"/>
          <w:szCs w:val="24"/>
        </w:rPr>
        <w:t>Auma</w:t>
      </w:r>
      <w:r w:rsidR="0057009A" w:rsidRPr="004E0709">
        <w:rPr>
          <w:rFonts w:ascii="Times New Roman" w:hAnsi="Times New Roman" w:cs="Times New Roman"/>
          <w:sz w:val="24"/>
          <w:szCs w:val="24"/>
        </w:rPr>
        <w:t xml:space="preserve"> Olga aged 56 at page 19 para 4 </w:t>
      </w:r>
      <w:r w:rsidR="007E11D8" w:rsidRPr="004E0709">
        <w:rPr>
          <w:rFonts w:ascii="Times New Roman" w:hAnsi="Times New Roman" w:cs="Times New Roman"/>
          <w:sz w:val="24"/>
          <w:szCs w:val="24"/>
        </w:rPr>
        <w:t>she testified that her husband bought the land from Ayiku. The husb</w:t>
      </w:r>
      <w:r w:rsidR="00F217DC">
        <w:rPr>
          <w:rFonts w:ascii="Times New Roman" w:hAnsi="Times New Roman" w:cs="Times New Roman"/>
          <w:sz w:val="24"/>
          <w:szCs w:val="24"/>
        </w:rPr>
        <w:t xml:space="preserve">and was one of the respondents. </w:t>
      </w:r>
      <w:r w:rsidR="007E11D8" w:rsidRPr="004E0709">
        <w:rPr>
          <w:rFonts w:ascii="Times New Roman" w:hAnsi="Times New Roman" w:cs="Times New Roman"/>
          <w:sz w:val="24"/>
          <w:szCs w:val="24"/>
        </w:rPr>
        <w:t xml:space="preserve">P.W.5 </w:t>
      </w:r>
      <w:r w:rsidR="00F217DC">
        <w:rPr>
          <w:rFonts w:ascii="Times New Roman" w:hAnsi="Times New Roman" w:cs="Times New Roman"/>
          <w:sz w:val="24"/>
          <w:szCs w:val="24"/>
        </w:rPr>
        <w:t xml:space="preserve">at </w:t>
      </w:r>
      <w:r w:rsidR="007E11D8" w:rsidRPr="004E0709">
        <w:rPr>
          <w:rFonts w:ascii="Times New Roman" w:hAnsi="Times New Roman" w:cs="Times New Roman"/>
          <w:sz w:val="24"/>
          <w:szCs w:val="24"/>
        </w:rPr>
        <w:t xml:space="preserve">page 20 para 5 of the record, </w:t>
      </w:r>
      <w:r w:rsidR="00F217DC">
        <w:rPr>
          <w:rFonts w:ascii="Times New Roman" w:hAnsi="Times New Roman" w:cs="Times New Roman"/>
          <w:sz w:val="24"/>
          <w:szCs w:val="24"/>
        </w:rPr>
        <w:t>stated that the late Olal Mark</w:t>
      </w:r>
      <w:r w:rsidR="007E11D8" w:rsidRPr="004E0709">
        <w:rPr>
          <w:rFonts w:ascii="Times New Roman" w:hAnsi="Times New Roman" w:cs="Times New Roman"/>
          <w:sz w:val="24"/>
          <w:szCs w:val="24"/>
        </w:rPr>
        <w:t xml:space="preserve"> had no house on the land. </w:t>
      </w:r>
    </w:p>
    <w:p w:rsidR="00F217DC" w:rsidRDefault="00F217DC" w:rsidP="00636ED6">
      <w:pPr>
        <w:spacing w:after="0" w:line="360" w:lineRule="auto"/>
        <w:jc w:val="both"/>
        <w:rPr>
          <w:rFonts w:ascii="Times New Roman" w:hAnsi="Times New Roman" w:cs="Times New Roman"/>
          <w:sz w:val="24"/>
          <w:szCs w:val="24"/>
        </w:rPr>
      </w:pPr>
    </w:p>
    <w:p w:rsidR="0057009A" w:rsidRDefault="007E11D8" w:rsidP="00636ED6">
      <w:pPr>
        <w:spacing w:after="0" w:line="360" w:lineRule="auto"/>
        <w:jc w:val="both"/>
        <w:rPr>
          <w:rFonts w:ascii="Times New Roman" w:hAnsi="Times New Roman" w:cs="Times New Roman"/>
          <w:sz w:val="24"/>
          <w:szCs w:val="24"/>
        </w:rPr>
      </w:pPr>
      <w:r w:rsidRPr="004E0709">
        <w:rPr>
          <w:rFonts w:ascii="Times New Roman" w:hAnsi="Times New Roman" w:cs="Times New Roman"/>
          <w:sz w:val="24"/>
          <w:szCs w:val="24"/>
        </w:rPr>
        <w:t>The respondent's evidence is contradictor</w:t>
      </w:r>
      <w:r w:rsidR="00F217DC">
        <w:rPr>
          <w:rFonts w:ascii="Times New Roman" w:hAnsi="Times New Roman" w:cs="Times New Roman"/>
          <w:sz w:val="24"/>
          <w:szCs w:val="24"/>
        </w:rPr>
        <w:t>y</w:t>
      </w:r>
      <w:r w:rsidRPr="004E0709">
        <w:rPr>
          <w:rFonts w:ascii="Times New Roman" w:hAnsi="Times New Roman" w:cs="Times New Roman"/>
          <w:sz w:val="24"/>
          <w:szCs w:val="24"/>
        </w:rPr>
        <w:t xml:space="preserve"> as to acquisition. </w:t>
      </w:r>
      <w:r w:rsidR="00F217DC">
        <w:rPr>
          <w:rFonts w:ascii="Times New Roman" w:hAnsi="Times New Roman" w:cs="Times New Roman"/>
          <w:sz w:val="24"/>
          <w:szCs w:val="24"/>
        </w:rPr>
        <w:t>At p</w:t>
      </w:r>
      <w:r w:rsidR="00F217DC" w:rsidRPr="004E0709">
        <w:rPr>
          <w:rFonts w:ascii="Times New Roman" w:hAnsi="Times New Roman" w:cs="Times New Roman"/>
          <w:sz w:val="24"/>
          <w:szCs w:val="24"/>
        </w:rPr>
        <w:t>age 21 of the record</w:t>
      </w:r>
      <w:r w:rsidR="00F217DC">
        <w:rPr>
          <w:rFonts w:ascii="Times New Roman" w:hAnsi="Times New Roman" w:cs="Times New Roman"/>
          <w:sz w:val="24"/>
          <w:szCs w:val="24"/>
        </w:rPr>
        <w:t xml:space="preserve"> t</w:t>
      </w:r>
      <w:r w:rsidRPr="004E0709">
        <w:rPr>
          <w:rFonts w:ascii="Times New Roman" w:hAnsi="Times New Roman" w:cs="Times New Roman"/>
          <w:sz w:val="24"/>
          <w:szCs w:val="24"/>
        </w:rPr>
        <w:t xml:space="preserve">hey claimed they acquired interest as customary land. </w:t>
      </w:r>
      <w:r w:rsidR="00F217DC">
        <w:rPr>
          <w:rFonts w:ascii="Times New Roman" w:hAnsi="Times New Roman" w:cs="Times New Roman"/>
          <w:sz w:val="24"/>
          <w:szCs w:val="24"/>
        </w:rPr>
        <w:t>T</w:t>
      </w:r>
      <w:r w:rsidRPr="004E0709">
        <w:rPr>
          <w:rFonts w:ascii="Times New Roman" w:hAnsi="Times New Roman" w:cs="Times New Roman"/>
          <w:sz w:val="24"/>
          <w:szCs w:val="24"/>
        </w:rPr>
        <w:t>he mother of the appellant testified that the respondents occupied the land forcefully. The land is in Kanyogoga "A" in Gulu Municipality. It is an urban setting. Para 13 of the counterclaim, the respondent claimed to be registered in 1967 as plot 117. They paid ground rent from that year until 1995. Receipts though were not tendered. The letter from the Municipality indicated it was registered to the father of the appellant for purpose of Municipal rates. It was received as ID.9 at page 42. It should have been received as an exhibit</w:t>
      </w:r>
      <w:r w:rsidR="00320EFF" w:rsidRPr="004E0709">
        <w:rPr>
          <w:rFonts w:ascii="Times New Roman" w:hAnsi="Times New Roman" w:cs="Times New Roman"/>
          <w:sz w:val="24"/>
          <w:szCs w:val="24"/>
        </w:rPr>
        <w:t xml:space="preserve"> as it is certified</w:t>
      </w:r>
      <w:r w:rsidRPr="004E0709">
        <w:rPr>
          <w:rFonts w:ascii="Times New Roman" w:hAnsi="Times New Roman" w:cs="Times New Roman"/>
          <w:sz w:val="24"/>
          <w:szCs w:val="24"/>
        </w:rPr>
        <w:t xml:space="preserve">. </w:t>
      </w:r>
      <w:r w:rsidR="00320EFF" w:rsidRPr="004E0709">
        <w:rPr>
          <w:rFonts w:ascii="Times New Roman" w:hAnsi="Times New Roman" w:cs="Times New Roman"/>
          <w:sz w:val="24"/>
          <w:szCs w:val="24"/>
        </w:rPr>
        <w:t xml:space="preserve">The evidence explained the possession of the appellant. </w:t>
      </w:r>
    </w:p>
    <w:p w:rsidR="00F217DC" w:rsidRDefault="00F217DC" w:rsidP="00636ED6">
      <w:pPr>
        <w:spacing w:after="0" w:line="360" w:lineRule="auto"/>
        <w:jc w:val="both"/>
        <w:rPr>
          <w:rFonts w:ascii="Times New Roman" w:hAnsi="Times New Roman" w:cs="Times New Roman"/>
          <w:sz w:val="24"/>
          <w:szCs w:val="24"/>
        </w:rPr>
      </w:pPr>
    </w:p>
    <w:p w:rsidR="00320EFF" w:rsidRDefault="00320EFF" w:rsidP="00F217DC">
      <w:pPr>
        <w:spacing w:after="0" w:line="360" w:lineRule="auto"/>
        <w:jc w:val="both"/>
        <w:rPr>
          <w:rFonts w:ascii="Times New Roman" w:hAnsi="Times New Roman" w:cs="Times New Roman"/>
          <w:sz w:val="24"/>
          <w:szCs w:val="24"/>
        </w:rPr>
      </w:pPr>
      <w:r w:rsidRPr="004E0709">
        <w:rPr>
          <w:rFonts w:ascii="Times New Roman" w:hAnsi="Times New Roman" w:cs="Times New Roman"/>
          <w:sz w:val="24"/>
          <w:szCs w:val="24"/>
        </w:rPr>
        <w:t>D.W.1 in his witness statement para 74 he stated that the first respondent was buried at Lacor in his land, where he lived and died in 2012. This evidence was not controverted. P.W.1 testified at page 29 para 3 said he had approved plans which he never tendered in court. Para 7 of P.W.1 said payment of the ground rent was in the name of Martino Oyugi for plot 91. It means Martino Oyugi was the owner and this was a departure from their pleading. Teresa Ladu in para 2 of her witness statement testified that the land was taken over by the barracks and this contradicted the pleading of the respondents. The respondents pleased that they had receipts for ground rent but they were never tendered in court to prove that the land belonged to their grandfather. The learned trial magistrate erred in stating that plot 117 of Okumu Laz</w:t>
      </w:r>
      <w:r w:rsidR="002C22FC" w:rsidRPr="004E0709">
        <w:rPr>
          <w:rFonts w:ascii="Times New Roman" w:hAnsi="Times New Roman" w:cs="Times New Roman"/>
          <w:sz w:val="24"/>
          <w:szCs w:val="24"/>
        </w:rPr>
        <w:t>a</w:t>
      </w:r>
      <w:r w:rsidRPr="004E0709">
        <w:rPr>
          <w:rFonts w:ascii="Times New Roman" w:hAnsi="Times New Roman" w:cs="Times New Roman"/>
          <w:sz w:val="24"/>
          <w:szCs w:val="24"/>
        </w:rPr>
        <w:t>ro was not supported by any evidence on court record. It is supported by the evidence I have alluded to above. It also erred in stating plot 91 / 65 is the land in dispute yet there was no proof adduced before court to that effect. All the evidence related</w:t>
      </w:r>
      <w:r w:rsidR="00CE469C" w:rsidRPr="004E0709">
        <w:rPr>
          <w:rFonts w:ascii="Times New Roman" w:hAnsi="Times New Roman" w:cs="Times New Roman"/>
          <w:sz w:val="24"/>
          <w:szCs w:val="24"/>
        </w:rPr>
        <w:t xml:space="preserve"> to plot 117. </w:t>
      </w:r>
      <w:r w:rsidRPr="004E0709">
        <w:rPr>
          <w:rFonts w:ascii="Times New Roman" w:hAnsi="Times New Roman" w:cs="Times New Roman"/>
          <w:sz w:val="24"/>
          <w:szCs w:val="24"/>
        </w:rPr>
        <w:t xml:space="preserve">In conclusion the trail magistrate in resolving the first issue when he referred to plot 91 </w:t>
      </w:r>
      <w:r w:rsidR="00CE469C" w:rsidRPr="004E0709">
        <w:rPr>
          <w:rFonts w:ascii="Times New Roman" w:hAnsi="Times New Roman" w:cs="Times New Roman"/>
          <w:sz w:val="24"/>
          <w:szCs w:val="24"/>
        </w:rPr>
        <w:t>/</w:t>
      </w:r>
      <w:r w:rsidRPr="004E0709">
        <w:rPr>
          <w:rFonts w:ascii="Times New Roman" w:hAnsi="Times New Roman" w:cs="Times New Roman"/>
          <w:sz w:val="24"/>
          <w:szCs w:val="24"/>
        </w:rPr>
        <w:t xml:space="preserve"> 65 when the one in issue was 91 or 117. </w:t>
      </w:r>
      <w:r w:rsidR="00CE469C" w:rsidRPr="004E0709">
        <w:rPr>
          <w:rFonts w:ascii="Times New Roman" w:hAnsi="Times New Roman" w:cs="Times New Roman"/>
          <w:sz w:val="24"/>
          <w:szCs w:val="24"/>
        </w:rPr>
        <w:t>We pray that the appeal be allowed.</w:t>
      </w:r>
    </w:p>
    <w:p w:rsidR="00CB483E" w:rsidRDefault="00CB483E" w:rsidP="00CB483E">
      <w:pPr>
        <w:spacing w:after="0" w:line="360" w:lineRule="auto"/>
        <w:jc w:val="both"/>
        <w:rPr>
          <w:rFonts w:ascii="Times New Roman" w:hAnsi="Times New Roman" w:cs="Times New Roman"/>
          <w:sz w:val="24"/>
          <w:szCs w:val="24"/>
        </w:rPr>
      </w:pPr>
    </w:p>
    <w:p w:rsidR="004E0709" w:rsidRDefault="004E0709" w:rsidP="00CB48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According to the evidence of Ensio para 4 it was alleged that all were refugees. They did not prove citizenship. Plot 91 / 65 is not one and the same as plot 117. There is no evidence to that effect. The disparity in names, is a mere error in writing the name. The mother of the appellant stated that they had land at Atiak and Okumu Lazaro was buried at their ancestral land. It is clear in evidence that they bought the land in the urban area.</w:t>
      </w:r>
    </w:p>
    <w:p w:rsidR="00CB483E" w:rsidRDefault="00CB483E" w:rsidP="00CB483E">
      <w:pPr>
        <w:spacing w:after="0" w:line="360" w:lineRule="auto"/>
        <w:jc w:val="both"/>
        <w:rPr>
          <w:rFonts w:ascii="Times New Roman" w:hAnsi="Times New Roman" w:cs="Times New Roman"/>
          <w:sz w:val="24"/>
          <w:szCs w:val="24"/>
        </w:rPr>
      </w:pPr>
    </w:p>
    <w:p w:rsidR="00CE469C" w:rsidRDefault="00CB483E" w:rsidP="00CB48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response, counsel for the respondents, </w:t>
      </w:r>
      <w:r w:rsidR="00F87B34">
        <w:rPr>
          <w:rFonts w:ascii="Times New Roman" w:hAnsi="Times New Roman" w:cs="Times New Roman"/>
          <w:sz w:val="24"/>
          <w:szCs w:val="24"/>
        </w:rPr>
        <w:t>Mr. Henry Kilama Komakech</w:t>
      </w:r>
      <w:r>
        <w:rPr>
          <w:rFonts w:ascii="Times New Roman" w:hAnsi="Times New Roman" w:cs="Times New Roman"/>
          <w:sz w:val="24"/>
          <w:szCs w:val="24"/>
        </w:rPr>
        <w:t>, argued that i</w:t>
      </w:r>
      <w:r w:rsidR="00CE469C" w:rsidRPr="004E0709">
        <w:rPr>
          <w:rFonts w:ascii="Times New Roman" w:hAnsi="Times New Roman" w:cs="Times New Roman"/>
          <w:sz w:val="24"/>
          <w:szCs w:val="24"/>
        </w:rPr>
        <w:t>t is not true that the appellant produced original but rather photocopied</w:t>
      </w:r>
      <w:r>
        <w:rPr>
          <w:rFonts w:ascii="Times New Roman" w:hAnsi="Times New Roman" w:cs="Times New Roman"/>
          <w:sz w:val="24"/>
          <w:szCs w:val="24"/>
        </w:rPr>
        <w:t xml:space="preserve"> documents</w:t>
      </w:r>
      <w:r w:rsidR="00CE469C" w:rsidRPr="004E0709">
        <w:rPr>
          <w:rFonts w:ascii="Times New Roman" w:hAnsi="Times New Roman" w:cs="Times New Roman"/>
          <w:sz w:val="24"/>
          <w:szCs w:val="24"/>
        </w:rPr>
        <w:t xml:space="preserve">. Even if they relate to the respondents, the root of title of the </w:t>
      </w:r>
      <w:r w:rsidR="009A08D3" w:rsidRPr="004E0709">
        <w:rPr>
          <w:rFonts w:ascii="Times New Roman" w:hAnsi="Times New Roman" w:cs="Times New Roman"/>
          <w:sz w:val="24"/>
          <w:szCs w:val="24"/>
        </w:rPr>
        <w:t>appellant was</w:t>
      </w:r>
      <w:r>
        <w:rPr>
          <w:rFonts w:ascii="Times New Roman" w:hAnsi="Times New Roman" w:cs="Times New Roman"/>
          <w:sz w:val="24"/>
          <w:szCs w:val="24"/>
        </w:rPr>
        <w:t xml:space="preserve"> that of a Ugandan</w:t>
      </w:r>
      <w:r w:rsidR="009A08D3" w:rsidRPr="004E0709">
        <w:rPr>
          <w:rFonts w:ascii="Times New Roman" w:hAnsi="Times New Roman" w:cs="Times New Roman"/>
          <w:sz w:val="24"/>
          <w:szCs w:val="24"/>
        </w:rPr>
        <w:t xml:space="preserve">. They don't claim in their own. </w:t>
      </w:r>
      <w:r>
        <w:rPr>
          <w:rFonts w:ascii="Times New Roman" w:hAnsi="Times New Roman" w:cs="Times New Roman"/>
          <w:sz w:val="24"/>
          <w:szCs w:val="24"/>
        </w:rPr>
        <w:t>T</w:t>
      </w:r>
      <w:r w:rsidR="009A08D3" w:rsidRPr="004E0709">
        <w:rPr>
          <w:rFonts w:ascii="Times New Roman" w:hAnsi="Times New Roman" w:cs="Times New Roman"/>
          <w:sz w:val="24"/>
          <w:szCs w:val="24"/>
        </w:rPr>
        <w:t>he first two respondents are not refugees. The court should find that the land belonged to them by virtue of that inheritance. With regard to the p</w:t>
      </w:r>
      <w:r w:rsidR="002C22FC" w:rsidRPr="004E0709">
        <w:rPr>
          <w:rFonts w:ascii="Times New Roman" w:hAnsi="Times New Roman" w:cs="Times New Roman"/>
          <w:sz w:val="24"/>
          <w:szCs w:val="24"/>
        </w:rPr>
        <w:t>lot</w:t>
      </w:r>
      <w:r w:rsidR="009A08D3" w:rsidRPr="004E0709">
        <w:rPr>
          <w:rFonts w:ascii="Times New Roman" w:hAnsi="Times New Roman" w:cs="Times New Roman"/>
          <w:sz w:val="24"/>
          <w:szCs w:val="24"/>
        </w:rPr>
        <w:t xml:space="preserve"> numbers, P.W.1 stated that the plot 91 later became 61, </w:t>
      </w:r>
      <w:r>
        <w:rPr>
          <w:rFonts w:ascii="Times New Roman" w:hAnsi="Times New Roman" w:cs="Times New Roman"/>
          <w:sz w:val="24"/>
          <w:szCs w:val="24"/>
        </w:rPr>
        <w:t xml:space="preserve">then </w:t>
      </w:r>
      <w:r w:rsidR="009A08D3" w:rsidRPr="004E0709">
        <w:rPr>
          <w:rFonts w:ascii="Times New Roman" w:hAnsi="Times New Roman" w:cs="Times New Roman"/>
          <w:sz w:val="24"/>
          <w:szCs w:val="24"/>
        </w:rPr>
        <w:t xml:space="preserve">65 / 91. The numbering could be different but the </w:t>
      </w:r>
      <w:r w:rsidR="002C22FC" w:rsidRPr="004E0709">
        <w:rPr>
          <w:rFonts w:ascii="Times New Roman" w:hAnsi="Times New Roman" w:cs="Times New Roman"/>
          <w:sz w:val="24"/>
          <w:szCs w:val="24"/>
        </w:rPr>
        <w:t>property</w:t>
      </w:r>
      <w:r w:rsidR="009A08D3" w:rsidRPr="004E0709">
        <w:rPr>
          <w:rFonts w:ascii="Times New Roman" w:hAnsi="Times New Roman" w:cs="Times New Roman"/>
          <w:sz w:val="24"/>
          <w:szCs w:val="24"/>
        </w:rPr>
        <w:t xml:space="preserve"> is t</w:t>
      </w:r>
      <w:r w:rsidR="002C22FC" w:rsidRPr="004E0709">
        <w:rPr>
          <w:rFonts w:ascii="Times New Roman" w:hAnsi="Times New Roman" w:cs="Times New Roman"/>
          <w:sz w:val="24"/>
          <w:szCs w:val="24"/>
        </w:rPr>
        <w:t>he</w:t>
      </w:r>
      <w:r w:rsidR="009A08D3" w:rsidRPr="004E0709">
        <w:rPr>
          <w:rFonts w:ascii="Times New Roman" w:hAnsi="Times New Roman" w:cs="Times New Roman"/>
          <w:sz w:val="24"/>
          <w:szCs w:val="24"/>
        </w:rPr>
        <w:t xml:space="preserve"> same. The name in the register book is Okum Lazaro and not Okumu Lazaro. The lat</w:t>
      </w:r>
      <w:r w:rsidR="002C22FC" w:rsidRPr="004E0709">
        <w:rPr>
          <w:rFonts w:ascii="Times New Roman" w:hAnsi="Times New Roman" w:cs="Times New Roman"/>
          <w:sz w:val="24"/>
          <w:szCs w:val="24"/>
        </w:rPr>
        <w:t>t</w:t>
      </w:r>
      <w:r w:rsidR="009A08D3" w:rsidRPr="004E0709">
        <w:rPr>
          <w:rFonts w:ascii="Times New Roman" w:hAnsi="Times New Roman" w:cs="Times New Roman"/>
          <w:sz w:val="24"/>
          <w:szCs w:val="24"/>
        </w:rPr>
        <w:t xml:space="preserve">er is the father of the </w:t>
      </w:r>
      <w:r w:rsidR="002C22FC" w:rsidRPr="004E0709">
        <w:rPr>
          <w:rFonts w:ascii="Times New Roman" w:hAnsi="Times New Roman" w:cs="Times New Roman"/>
          <w:sz w:val="24"/>
          <w:szCs w:val="24"/>
        </w:rPr>
        <w:t>appellant</w:t>
      </w:r>
      <w:r w:rsidR="009A08D3" w:rsidRPr="004E0709">
        <w:rPr>
          <w:rFonts w:ascii="Times New Roman" w:hAnsi="Times New Roman" w:cs="Times New Roman"/>
          <w:sz w:val="24"/>
          <w:szCs w:val="24"/>
        </w:rPr>
        <w:t xml:space="preserve">. </w:t>
      </w:r>
      <w:r w:rsidR="002C22FC" w:rsidRPr="004E0709">
        <w:rPr>
          <w:rFonts w:ascii="Times New Roman" w:hAnsi="Times New Roman" w:cs="Times New Roman"/>
          <w:sz w:val="24"/>
          <w:szCs w:val="24"/>
        </w:rPr>
        <w:t xml:space="preserve">Only one person lived in that area by that name. </w:t>
      </w:r>
      <w:r>
        <w:rPr>
          <w:rFonts w:ascii="Times New Roman" w:hAnsi="Times New Roman" w:cs="Times New Roman"/>
          <w:sz w:val="24"/>
          <w:szCs w:val="24"/>
        </w:rPr>
        <w:t xml:space="preserve">At </w:t>
      </w:r>
      <w:r w:rsidR="002C22FC" w:rsidRPr="004E0709">
        <w:rPr>
          <w:rFonts w:ascii="Times New Roman" w:hAnsi="Times New Roman" w:cs="Times New Roman"/>
          <w:sz w:val="24"/>
          <w:szCs w:val="24"/>
        </w:rPr>
        <w:t xml:space="preserve">Page 21 </w:t>
      </w:r>
      <w:r>
        <w:rPr>
          <w:rFonts w:ascii="Times New Roman" w:hAnsi="Times New Roman" w:cs="Times New Roman"/>
          <w:sz w:val="24"/>
          <w:szCs w:val="24"/>
        </w:rPr>
        <w:t>of the record of appeal it was said that</w:t>
      </w:r>
      <w:r w:rsidR="002C22FC" w:rsidRPr="004E0709">
        <w:rPr>
          <w:rFonts w:ascii="Times New Roman" w:hAnsi="Times New Roman" w:cs="Times New Roman"/>
          <w:sz w:val="24"/>
          <w:szCs w:val="24"/>
        </w:rPr>
        <w:t xml:space="preserve"> the home of Okumu Lazaro was in Atiak. There was an attempted exchange</w:t>
      </w:r>
      <w:r>
        <w:rPr>
          <w:rFonts w:ascii="Times New Roman" w:hAnsi="Times New Roman" w:cs="Times New Roman"/>
          <w:sz w:val="24"/>
          <w:szCs w:val="24"/>
        </w:rPr>
        <w:t xml:space="preserve"> with the land at Atiak for the plot in dispute</w:t>
      </w:r>
      <w:r w:rsidR="002C22FC" w:rsidRPr="004E0709">
        <w:rPr>
          <w:rFonts w:ascii="Times New Roman" w:hAnsi="Times New Roman" w:cs="Times New Roman"/>
          <w:sz w:val="24"/>
          <w:szCs w:val="24"/>
        </w:rPr>
        <w:t xml:space="preserve">. The burial in Lacor was because the land in dispute is in an urban area. The respondents never departed from their pleadings. The court rightly found the land to belong to the respondents. Plot 117 is not the suit land but it is 65 / 91. Auma Olga is not the respondents' mother and testified in respect of her land, not the land in dispute. </w:t>
      </w:r>
    </w:p>
    <w:p w:rsidR="009A0E0F" w:rsidRPr="004E0709" w:rsidRDefault="009A0E0F" w:rsidP="009A0E0F">
      <w:pPr>
        <w:pStyle w:val="ListParagraph"/>
        <w:spacing w:after="0" w:line="360" w:lineRule="auto"/>
        <w:jc w:val="both"/>
        <w:rPr>
          <w:rFonts w:ascii="Times New Roman" w:hAnsi="Times New Roman" w:cs="Times New Roman"/>
          <w:sz w:val="24"/>
          <w:szCs w:val="24"/>
        </w:rPr>
      </w:pPr>
    </w:p>
    <w:p w:rsidR="000E1D0F" w:rsidRDefault="000E1D0F" w:rsidP="000E1D0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the d</w:t>
      </w:r>
      <w:r w:rsidRPr="00DB04BC">
        <w:rPr>
          <w:rFonts w:ascii="Times New Roman" w:hAnsi="Times New Roman" w:cs="Times New Roman"/>
          <w:sz w:val="24"/>
          <w:szCs w:val="24"/>
        </w:rPr>
        <w:t xml:space="preserve">uty of </w:t>
      </w:r>
      <w:r>
        <w:rPr>
          <w:rFonts w:ascii="Times New Roman" w:hAnsi="Times New Roman" w:cs="Times New Roman"/>
          <w:sz w:val="24"/>
          <w:szCs w:val="24"/>
        </w:rPr>
        <w:t xml:space="preserve">this court as </w:t>
      </w:r>
      <w:r w:rsidRPr="00DB04BC">
        <w:rPr>
          <w:rFonts w:ascii="Times New Roman" w:hAnsi="Times New Roman" w:cs="Times New Roman"/>
          <w:sz w:val="24"/>
          <w:szCs w:val="24"/>
        </w:rPr>
        <w:t xml:space="preserve">a first appellate court to re-hear the case by subjecting the evidence presented to the trial court to a fresh and exhaustive scrutiny and re-appraisal before coming to its own conclusion (see </w:t>
      </w:r>
      <w:r w:rsidRPr="00DB04BC">
        <w:rPr>
          <w:rFonts w:ascii="Times New Roman" w:hAnsi="Times New Roman" w:cs="Times New Roman"/>
          <w:i/>
          <w:sz w:val="24"/>
          <w:szCs w:val="24"/>
        </w:rPr>
        <w:t>Father Nanensio Begumisa and three Others v. Eric Tiberaga SCCA 17of 2000</w:t>
      </w:r>
      <w:r w:rsidRPr="00DB04BC">
        <w:rPr>
          <w:rFonts w:ascii="Times New Roman" w:hAnsi="Times New Roman" w:cs="Times New Roman"/>
          <w:sz w:val="24"/>
          <w:szCs w:val="24"/>
        </w:rPr>
        <w:t xml:space="preserve">; </w:t>
      </w:r>
      <w:r w:rsidRPr="00DB04BC">
        <w:rPr>
          <w:rFonts w:ascii="Times New Roman" w:hAnsi="Times New Roman" w:cs="Times New Roman"/>
          <w:i/>
          <w:sz w:val="24"/>
          <w:szCs w:val="24"/>
        </w:rPr>
        <w:t>[2004] KALR 236</w:t>
      </w:r>
      <w:r w:rsidRPr="00DB04BC">
        <w:rPr>
          <w:rFonts w:ascii="Times New Roman" w:hAnsi="Times New Roman" w:cs="Times New Roman"/>
          <w:sz w:val="24"/>
          <w:szCs w:val="24"/>
        </w:rPr>
        <w:t xml:space="preserve">). In a case of conflicting evidence the appeal court has to make due allowance for the fact that it has neither seen nor heard the witnesses, it must weigh the conflicting evidence and draw its own inference and conclusions (see </w:t>
      </w:r>
      <w:r w:rsidRPr="00DB04BC">
        <w:rPr>
          <w:rFonts w:ascii="Times New Roman" w:hAnsi="Times New Roman" w:cs="Times New Roman"/>
          <w:i/>
          <w:sz w:val="24"/>
          <w:szCs w:val="24"/>
        </w:rPr>
        <w:t>Lovinsa Nankya v. Nsibambi [1980] HCB 81</w:t>
      </w:r>
      <w:r w:rsidRPr="00DB04BC">
        <w:rPr>
          <w:rFonts w:ascii="Times New Roman" w:hAnsi="Times New Roman" w:cs="Times New Roman"/>
          <w:sz w:val="24"/>
          <w:szCs w:val="24"/>
        </w:rPr>
        <w:t>). The appellate court may interfere with a finding of fact if the trial court is shown to have overlooked any material feature in the evidence of a witness or if the balance of probabilities as to the credibility of the witness is inclined against the opinion of the trial court.</w:t>
      </w:r>
      <w:r w:rsidRPr="00CA2693">
        <w:t xml:space="preserve"> </w:t>
      </w:r>
      <w:r w:rsidRPr="00DB04BC">
        <w:rPr>
          <w:rFonts w:ascii="Times New Roman" w:hAnsi="Times New Roman" w:cs="Times New Roman"/>
          <w:sz w:val="24"/>
          <w:szCs w:val="24"/>
        </w:rPr>
        <w:t xml:space="preserve">In particular this court is not bound necessarily to follow the trial magistrate’s findings of fact if it appears either that he or she has clearly failed on some point to take account </w:t>
      </w:r>
      <w:r w:rsidRPr="00DB04BC">
        <w:rPr>
          <w:rFonts w:ascii="Times New Roman" w:hAnsi="Times New Roman" w:cs="Times New Roman"/>
          <w:sz w:val="24"/>
          <w:szCs w:val="24"/>
        </w:rPr>
        <w:lastRenderedPageBreak/>
        <w:t>of particular circumstances or probabilities materially to estimate the evidence or if the impression based on demeanour of a witness is inconsistent with the evidence in the case generally.</w:t>
      </w:r>
    </w:p>
    <w:p w:rsidR="000E1D0F" w:rsidRDefault="000E1D0F" w:rsidP="000E1D0F">
      <w:pPr>
        <w:spacing w:after="0" w:line="360" w:lineRule="auto"/>
        <w:jc w:val="both"/>
        <w:rPr>
          <w:rFonts w:ascii="Times New Roman" w:hAnsi="Times New Roman" w:cs="Times New Roman"/>
          <w:sz w:val="24"/>
          <w:szCs w:val="24"/>
        </w:rPr>
      </w:pPr>
    </w:p>
    <w:p w:rsidR="00906E0D" w:rsidRDefault="00A85166" w:rsidP="00906E0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Before considering the grounds of appeal,</w:t>
      </w:r>
      <w:r w:rsidR="00804662">
        <w:rPr>
          <w:rFonts w:ascii="Times New Roman" w:hAnsi="Times New Roman" w:cs="Times New Roman"/>
          <w:sz w:val="24"/>
          <w:szCs w:val="24"/>
        </w:rPr>
        <w:t xml:space="preserve"> I observe that at the </w:t>
      </w:r>
      <w:r w:rsidR="00804662" w:rsidRPr="00A85166">
        <w:rPr>
          <w:rFonts w:ascii="Times New Roman" w:hAnsi="Times New Roman" w:cs="Times New Roman"/>
          <w:i/>
          <w:sz w:val="24"/>
          <w:szCs w:val="24"/>
        </w:rPr>
        <w:t>locus in quo</w:t>
      </w:r>
      <w:r w:rsidR="00804662">
        <w:rPr>
          <w:rFonts w:ascii="Times New Roman" w:hAnsi="Times New Roman" w:cs="Times New Roman"/>
          <w:sz w:val="24"/>
          <w:szCs w:val="24"/>
        </w:rPr>
        <w:t xml:space="preserve">, the trial court recorded evidence from additional </w:t>
      </w:r>
      <w:r w:rsidR="00116BD6">
        <w:rPr>
          <w:rFonts w:ascii="Times New Roman" w:hAnsi="Times New Roman" w:cs="Times New Roman"/>
          <w:sz w:val="24"/>
          <w:szCs w:val="24"/>
        </w:rPr>
        <w:t>witnesses</w:t>
      </w:r>
      <w:r w:rsidR="00804662">
        <w:rPr>
          <w:rFonts w:ascii="Times New Roman" w:hAnsi="Times New Roman" w:cs="Times New Roman"/>
          <w:sz w:val="24"/>
          <w:szCs w:val="24"/>
        </w:rPr>
        <w:t xml:space="preserve"> wh</w:t>
      </w:r>
      <w:r w:rsidR="00116BD6">
        <w:rPr>
          <w:rFonts w:ascii="Times New Roman" w:hAnsi="Times New Roman" w:cs="Times New Roman"/>
          <w:sz w:val="24"/>
          <w:szCs w:val="24"/>
        </w:rPr>
        <w:t>o</w:t>
      </w:r>
      <w:r w:rsidR="00804662">
        <w:rPr>
          <w:rFonts w:ascii="Times New Roman" w:hAnsi="Times New Roman" w:cs="Times New Roman"/>
          <w:sz w:val="24"/>
          <w:szCs w:val="24"/>
        </w:rPr>
        <w:t xml:space="preserve"> had not testified in court.</w:t>
      </w:r>
      <w:r w:rsidR="00906E0D" w:rsidRPr="00906E0D">
        <w:rPr>
          <w:rFonts w:ascii="Times New Roman" w:hAnsi="Times New Roman" w:cs="Times New Roman"/>
          <w:sz w:val="24"/>
          <w:szCs w:val="24"/>
        </w:rPr>
        <w:t xml:space="preserve"> </w:t>
      </w:r>
      <w:r w:rsidR="00906E0D" w:rsidRPr="00863290">
        <w:rPr>
          <w:rFonts w:ascii="Times New Roman" w:hAnsi="Times New Roman" w:cs="Times New Roman"/>
          <w:sz w:val="24"/>
          <w:szCs w:val="24"/>
        </w:rPr>
        <w:t xml:space="preserve">Visiting the </w:t>
      </w:r>
      <w:r w:rsidR="00906E0D" w:rsidRPr="00863290">
        <w:rPr>
          <w:rFonts w:ascii="Times New Roman" w:hAnsi="Times New Roman" w:cs="Times New Roman"/>
          <w:i/>
          <w:sz w:val="24"/>
          <w:szCs w:val="24"/>
        </w:rPr>
        <w:t>locus in quo</w:t>
      </w:r>
      <w:r w:rsidR="00906E0D" w:rsidRPr="00863290">
        <w:rPr>
          <w:rFonts w:ascii="Times New Roman" w:hAnsi="Times New Roman" w:cs="Times New Roman"/>
          <w:sz w:val="24"/>
          <w:szCs w:val="24"/>
        </w:rPr>
        <w:t xml:space="preserve"> is essentially for purposes of enabling the trial court understand the evidence better</w:t>
      </w:r>
      <w:r w:rsidR="00906E0D" w:rsidRPr="00863290">
        <w:rPr>
          <w:rStyle w:val="Emphasis"/>
          <w:rFonts w:ascii="Times New Roman" w:hAnsi="Times New Roman" w:cs="Times New Roman"/>
          <w:i w:val="0"/>
          <w:sz w:val="24"/>
          <w:szCs w:val="24"/>
        </w:rPr>
        <w:t xml:space="preserve">. It is intended to harness the physical aspects of the evidence in conveying and enhancing the meaning of the oral testimony and therefore </w:t>
      </w:r>
      <w:r w:rsidR="00906E0D" w:rsidRPr="00863290">
        <w:rPr>
          <w:rFonts w:ascii="Times New Roman" w:hAnsi="Times New Roman" w:cs="Times New Roman"/>
          <w:sz w:val="24"/>
          <w:szCs w:val="24"/>
        </w:rPr>
        <w:t xml:space="preserve">must be limited to an inspection of the specific aspects of the case as canvassed during the oral testimony in court and to testing the evidence on those points only. The practice of visiting the </w:t>
      </w:r>
      <w:r w:rsidR="00906E0D" w:rsidRPr="00863290">
        <w:rPr>
          <w:rFonts w:ascii="Times New Roman" w:hAnsi="Times New Roman" w:cs="Times New Roman"/>
          <w:i/>
          <w:sz w:val="24"/>
          <w:szCs w:val="24"/>
        </w:rPr>
        <w:t>locus in quo</w:t>
      </w:r>
      <w:r w:rsidR="00906E0D" w:rsidRPr="00863290">
        <w:rPr>
          <w:rFonts w:ascii="Times New Roman" w:hAnsi="Times New Roman" w:cs="Times New Roman"/>
          <w:sz w:val="24"/>
          <w:szCs w:val="24"/>
        </w:rPr>
        <w:t xml:space="preserve"> is to check on the evidence by the witnesses, and not to fill gaps in their evidence for them or lest Court may run the risk of turning itself a witness in the case (see </w:t>
      </w:r>
      <w:r w:rsidR="00906E0D" w:rsidRPr="00863290">
        <w:rPr>
          <w:rStyle w:val="Emphasis"/>
          <w:rFonts w:ascii="Times New Roman" w:hAnsi="Times New Roman" w:cs="Times New Roman"/>
          <w:sz w:val="24"/>
          <w:szCs w:val="24"/>
        </w:rPr>
        <w:t>Fernandes v. Noroniha [1969] EA 506, De Souza v. Uganda [1967] EA 784, Yeseri Waibi v. Edisa Byandala [1982] HCB 28</w:t>
      </w:r>
      <w:r w:rsidR="00906E0D" w:rsidRPr="00863290">
        <w:rPr>
          <w:rFonts w:ascii="Times New Roman" w:hAnsi="Times New Roman" w:cs="Times New Roman"/>
          <w:sz w:val="24"/>
          <w:szCs w:val="24"/>
        </w:rPr>
        <w:t xml:space="preserve"> and </w:t>
      </w:r>
      <w:r w:rsidR="00906E0D" w:rsidRPr="00863290">
        <w:rPr>
          <w:rStyle w:val="Emphasis"/>
          <w:rFonts w:ascii="Times New Roman" w:hAnsi="Times New Roman" w:cs="Times New Roman"/>
          <w:sz w:val="24"/>
          <w:szCs w:val="24"/>
        </w:rPr>
        <w:t>Nsibambi v. Nankya [1980] HCB 81)</w:t>
      </w:r>
      <w:r w:rsidR="00906E0D" w:rsidRPr="00863290">
        <w:rPr>
          <w:rFonts w:ascii="Times New Roman" w:hAnsi="Times New Roman" w:cs="Times New Roman"/>
          <w:sz w:val="24"/>
          <w:szCs w:val="24"/>
        </w:rPr>
        <w:t>.</w:t>
      </w:r>
      <w:r w:rsidR="00906E0D">
        <w:rPr>
          <w:rFonts w:ascii="Times New Roman" w:hAnsi="Times New Roman" w:cs="Times New Roman"/>
          <w:sz w:val="24"/>
          <w:szCs w:val="24"/>
        </w:rPr>
        <w:t xml:space="preserve"> It was an error for the court to have recorded evidence from; (i) Auma Olga, (ii) Ocalla George, and (iii) Arach Margaret.</w:t>
      </w:r>
    </w:p>
    <w:p w:rsidR="00906E0D" w:rsidRDefault="00906E0D" w:rsidP="00906E0D">
      <w:pPr>
        <w:spacing w:after="0" w:line="360" w:lineRule="auto"/>
        <w:jc w:val="both"/>
        <w:rPr>
          <w:rFonts w:ascii="Times New Roman" w:hAnsi="Times New Roman" w:cs="Times New Roman"/>
          <w:sz w:val="24"/>
          <w:szCs w:val="24"/>
        </w:rPr>
      </w:pPr>
    </w:p>
    <w:p w:rsidR="00906E0D" w:rsidRDefault="00906E0D" w:rsidP="00906E0D">
      <w:pPr>
        <w:spacing w:after="0" w:line="360" w:lineRule="auto"/>
        <w:jc w:val="both"/>
        <w:rPr>
          <w:rFonts w:ascii="Times New Roman" w:hAnsi="Times New Roman" w:cs="Times New Roman"/>
          <w:sz w:val="24"/>
          <w:szCs w:val="24"/>
        </w:rPr>
      </w:pPr>
      <w:r w:rsidRPr="00863290">
        <w:rPr>
          <w:rStyle w:val="Emphasis"/>
          <w:rFonts w:ascii="Times New Roman" w:hAnsi="Times New Roman" w:cs="Times New Roman"/>
          <w:i w:val="0"/>
          <w:sz w:val="24"/>
          <w:szCs w:val="24"/>
        </w:rPr>
        <w:t>That notwithstanding</w:t>
      </w:r>
      <w:r>
        <w:rPr>
          <w:rStyle w:val="Emphasis"/>
          <w:rFonts w:ascii="Times New Roman" w:hAnsi="Times New Roman" w:cs="Times New Roman"/>
          <w:sz w:val="24"/>
          <w:szCs w:val="24"/>
        </w:rPr>
        <w:t xml:space="preserve">, </w:t>
      </w:r>
      <w:r>
        <w:rPr>
          <w:rFonts w:ascii="Times New Roman" w:hAnsi="Times New Roman" w:cs="Times New Roman"/>
          <w:sz w:val="24"/>
          <w:szCs w:val="24"/>
        </w:rPr>
        <w:t xml:space="preserve">according to section 166 of </w:t>
      </w:r>
      <w:r w:rsidRPr="00B0263A">
        <w:rPr>
          <w:rFonts w:ascii="Times New Roman" w:hAnsi="Times New Roman" w:cs="Times New Roman"/>
          <w:i/>
          <w:sz w:val="24"/>
          <w:szCs w:val="24"/>
        </w:rPr>
        <w:t>The Evidence Act</w:t>
      </w:r>
      <w:r>
        <w:rPr>
          <w:rFonts w:ascii="Times New Roman" w:hAnsi="Times New Roman" w:cs="Times New Roman"/>
          <w:sz w:val="24"/>
          <w:szCs w:val="24"/>
        </w:rPr>
        <w:t>, t</w:t>
      </w:r>
      <w:r w:rsidRPr="00B0263A">
        <w:rPr>
          <w:rFonts w:ascii="Times New Roman" w:hAnsi="Times New Roman" w:cs="Times New Roman"/>
          <w:sz w:val="24"/>
          <w:szCs w:val="24"/>
        </w:rPr>
        <w:t xml:space="preserve">he improper admission or rejection of evidence </w:t>
      </w:r>
      <w:r>
        <w:rPr>
          <w:rFonts w:ascii="Times New Roman" w:hAnsi="Times New Roman" w:cs="Times New Roman"/>
          <w:sz w:val="24"/>
          <w:szCs w:val="24"/>
        </w:rPr>
        <w:t>is</w:t>
      </w:r>
      <w:r w:rsidRPr="00B0263A">
        <w:rPr>
          <w:rFonts w:ascii="Times New Roman" w:hAnsi="Times New Roman" w:cs="Times New Roman"/>
          <w:sz w:val="24"/>
          <w:szCs w:val="24"/>
        </w:rPr>
        <w:t xml:space="preserve"> not </w:t>
      </w:r>
      <w:r>
        <w:rPr>
          <w:rFonts w:ascii="Times New Roman" w:hAnsi="Times New Roman" w:cs="Times New Roman"/>
          <w:sz w:val="24"/>
          <w:szCs w:val="24"/>
        </w:rPr>
        <w:t xml:space="preserve">to </w:t>
      </w:r>
      <w:r w:rsidRPr="00B0263A">
        <w:rPr>
          <w:rFonts w:ascii="Times New Roman" w:hAnsi="Times New Roman" w:cs="Times New Roman"/>
          <w:sz w:val="24"/>
          <w:szCs w:val="24"/>
        </w:rPr>
        <w:t>be ground of itself for a new trial, or reversal of any decision in any case, if it appear</w:t>
      </w:r>
      <w:r>
        <w:rPr>
          <w:rFonts w:ascii="Times New Roman" w:hAnsi="Times New Roman" w:cs="Times New Roman"/>
          <w:sz w:val="24"/>
          <w:szCs w:val="24"/>
        </w:rPr>
        <w:t xml:space="preserve">s to the </w:t>
      </w:r>
      <w:r w:rsidRPr="00B0263A">
        <w:rPr>
          <w:rFonts w:ascii="Times New Roman" w:hAnsi="Times New Roman" w:cs="Times New Roman"/>
          <w:sz w:val="24"/>
          <w:szCs w:val="24"/>
        </w:rPr>
        <w:t>court before which the objection is raised that, independently of the evidence objected to and admitted, there was suf</w:t>
      </w:r>
      <w:r>
        <w:rPr>
          <w:rFonts w:ascii="Times New Roman" w:hAnsi="Times New Roman" w:cs="Times New Roman"/>
          <w:sz w:val="24"/>
          <w:szCs w:val="24"/>
        </w:rPr>
        <w:t xml:space="preserve">ficient evidence to justify the </w:t>
      </w:r>
      <w:r w:rsidRPr="00B0263A">
        <w:rPr>
          <w:rFonts w:ascii="Times New Roman" w:hAnsi="Times New Roman" w:cs="Times New Roman"/>
          <w:sz w:val="24"/>
          <w:szCs w:val="24"/>
        </w:rPr>
        <w:t>decision, or that, if the rejected evidence had been received, it ought not to have varied the decision</w:t>
      </w:r>
      <w:r>
        <w:rPr>
          <w:rFonts w:ascii="Times New Roman" w:hAnsi="Times New Roman" w:cs="Times New Roman"/>
          <w:sz w:val="24"/>
          <w:szCs w:val="24"/>
        </w:rPr>
        <w:t>. Furthermore,</w:t>
      </w:r>
      <w:r w:rsidRPr="0053596F">
        <w:rPr>
          <w:rFonts w:ascii="Times New Roman" w:hAnsi="Times New Roman" w:cs="Times New Roman"/>
          <w:sz w:val="24"/>
          <w:szCs w:val="24"/>
        </w:rPr>
        <w:t xml:space="preserve"> </w:t>
      </w:r>
      <w:r>
        <w:rPr>
          <w:rFonts w:ascii="Times New Roman" w:hAnsi="Times New Roman" w:cs="Times New Roman"/>
          <w:sz w:val="24"/>
          <w:szCs w:val="24"/>
        </w:rPr>
        <w:t>according to</w:t>
      </w:r>
      <w:r w:rsidRPr="0087722D">
        <w:rPr>
          <w:rFonts w:ascii="Times New Roman" w:hAnsi="Times New Roman" w:cs="Times New Roman"/>
          <w:sz w:val="24"/>
          <w:szCs w:val="24"/>
        </w:rPr>
        <w:t xml:space="preserve"> section 70 of </w:t>
      </w:r>
      <w:r w:rsidRPr="0087722D">
        <w:rPr>
          <w:rFonts w:ascii="Times New Roman" w:hAnsi="Times New Roman" w:cs="Times New Roman"/>
          <w:i/>
          <w:sz w:val="24"/>
          <w:szCs w:val="24"/>
        </w:rPr>
        <w:t>The Civil Procedure Act</w:t>
      </w:r>
      <w:r w:rsidRPr="0087722D">
        <w:rPr>
          <w:rFonts w:ascii="Times New Roman" w:hAnsi="Times New Roman" w:cs="Times New Roman"/>
          <w:sz w:val="24"/>
          <w:szCs w:val="24"/>
        </w:rPr>
        <w:t>, no decree may be reversed or modified for error, defect or irregularity in the proceedings, not affecting of the case or the jurisdiction of the court</w:t>
      </w:r>
      <w:r>
        <w:rPr>
          <w:rFonts w:ascii="Times New Roman" w:hAnsi="Times New Roman" w:cs="Times New Roman"/>
          <w:sz w:val="24"/>
          <w:szCs w:val="24"/>
        </w:rPr>
        <w:t>. Before this court can set aside the judgment on that account, it must therefore be demonstrated that the irregularity occasioned a miscarriage of justice</w:t>
      </w:r>
      <w:r w:rsidRPr="000866EF">
        <w:rPr>
          <w:rFonts w:ascii="Times New Roman" w:hAnsi="Times New Roman" w:cs="Times New Roman"/>
          <w:sz w:val="24"/>
          <w:szCs w:val="24"/>
        </w:rPr>
        <w:t xml:space="preserve">. </w:t>
      </w:r>
    </w:p>
    <w:p w:rsidR="00906E0D" w:rsidRDefault="00906E0D" w:rsidP="00906E0D">
      <w:pPr>
        <w:spacing w:after="0" w:line="360" w:lineRule="auto"/>
        <w:jc w:val="both"/>
        <w:rPr>
          <w:rFonts w:ascii="Times New Roman" w:hAnsi="Times New Roman" w:cs="Times New Roman"/>
          <w:sz w:val="24"/>
          <w:szCs w:val="24"/>
        </w:rPr>
      </w:pPr>
    </w:p>
    <w:p w:rsidR="000E1D0F" w:rsidRDefault="00906E0D" w:rsidP="00906E0D">
      <w:pPr>
        <w:spacing w:after="0" w:line="360" w:lineRule="auto"/>
        <w:jc w:val="both"/>
        <w:rPr>
          <w:rFonts w:ascii="Times New Roman" w:hAnsi="Times New Roman" w:cs="Times New Roman"/>
          <w:sz w:val="24"/>
          <w:szCs w:val="24"/>
        </w:rPr>
      </w:pPr>
      <w:r w:rsidRPr="007406D0">
        <w:rPr>
          <w:rFonts w:ascii="Times New Roman" w:hAnsi="Times New Roman" w:cs="Times New Roman"/>
          <w:sz w:val="24"/>
          <w:szCs w:val="24"/>
        </w:rPr>
        <w:t xml:space="preserve">A court will set aside a judgment, or </w:t>
      </w:r>
      <w:r>
        <w:rPr>
          <w:rFonts w:ascii="Times New Roman" w:hAnsi="Times New Roman" w:cs="Times New Roman"/>
          <w:sz w:val="24"/>
          <w:szCs w:val="24"/>
        </w:rPr>
        <w:t>order</w:t>
      </w:r>
      <w:r w:rsidRPr="007406D0">
        <w:rPr>
          <w:rFonts w:ascii="Times New Roman" w:hAnsi="Times New Roman" w:cs="Times New Roman"/>
          <w:sz w:val="24"/>
          <w:szCs w:val="24"/>
        </w:rPr>
        <w:t xml:space="preserve"> a new trial, on the ground of </w:t>
      </w:r>
      <w:r>
        <w:rPr>
          <w:rFonts w:ascii="Times New Roman" w:hAnsi="Times New Roman" w:cs="Times New Roman"/>
          <w:sz w:val="24"/>
          <w:szCs w:val="24"/>
        </w:rPr>
        <w:t xml:space="preserve">a </w:t>
      </w:r>
      <w:r w:rsidRPr="007406D0">
        <w:rPr>
          <w:rFonts w:ascii="Times New Roman" w:hAnsi="Times New Roman" w:cs="Times New Roman"/>
          <w:sz w:val="24"/>
          <w:szCs w:val="24"/>
        </w:rPr>
        <w:t xml:space="preserve">misdirection, or of the improper admission or rejection of evidence, or for any error as to any matter of pleading, or for any error as to any matter of procedure, only if the court is of the opinion that the error complained of has resulted in a miscarriage of justice. </w:t>
      </w:r>
      <w:r>
        <w:rPr>
          <w:rFonts w:ascii="Times New Roman" w:hAnsi="Times New Roman" w:cs="Times New Roman"/>
          <w:sz w:val="24"/>
          <w:szCs w:val="24"/>
        </w:rPr>
        <w:t xml:space="preserve">A miscarriage of justice occurs when it </w:t>
      </w:r>
      <w:r w:rsidRPr="00BD69E7">
        <w:rPr>
          <w:rFonts w:ascii="Times New Roman" w:hAnsi="Times New Roman" w:cs="Times New Roman"/>
          <w:sz w:val="24"/>
          <w:szCs w:val="24"/>
        </w:rPr>
        <w:t xml:space="preserve">is </w:t>
      </w:r>
      <w:r w:rsidRPr="00BD69E7">
        <w:rPr>
          <w:rFonts w:ascii="Times New Roman" w:hAnsi="Times New Roman" w:cs="Times New Roman"/>
          <w:sz w:val="24"/>
          <w:szCs w:val="24"/>
        </w:rPr>
        <w:lastRenderedPageBreak/>
        <w:t xml:space="preserve">reasonably probable that a result more favourable to the </w:t>
      </w:r>
      <w:r>
        <w:rPr>
          <w:rFonts w:ascii="Times New Roman" w:hAnsi="Times New Roman" w:cs="Times New Roman"/>
          <w:sz w:val="24"/>
          <w:szCs w:val="24"/>
        </w:rPr>
        <w:t xml:space="preserve">party </w:t>
      </w:r>
      <w:r w:rsidRPr="00BD69E7">
        <w:rPr>
          <w:rFonts w:ascii="Times New Roman" w:hAnsi="Times New Roman" w:cs="Times New Roman"/>
          <w:sz w:val="24"/>
          <w:szCs w:val="24"/>
        </w:rPr>
        <w:t>appealing would have been reached in the absence of the error</w:t>
      </w:r>
      <w:r>
        <w:rPr>
          <w:rFonts w:ascii="Times New Roman" w:hAnsi="Times New Roman" w:cs="Times New Roman"/>
          <w:sz w:val="24"/>
          <w:szCs w:val="24"/>
        </w:rPr>
        <w:t>. The</w:t>
      </w:r>
      <w:r w:rsidRPr="007406D0">
        <w:rPr>
          <w:rFonts w:ascii="Times New Roman" w:hAnsi="Times New Roman" w:cs="Times New Roman"/>
          <w:sz w:val="24"/>
          <w:szCs w:val="24"/>
        </w:rPr>
        <w:t xml:space="preserve"> court </w:t>
      </w:r>
      <w:r>
        <w:rPr>
          <w:rFonts w:ascii="Times New Roman" w:hAnsi="Times New Roman" w:cs="Times New Roman"/>
          <w:sz w:val="24"/>
          <w:szCs w:val="24"/>
        </w:rPr>
        <w:t>must</w:t>
      </w:r>
      <w:r w:rsidRPr="007406D0">
        <w:rPr>
          <w:rFonts w:ascii="Times New Roman" w:hAnsi="Times New Roman" w:cs="Times New Roman"/>
          <w:sz w:val="24"/>
          <w:szCs w:val="24"/>
        </w:rPr>
        <w:t xml:space="preserve"> examine the entire </w:t>
      </w:r>
      <w:r>
        <w:rPr>
          <w:rFonts w:ascii="Times New Roman" w:hAnsi="Times New Roman" w:cs="Times New Roman"/>
          <w:sz w:val="24"/>
          <w:szCs w:val="24"/>
        </w:rPr>
        <w:t>record</w:t>
      </w:r>
      <w:r w:rsidRPr="007406D0">
        <w:rPr>
          <w:rFonts w:ascii="Times New Roman" w:hAnsi="Times New Roman" w:cs="Times New Roman"/>
          <w:sz w:val="24"/>
          <w:szCs w:val="24"/>
        </w:rPr>
        <w:t xml:space="preserve">, including the evidence, before setting aside the judgment or </w:t>
      </w:r>
      <w:r>
        <w:rPr>
          <w:rFonts w:ascii="Times New Roman" w:hAnsi="Times New Roman" w:cs="Times New Roman"/>
          <w:sz w:val="24"/>
          <w:szCs w:val="24"/>
        </w:rPr>
        <w:t>directing</w:t>
      </w:r>
      <w:r w:rsidRPr="007406D0">
        <w:rPr>
          <w:rFonts w:ascii="Times New Roman" w:hAnsi="Times New Roman" w:cs="Times New Roman"/>
          <w:sz w:val="24"/>
          <w:szCs w:val="24"/>
        </w:rPr>
        <w:t xml:space="preserve"> a new trial</w:t>
      </w:r>
      <w:r>
        <w:rPr>
          <w:rFonts w:ascii="Times New Roman" w:hAnsi="Times New Roman" w:cs="Times New Roman"/>
          <w:sz w:val="24"/>
          <w:szCs w:val="24"/>
        </w:rPr>
        <w:t xml:space="preserve">. Having done so, I have decided to disregard the evidence of the </w:t>
      </w:r>
      <w:r w:rsidR="00A85166">
        <w:rPr>
          <w:rFonts w:ascii="Times New Roman" w:hAnsi="Times New Roman" w:cs="Times New Roman"/>
          <w:sz w:val="24"/>
          <w:szCs w:val="24"/>
        </w:rPr>
        <w:t>three</w:t>
      </w:r>
      <w:r>
        <w:rPr>
          <w:rFonts w:ascii="Times New Roman" w:hAnsi="Times New Roman" w:cs="Times New Roman"/>
          <w:sz w:val="24"/>
          <w:szCs w:val="24"/>
        </w:rPr>
        <w:t xml:space="preserve"> additional witnesses, since I am of the opinion that </w:t>
      </w:r>
      <w:r w:rsidRPr="00B0263A">
        <w:rPr>
          <w:rFonts w:ascii="Times New Roman" w:hAnsi="Times New Roman" w:cs="Times New Roman"/>
          <w:sz w:val="24"/>
          <w:szCs w:val="24"/>
        </w:rPr>
        <w:t>there was suf</w:t>
      </w:r>
      <w:r>
        <w:rPr>
          <w:rFonts w:ascii="Times New Roman" w:hAnsi="Times New Roman" w:cs="Times New Roman"/>
          <w:sz w:val="24"/>
          <w:szCs w:val="24"/>
        </w:rPr>
        <w:t xml:space="preserve">ficient evidence to guide the proper </w:t>
      </w:r>
      <w:r w:rsidRPr="00B0263A">
        <w:rPr>
          <w:rFonts w:ascii="Times New Roman" w:hAnsi="Times New Roman" w:cs="Times New Roman"/>
          <w:sz w:val="24"/>
          <w:szCs w:val="24"/>
        </w:rPr>
        <w:t>decision</w:t>
      </w:r>
      <w:r>
        <w:rPr>
          <w:rFonts w:ascii="Times New Roman" w:hAnsi="Times New Roman" w:cs="Times New Roman"/>
          <w:sz w:val="24"/>
          <w:szCs w:val="24"/>
        </w:rPr>
        <w:t xml:space="preserve"> of this case,</w:t>
      </w:r>
      <w:r w:rsidRPr="00B0263A">
        <w:rPr>
          <w:rFonts w:ascii="Times New Roman" w:hAnsi="Times New Roman" w:cs="Times New Roman"/>
          <w:sz w:val="24"/>
          <w:szCs w:val="24"/>
        </w:rPr>
        <w:t xml:space="preserve"> independently of the evidence</w:t>
      </w:r>
      <w:r>
        <w:rPr>
          <w:rFonts w:ascii="Times New Roman" w:hAnsi="Times New Roman" w:cs="Times New Roman"/>
          <w:sz w:val="24"/>
          <w:szCs w:val="24"/>
        </w:rPr>
        <w:t xml:space="preserve"> of those </w:t>
      </w:r>
      <w:r w:rsidR="00A85166">
        <w:rPr>
          <w:rFonts w:ascii="Times New Roman" w:hAnsi="Times New Roman" w:cs="Times New Roman"/>
          <w:sz w:val="24"/>
          <w:szCs w:val="24"/>
        </w:rPr>
        <w:t>three</w:t>
      </w:r>
      <w:r>
        <w:rPr>
          <w:rFonts w:ascii="Times New Roman" w:hAnsi="Times New Roman" w:cs="Times New Roman"/>
          <w:sz w:val="24"/>
          <w:szCs w:val="24"/>
        </w:rPr>
        <w:t xml:space="preserve"> witnesses.</w:t>
      </w:r>
    </w:p>
    <w:p w:rsidR="00A85166" w:rsidRDefault="00A85166" w:rsidP="00906E0D">
      <w:pPr>
        <w:spacing w:after="0" w:line="360" w:lineRule="auto"/>
        <w:jc w:val="both"/>
        <w:rPr>
          <w:rFonts w:ascii="Times New Roman" w:hAnsi="Times New Roman" w:cs="Times New Roman"/>
          <w:sz w:val="24"/>
          <w:szCs w:val="24"/>
        </w:rPr>
      </w:pPr>
    </w:p>
    <w:p w:rsidR="009271BC" w:rsidRDefault="00A85166" w:rsidP="00A8516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Grounds 1 and 2 will be considered next and concurrently since they relate to the admissibility of documents relating to the respondent's nationality and the finding of the trial court in that regard. The issue of citizenship is relevant to ownership of land since a</w:t>
      </w:r>
      <w:r w:rsidR="00C029B1" w:rsidRPr="00A85166">
        <w:rPr>
          <w:rFonts w:ascii="Times New Roman" w:hAnsi="Times New Roman" w:cs="Times New Roman"/>
          <w:sz w:val="24"/>
          <w:szCs w:val="24"/>
        </w:rPr>
        <w:t xml:space="preserve">rticle 237 (2) (c) of </w:t>
      </w:r>
      <w:r w:rsidR="00C029B1" w:rsidRPr="00A85166">
        <w:rPr>
          <w:rFonts w:ascii="Times New Roman" w:hAnsi="Times New Roman" w:cs="Times New Roman"/>
          <w:i/>
          <w:sz w:val="24"/>
          <w:szCs w:val="24"/>
        </w:rPr>
        <w:t>The Constitution of the Republic of Uganda, 1995</w:t>
      </w:r>
      <w:r w:rsidR="00C029B1" w:rsidRPr="00A85166">
        <w:rPr>
          <w:rFonts w:ascii="Times New Roman" w:hAnsi="Times New Roman" w:cs="Times New Roman"/>
          <w:sz w:val="24"/>
          <w:szCs w:val="24"/>
        </w:rPr>
        <w:t xml:space="preserve"> and section 40 of </w:t>
      </w:r>
      <w:r w:rsidR="00C029B1" w:rsidRPr="00A85166">
        <w:rPr>
          <w:rFonts w:ascii="Times New Roman" w:hAnsi="Times New Roman" w:cs="Times New Roman"/>
          <w:i/>
          <w:sz w:val="24"/>
          <w:szCs w:val="24"/>
        </w:rPr>
        <w:t>The Land Act</w:t>
      </w:r>
      <w:r w:rsidR="00C029B1" w:rsidRPr="00A85166">
        <w:rPr>
          <w:rFonts w:ascii="Times New Roman" w:hAnsi="Times New Roman" w:cs="Times New Roman"/>
          <w:sz w:val="24"/>
          <w:szCs w:val="24"/>
        </w:rPr>
        <w:t>, restrict ownership of land in Uganda, in the case of non citizens, to leasehold tenure only</w:t>
      </w:r>
      <w:r w:rsidR="00BF46B8" w:rsidRPr="00A85166">
        <w:rPr>
          <w:rFonts w:ascii="Times New Roman" w:hAnsi="Times New Roman" w:cs="Times New Roman"/>
          <w:sz w:val="24"/>
          <w:szCs w:val="24"/>
        </w:rPr>
        <w:t xml:space="preserve">. </w:t>
      </w:r>
    </w:p>
    <w:p w:rsidR="009271BC" w:rsidRDefault="009271BC" w:rsidP="00A85166">
      <w:pPr>
        <w:spacing w:after="0" w:line="360" w:lineRule="auto"/>
        <w:jc w:val="both"/>
        <w:rPr>
          <w:rFonts w:ascii="Times New Roman" w:hAnsi="Times New Roman" w:cs="Times New Roman"/>
          <w:sz w:val="24"/>
          <w:szCs w:val="24"/>
        </w:rPr>
      </w:pPr>
    </w:p>
    <w:p w:rsidR="009271BC" w:rsidRDefault="009271BC" w:rsidP="00A8516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p</w:t>
      </w:r>
      <w:r w:rsidRPr="004E0709">
        <w:rPr>
          <w:rFonts w:ascii="Times New Roman" w:hAnsi="Times New Roman" w:cs="Times New Roman"/>
          <w:sz w:val="24"/>
          <w:szCs w:val="24"/>
        </w:rPr>
        <w:t>ara</w:t>
      </w:r>
      <w:r>
        <w:rPr>
          <w:rFonts w:ascii="Times New Roman" w:hAnsi="Times New Roman" w:cs="Times New Roman"/>
          <w:sz w:val="24"/>
          <w:szCs w:val="24"/>
        </w:rPr>
        <w:t>graph</w:t>
      </w:r>
      <w:r w:rsidRPr="004E0709">
        <w:rPr>
          <w:rFonts w:ascii="Times New Roman" w:hAnsi="Times New Roman" w:cs="Times New Roman"/>
          <w:sz w:val="24"/>
          <w:szCs w:val="24"/>
        </w:rPr>
        <w:t xml:space="preserve"> 16 of the counterclaim, para</w:t>
      </w:r>
      <w:r>
        <w:rPr>
          <w:rFonts w:ascii="Times New Roman" w:hAnsi="Times New Roman" w:cs="Times New Roman"/>
          <w:sz w:val="24"/>
          <w:szCs w:val="24"/>
        </w:rPr>
        <w:t>graph</w:t>
      </w:r>
      <w:r w:rsidRPr="004E0709">
        <w:rPr>
          <w:rFonts w:ascii="Times New Roman" w:hAnsi="Times New Roman" w:cs="Times New Roman"/>
          <w:sz w:val="24"/>
          <w:szCs w:val="24"/>
        </w:rPr>
        <w:t xml:space="preserve">s 3, 77 - 91 of the </w:t>
      </w:r>
      <w:r>
        <w:rPr>
          <w:rFonts w:ascii="Times New Roman" w:hAnsi="Times New Roman" w:cs="Times New Roman"/>
          <w:sz w:val="24"/>
          <w:szCs w:val="24"/>
        </w:rPr>
        <w:t xml:space="preserve">appellant's </w:t>
      </w:r>
      <w:r w:rsidRPr="004E0709">
        <w:rPr>
          <w:rFonts w:ascii="Times New Roman" w:hAnsi="Times New Roman" w:cs="Times New Roman"/>
          <w:sz w:val="24"/>
          <w:szCs w:val="24"/>
        </w:rPr>
        <w:t xml:space="preserve">witness statement </w:t>
      </w:r>
      <w:r>
        <w:rPr>
          <w:rFonts w:ascii="Times New Roman" w:hAnsi="Times New Roman" w:cs="Times New Roman"/>
          <w:sz w:val="24"/>
          <w:szCs w:val="24"/>
        </w:rPr>
        <w:t xml:space="preserve">and </w:t>
      </w:r>
      <w:r w:rsidRPr="004E0709">
        <w:rPr>
          <w:rFonts w:ascii="Times New Roman" w:hAnsi="Times New Roman" w:cs="Times New Roman"/>
          <w:sz w:val="24"/>
          <w:szCs w:val="24"/>
        </w:rPr>
        <w:t>para</w:t>
      </w:r>
      <w:r>
        <w:rPr>
          <w:rFonts w:ascii="Times New Roman" w:hAnsi="Times New Roman" w:cs="Times New Roman"/>
          <w:sz w:val="24"/>
          <w:szCs w:val="24"/>
        </w:rPr>
        <w:t>graph</w:t>
      </w:r>
      <w:r w:rsidRPr="004E0709">
        <w:rPr>
          <w:rFonts w:ascii="Times New Roman" w:hAnsi="Times New Roman" w:cs="Times New Roman"/>
          <w:sz w:val="24"/>
          <w:szCs w:val="24"/>
        </w:rPr>
        <w:t xml:space="preserve"> 6 of the witness statement of </w:t>
      </w:r>
      <w:r>
        <w:rPr>
          <w:rFonts w:ascii="Times New Roman" w:hAnsi="Times New Roman" w:cs="Times New Roman"/>
          <w:sz w:val="24"/>
          <w:szCs w:val="24"/>
        </w:rPr>
        <w:t>D.W.3 Odur Ensio, it was asserted that</w:t>
      </w:r>
      <w:r w:rsidRPr="004E0709">
        <w:rPr>
          <w:rFonts w:ascii="Times New Roman" w:hAnsi="Times New Roman" w:cs="Times New Roman"/>
          <w:sz w:val="24"/>
          <w:szCs w:val="24"/>
        </w:rPr>
        <w:t xml:space="preserve"> </w:t>
      </w:r>
      <w:r>
        <w:rPr>
          <w:rFonts w:ascii="Times New Roman" w:hAnsi="Times New Roman" w:cs="Times New Roman"/>
          <w:sz w:val="24"/>
          <w:szCs w:val="24"/>
        </w:rPr>
        <w:t>the</w:t>
      </w:r>
      <w:r w:rsidRPr="004E0709">
        <w:rPr>
          <w:rFonts w:ascii="Times New Roman" w:hAnsi="Times New Roman" w:cs="Times New Roman"/>
          <w:sz w:val="24"/>
          <w:szCs w:val="24"/>
        </w:rPr>
        <w:t xml:space="preserve"> 3</w:t>
      </w:r>
      <w:r w:rsidRPr="00636ED6">
        <w:rPr>
          <w:rFonts w:ascii="Times New Roman" w:hAnsi="Times New Roman" w:cs="Times New Roman"/>
          <w:sz w:val="24"/>
          <w:szCs w:val="24"/>
          <w:vertAlign w:val="superscript"/>
        </w:rPr>
        <w:t>rd</w:t>
      </w:r>
      <w:r w:rsidRPr="004E0709">
        <w:rPr>
          <w:rFonts w:ascii="Times New Roman" w:hAnsi="Times New Roman" w:cs="Times New Roman"/>
          <w:sz w:val="24"/>
          <w:szCs w:val="24"/>
        </w:rPr>
        <w:t xml:space="preserve"> - 7</w:t>
      </w:r>
      <w:r w:rsidRPr="00636ED6">
        <w:rPr>
          <w:rFonts w:ascii="Times New Roman" w:hAnsi="Times New Roman" w:cs="Times New Roman"/>
          <w:sz w:val="24"/>
          <w:szCs w:val="24"/>
          <w:vertAlign w:val="superscript"/>
        </w:rPr>
        <w:t>th</w:t>
      </w:r>
      <w:r>
        <w:rPr>
          <w:rFonts w:ascii="Times New Roman" w:hAnsi="Times New Roman" w:cs="Times New Roman"/>
          <w:sz w:val="24"/>
          <w:szCs w:val="24"/>
        </w:rPr>
        <w:t xml:space="preserve"> respondents</w:t>
      </w:r>
      <w:r w:rsidRPr="004E0709">
        <w:rPr>
          <w:rFonts w:ascii="Times New Roman" w:hAnsi="Times New Roman" w:cs="Times New Roman"/>
          <w:sz w:val="24"/>
          <w:szCs w:val="24"/>
        </w:rPr>
        <w:t xml:space="preserve"> are Sudanese</w:t>
      </w:r>
      <w:r>
        <w:rPr>
          <w:rFonts w:ascii="Times New Roman" w:hAnsi="Times New Roman" w:cs="Times New Roman"/>
          <w:sz w:val="24"/>
          <w:szCs w:val="24"/>
        </w:rPr>
        <w:t>. The respondents never refuted this in their pleadings.</w:t>
      </w:r>
      <w:r w:rsidRPr="009271BC">
        <w:rPr>
          <w:rFonts w:ascii="Times New Roman" w:hAnsi="Times New Roman" w:cs="Times New Roman"/>
          <w:sz w:val="24"/>
          <w:szCs w:val="24"/>
        </w:rPr>
        <w:t xml:space="preserve"> </w:t>
      </w:r>
      <w:r>
        <w:rPr>
          <w:rFonts w:ascii="Times New Roman" w:hAnsi="Times New Roman" w:cs="Times New Roman"/>
          <w:sz w:val="24"/>
          <w:szCs w:val="24"/>
        </w:rPr>
        <w:t xml:space="preserve">This opened up the respondents to the possibility of being found to have constructively admitted the averment since </w:t>
      </w:r>
      <w:r w:rsidR="00EC2234">
        <w:rPr>
          <w:rFonts w:ascii="Times New Roman" w:hAnsi="Times New Roman" w:cs="Times New Roman"/>
          <w:sz w:val="24"/>
          <w:szCs w:val="24"/>
        </w:rPr>
        <w:t>a</w:t>
      </w:r>
      <w:r w:rsidR="00EC2234" w:rsidRPr="00367B7D">
        <w:rPr>
          <w:rFonts w:ascii="Times New Roman" w:hAnsi="Times New Roman" w:cs="Times New Roman"/>
          <w:sz w:val="24"/>
          <w:szCs w:val="24"/>
        </w:rPr>
        <w:t xml:space="preserve"> party's pleading</w:t>
      </w:r>
      <w:r w:rsidR="00EC2234" w:rsidRPr="0061203A">
        <w:rPr>
          <w:rFonts w:ascii="Times New Roman" w:hAnsi="Times New Roman" w:cs="Times New Roman"/>
          <w:sz w:val="24"/>
          <w:szCs w:val="24"/>
        </w:rPr>
        <w:t xml:space="preserve"> must make it quite clear how much of his opponent’s case he </w:t>
      </w:r>
      <w:r w:rsidR="00EC2234">
        <w:rPr>
          <w:rFonts w:ascii="Times New Roman" w:hAnsi="Times New Roman" w:cs="Times New Roman"/>
          <w:sz w:val="24"/>
          <w:szCs w:val="24"/>
        </w:rPr>
        <w:t xml:space="preserve">or she </w:t>
      </w:r>
      <w:r w:rsidR="00EC2234" w:rsidRPr="0061203A">
        <w:rPr>
          <w:rFonts w:ascii="Times New Roman" w:hAnsi="Times New Roman" w:cs="Times New Roman"/>
          <w:sz w:val="24"/>
          <w:szCs w:val="24"/>
        </w:rPr>
        <w:t>disputes and merely denying will often be ambiguous</w:t>
      </w:r>
      <w:r w:rsidR="00EC2234">
        <w:rPr>
          <w:rFonts w:ascii="Times New Roman" w:hAnsi="Times New Roman" w:cs="Times New Roman"/>
          <w:sz w:val="24"/>
          <w:szCs w:val="24"/>
        </w:rPr>
        <w:t xml:space="preserve"> (see </w:t>
      </w:r>
      <w:r w:rsidR="00EC2234" w:rsidRPr="006565E4">
        <w:rPr>
          <w:rFonts w:ascii="Times New Roman" w:hAnsi="Times New Roman" w:cs="Times New Roman"/>
          <w:i/>
          <w:sz w:val="24"/>
          <w:szCs w:val="24"/>
        </w:rPr>
        <w:t>Odgers’ Principles and Practice in Civil Actions in the High Court of Justice</w:t>
      </w:r>
      <w:r w:rsidR="00EC2234" w:rsidRPr="006565E4">
        <w:rPr>
          <w:rFonts w:ascii="Times New Roman" w:hAnsi="Times New Roman" w:cs="Times New Roman"/>
          <w:sz w:val="24"/>
          <w:szCs w:val="24"/>
        </w:rPr>
        <w:t xml:space="preserve">, </w:t>
      </w:r>
      <w:r w:rsidR="00EC2234">
        <w:rPr>
          <w:rFonts w:ascii="Times New Roman" w:hAnsi="Times New Roman" w:cs="Times New Roman"/>
          <w:sz w:val="24"/>
          <w:szCs w:val="24"/>
        </w:rPr>
        <w:t>22</w:t>
      </w:r>
      <w:r w:rsidR="00EC2234" w:rsidRPr="006565E4">
        <w:rPr>
          <w:rFonts w:ascii="Times New Roman" w:hAnsi="Times New Roman" w:cs="Times New Roman"/>
          <w:sz w:val="24"/>
          <w:szCs w:val="24"/>
          <w:vertAlign w:val="superscript"/>
        </w:rPr>
        <w:t>nd</w:t>
      </w:r>
      <w:r w:rsidR="00EC2234">
        <w:rPr>
          <w:rFonts w:ascii="Times New Roman" w:hAnsi="Times New Roman" w:cs="Times New Roman"/>
          <w:sz w:val="24"/>
          <w:szCs w:val="24"/>
        </w:rPr>
        <w:t xml:space="preserve"> </w:t>
      </w:r>
      <w:r w:rsidR="00EC2234" w:rsidRPr="006565E4">
        <w:rPr>
          <w:rFonts w:ascii="Times New Roman" w:hAnsi="Times New Roman" w:cs="Times New Roman"/>
          <w:sz w:val="24"/>
          <w:szCs w:val="24"/>
        </w:rPr>
        <w:t>Ed</w:t>
      </w:r>
      <w:r w:rsidR="00EC2234">
        <w:rPr>
          <w:rFonts w:ascii="Times New Roman" w:hAnsi="Times New Roman" w:cs="Times New Roman"/>
          <w:sz w:val="24"/>
          <w:szCs w:val="24"/>
        </w:rPr>
        <w:t>ition, pages 132 - 137). I</w:t>
      </w:r>
      <w:r>
        <w:rPr>
          <w:rFonts w:ascii="Times New Roman" w:hAnsi="Times New Roman" w:cs="Times New Roman"/>
          <w:sz w:val="24"/>
          <w:szCs w:val="24"/>
        </w:rPr>
        <w:t xml:space="preserve">t is trite law that </w:t>
      </w:r>
      <w:r w:rsidR="00EC2234">
        <w:rPr>
          <w:rFonts w:ascii="Times New Roman" w:hAnsi="Times New Roman" w:cs="Times New Roman"/>
          <w:sz w:val="24"/>
          <w:szCs w:val="24"/>
        </w:rPr>
        <w:t>e</w:t>
      </w:r>
      <w:r w:rsidR="00EC2234" w:rsidRPr="00FF2587">
        <w:rPr>
          <w:rFonts w:ascii="Times New Roman" w:hAnsi="Times New Roman" w:cs="Times New Roman"/>
          <w:sz w:val="24"/>
          <w:szCs w:val="24"/>
        </w:rPr>
        <w:t>ach material allegation of fact should be dealt with specifically in one’s subsequent pleading (</w:t>
      </w:r>
      <w:r w:rsidR="00EC2234">
        <w:rPr>
          <w:rFonts w:ascii="Times New Roman" w:hAnsi="Times New Roman" w:cs="Times New Roman"/>
          <w:sz w:val="24"/>
          <w:szCs w:val="24"/>
        </w:rPr>
        <w:t xml:space="preserve">see </w:t>
      </w:r>
      <w:r w:rsidR="00EC2234" w:rsidRPr="00FF2587">
        <w:rPr>
          <w:rFonts w:ascii="Times New Roman" w:hAnsi="Times New Roman" w:cs="Times New Roman"/>
          <w:sz w:val="24"/>
          <w:szCs w:val="24"/>
        </w:rPr>
        <w:t xml:space="preserve">Thesiger, LJ, in </w:t>
      </w:r>
      <w:r w:rsidR="00EC2234" w:rsidRPr="001C417D">
        <w:rPr>
          <w:rFonts w:ascii="Times New Roman" w:hAnsi="Times New Roman" w:cs="Times New Roman"/>
          <w:i/>
          <w:sz w:val="24"/>
          <w:szCs w:val="24"/>
        </w:rPr>
        <w:t>Byrd v</w:t>
      </w:r>
      <w:r w:rsidR="00EC2234">
        <w:rPr>
          <w:rFonts w:ascii="Times New Roman" w:hAnsi="Times New Roman" w:cs="Times New Roman"/>
          <w:i/>
          <w:sz w:val="24"/>
          <w:szCs w:val="24"/>
        </w:rPr>
        <w:t>.</w:t>
      </w:r>
      <w:r w:rsidR="00EC2234" w:rsidRPr="001C417D">
        <w:rPr>
          <w:rFonts w:ascii="Times New Roman" w:hAnsi="Times New Roman" w:cs="Times New Roman"/>
          <w:i/>
          <w:sz w:val="24"/>
          <w:szCs w:val="24"/>
        </w:rPr>
        <w:t xml:space="preserve"> Nunn [1877] 7 Ch D 284, at p 287</w:t>
      </w:r>
      <w:r w:rsidR="00EC2234" w:rsidRPr="00FF2587">
        <w:rPr>
          <w:rFonts w:ascii="Times New Roman" w:hAnsi="Times New Roman" w:cs="Times New Roman"/>
          <w:sz w:val="24"/>
          <w:szCs w:val="24"/>
        </w:rPr>
        <w:t>)</w:t>
      </w:r>
      <w:r w:rsidR="00EC2234">
        <w:rPr>
          <w:rFonts w:ascii="Times New Roman" w:hAnsi="Times New Roman" w:cs="Times New Roman"/>
          <w:sz w:val="24"/>
          <w:szCs w:val="24"/>
        </w:rPr>
        <w:t>. A</w:t>
      </w:r>
      <w:r w:rsidRPr="003B0047">
        <w:rPr>
          <w:rFonts w:ascii="Times New Roman" w:hAnsi="Times New Roman" w:cs="Times New Roman"/>
          <w:sz w:val="24"/>
          <w:szCs w:val="24"/>
        </w:rPr>
        <w:t>n allegation of fact not specifically travers</w:t>
      </w:r>
      <w:r>
        <w:rPr>
          <w:rFonts w:ascii="Times New Roman" w:hAnsi="Times New Roman" w:cs="Times New Roman"/>
          <w:sz w:val="24"/>
          <w:szCs w:val="24"/>
        </w:rPr>
        <w:t>ed</w:t>
      </w:r>
      <w:r w:rsidRPr="003B0047">
        <w:rPr>
          <w:rFonts w:ascii="Times New Roman" w:hAnsi="Times New Roman" w:cs="Times New Roman"/>
          <w:sz w:val="24"/>
          <w:szCs w:val="24"/>
        </w:rPr>
        <w:t xml:space="preserve"> will be taken to be admitted, wh</w:t>
      </w:r>
      <w:r>
        <w:rPr>
          <w:rFonts w:ascii="Times New Roman" w:hAnsi="Times New Roman" w:cs="Times New Roman"/>
          <w:sz w:val="24"/>
          <w:szCs w:val="24"/>
        </w:rPr>
        <w:t xml:space="preserve">ether </w:t>
      </w:r>
      <w:r w:rsidRPr="00BF449C">
        <w:rPr>
          <w:rFonts w:ascii="Times New Roman" w:hAnsi="Times New Roman" w:cs="Times New Roman"/>
          <w:sz w:val="24"/>
          <w:szCs w:val="24"/>
        </w:rPr>
        <w:t>this was intended or not and once treated as admitted, the party who makes it need not prove it.</w:t>
      </w:r>
      <w:r>
        <w:rPr>
          <w:rFonts w:ascii="Times New Roman" w:hAnsi="Times New Roman" w:cs="Times New Roman"/>
          <w:sz w:val="24"/>
          <w:szCs w:val="24"/>
        </w:rPr>
        <w:t xml:space="preserve">. </w:t>
      </w:r>
      <w:r w:rsidRPr="00BF449C">
        <w:rPr>
          <w:rFonts w:ascii="Times New Roman" w:hAnsi="Times New Roman" w:cs="Times New Roman"/>
          <w:sz w:val="24"/>
          <w:szCs w:val="24"/>
        </w:rPr>
        <w:t xml:space="preserve">A party who </w:t>
      </w:r>
      <w:r>
        <w:rPr>
          <w:rFonts w:ascii="Times New Roman" w:hAnsi="Times New Roman" w:cs="Times New Roman"/>
          <w:sz w:val="24"/>
          <w:szCs w:val="24"/>
        </w:rPr>
        <w:t>makes</w:t>
      </w:r>
      <w:r w:rsidRPr="00BF449C">
        <w:rPr>
          <w:rFonts w:ascii="Times New Roman" w:hAnsi="Times New Roman" w:cs="Times New Roman"/>
          <w:sz w:val="24"/>
          <w:szCs w:val="24"/>
        </w:rPr>
        <w:t xml:space="preserve"> an allegation of fact admitted expressly or constructively need not prove the fact admitted by his </w:t>
      </w:r>
      <w:r>
        <w:rPr>
          <w:rFonts w:ascii="Times New Roman" w:hAnsi="Times New Roman" w:cs="Times New Roman"/>
          <w:sz w:val="24"/>
          <w:szCs w:val="24"/>
        </w:rPr>
        <w:t xml:space="preserve">or her </w:t>
      </w:r>
      <w:r w:rsidRPr="00BF449C">
        <w:rPr>
          <w:rFonts w:ascii="Times New Roman" w:hAnsi="Times New Roman" w:cs="Times New Roman"/>
          <w:sz w:val="24"/>
          <w:szCs w:val="24"/>
        </w:rPr>
        <w:t>opponent</w:t>
      </w:r>
      <w:r>
        <w:rPr>
          <w:rFonts w:ascii="Times New Roman" w:hAnsi="Times New Roman" w:cs="Times New Roman"/>
          <w:sz w:val="24"/>
          <w:szCs w:val="24"/>
        </w:rPr>
        <w:t xml:space="preserve"> (see </w:t>
      </w:r>
      <w:r w:rsidRPr="00BF449C">
        <w:rPr>
          <w:rFonts w:ascii="Times New Roman" w:hAnsi="Times New Roman" w:cs="Times New Roman"/>
          <w:i/>
          <w:sz w:val="24"/>
          <w:szCs w:val="24"/>
        </w:rPr>
        <w:t>Pioneer Plastic Containers Ltd v</w:t>
      </w:r>
      <w:r>
        <w:rPr>
          <w:rFonts w:ascii="Times New Roman" w:hAnsi="Times New Roman" w:cs="Times New Roman"/>
          <w:i/>
          <w:sz w:val="24"/>
          <w:szCs w:val="24"/>
        </w:rPr>
        <w:t>.</w:t>
      </w:r>
      <w:r w:rsidRPr="00BF449C">
        <w:rPr>
          <w:rFonts w:ascii="Times New Roman" w:hAnsi="Times New Roman" w:cs="Times New Roman"/>
          <w:i/>
          <w:sz w:val="24"/>
          <w:szCs w:val="24"/>
        </w:rPr>
        <w:t xml:space="preserve"> Commissioner of Customs and Excise [1967] 1 All E R 1053</w:t>
      </w:r>
      <w:r>
        <w:rPr>
          <w:rFonts w:ascii="Times New Roman" w:hAnsi="Times New Roman" w:cs="Times New Roman"/>
          <w:sz w:val="24"/>
          <w:szCs w:val="24"/>
        </w:rPr>
        <w:t>)</w:t>
      </w:r>
      <w:r w:rsidRPr="00ED609E">
        <w:rPr>
          <w:rFonts w:ascii="Times New Roman" w:hAnsi="Times New Roman" w:cs="Times New Roman"/>
          <w:sz w:val="24"/>
          <w:szCs w:val="24"/>
        </w:rPr>
        <w:t>.</w:t>
      </w:r>
      <w:r w:rsidRPr="005A46C4">
        <w:rPr>
          <w:rFonts w:ascii="Times New Roman" w:hAnsi="Times New Roman" w:cs="Times New Roman"/>
          <w:sz w:val="24"/>
          <w:szCs w:val="24"/>
        </w:rPr>
        <w:t xml:space="preserve"> </w:t>
      </w:r>
    </w:p>
    <w:p w:rsidR="009271BC" w:rsidRDefault="009271BC" w:rsidP="00A85166">
      <w:pPr>
        <w:spacing w:after="0" w:line="360" w:lineRule="auto"/>
        <w:jc w:val="both"/>
        <w:rPr>
          <w:rFonts w:ascii="Times New Roman" w:hAnsi="Times New Roman" w:cs="Times New Roman"/>
          <w:sz w:val="24"/>
          <w:szCs w:val="24"/>
        </w:rPr>
      </w:pPr>
    </w:p>
    <w:p w:rsidR="00F9258E" w:rsidRPr="00EC2234" w:rsidRDefault="00BF46B8" w:rsidP="00F9258E">
      <w:pPr>
        <w:spacing w:after="0" w:line="360" w:lineRule="auto"/>
        <w:jc w:val="both"/>
        <w:rPr>
          <w:rFonts w:ascii="Times New Roman" w:hAnsi="Times New Roman" w:cs="Times New Roman"/>
          <w:sz w:val="24"/>
          <w:szCs w:val="24"/>
        </w:rPr>
      </w:pPr>
      <w:r w:rsidRPr="00A85166">
        <w:rPr>
          <w:rFonts w:ascii="Times New Roman" w:hAnsi="Times New Roman" w:cs="Times New Roman"/>
          <w:sz w:val="24"/>
          <w:szCs w:val="24"/>
        </w:rPr>
        <w:t xml:space="preserve">That being </w:t>
      </w:r>
      <w:r w:rsidR="002057BF">
        <w:rPr>
          <w:rFonts w:ascii="Times New Roman" w:hAnsi="Times New Roman" w:cs="Times New Roman"/>
          <w:sz w:val="24"/>
          <w:szCs w:val="24"/>
        </w:rPr>
        <w:t>so</w:t>
      </w:r>
      <w:r w:rsidRPr="00A85166">
        <w:rPr>
          <w:rFonts w:ascii="Times New Roman" w:hAnsi="Times New Roman" w:cs="Times New Roman"/>
          <w:sz w:val="24"/>
          <w:szCs w:val="24"/>
        </w:rPr>
        <w:t>, in the instant case where the disputed land is held under customary tenure, with the respondent</w:t>
      </w:r>
      <w:r w:rsidR="002057BF">
        <w:rPr>
          <w:rFonts w:ascii="Times New Roman" w:hAnsi="Times New Roman" w:cs="Times New Roman"/>
          <w:sz w:val="24"/>
          <w:szCs w:val="24"/>
        </w:rPr>
        <w:t>s'</w:t>
      </w:r>
      <w:r w:rsidRPr="00A85166">
        <w:rPr>
          <w:rFonts w:ascii="Times New Roman" w:hAnsi="Times New Roman" w:cs="Times New Roman"/>
          <w:sz w:val="24"/>
          <w:szCs w:val="24"/>
        </w:rPr>
        <w:t xml:space="preserve"> Uganda citizenship being refuted by the appellants, the burden was on the respondent to adduce evidence of </w:t>
      </w:r>
      <w:r w:rsidR="00A85166">
        <w:rPr>
          <w:rFonts w:ascii="Times New Roman" w:hAnsi="Times New Roman" w:cs="Times New Roman"/>
          <w:sz w:val="24"/>
          <w:szCs w:val="24"/>
        </w:rPr>
        <w:t>their</w:t>
      </w:r>
      <w:r w:rsidRPr="00A85166">
        <w:rPr>
          <w:rFonts w:ascii="Times New Roman" w:hAnsi="Times New Roman" w:cs="Times New Roman"/>
          <w:sz w:val="24"/>
          <w:szCs w:val="24"/>
        </w:rPr>
        <w:t xml:space="preserve"> claimed Uganda citizenship, otherwise</w:t>
      </w:r>
      <w:r w:rsidR="00A85166">
        <w:rPr>
          <w:rFonts w:ascii="Times New Roman" w:hAnsi="Times New Roman" w:cs="Times New Roman"/>
          <w:sz w:val="24"/>
          <w:szCs w:val="24"/>
        </w:rPr>
        <w:t xml:space="preserve"> their</w:t>
      </w:r>
      <w:r w:rsidRPr="00A85166">
        <w:rPr>
          <w:rFonts w:ascii="Times New Roman" w:hAnsi="Times New Roman" w:cs="Times New Roman"/>
          <w:sz w:val="24"/>
          <w:szCs w:val="24"/>
        </w:rPr>
        <w:t xml:space="preserve"> claim would be restricted to land held under leasehold, which the one in dispute is not. </w:t>
      </w:r>
      <w:r w:rsidR="00F9258E" w:rsidRPr="004565E6">
        <w:rPr>
          <w:rFonts w:ascii="Times New Roman" w:hAnsi="Times New Roman" w:cs="Times New Roman"/>
          <w:iCs/>
          <w:sz w:val="24"/>
          <w:szCs w:val="24"/>
        </w:rPr>
        <w:t xml:space="preserve">This principle is </w:t>
      </w:r>
      <w:r w:rsidR="00F9258E" w:rsidRPr="004565E6">
        <w:rPr>
          <w:rFonts w:ascii="Times New Roman" w:hAnsi="Times New Roman" w:cs="Times New Roman"/>
          <w:iCs/>
          <w:sz w:val="24"/>
          <w:szCs w:val="24"/>
        </w:rPr>
        <w:lastRenderedPageBreak/>
        <w:t xml:space="preserve">captured by the Latin expression; </w:t>
      </w:r>
      <w:r w:rsidR="00F9258E" w:rsidRPr="004565E6">
        <w:rPr>
          <w:rFonts w:ascii="Times New Roman" w:hAnsi="Times New Roman" w:cs="Times New Roman"/>
          <w:i/>
          <w:iCs/>
          <w:sz w:val="24"/>
          <w:szCs w:val="24"/>
        </w:rPr>
        <w:t>matim ei qui affirmat non ei, qui negat incumbit probatio</w:t>
      </w:r>
      <w:r w:rsidR="00F9258E" w:rsidRPr="004565E6">
        <w:rPr>
          <w:rFonts w:ascii="Times New Roman" w:hAnsi="Times New Roman" w:cs="Times New Roman"/>
          <w:iCs/>
          <w:sz w:val="24"/>
          <w:szCs w:val="24"/>
        </w:rPr>
        <w:t xml:space="preserve">.  </w:t>
      </w:r>
      <w:r w:rsidR="00F9258E" w:rsidRPr="004565E6">
        <w:rPr>
          <w:rFonts w:ascii="Times New Roman" w:hAnsi="Times New Roman" w:cs="Times New Roman"/>
          <w:sz w:val="24"/>
          <w:szCs w:val="24"/>
        </w:rPr>
        <w:t xml:space="preserve">The position was re-affirmed by the </w:t>
      </w:r>
      <w:r w:rsidR="00F9258E">
        <w:rPr>
          <w:rFonts w:ascii="Times New Roman" w:hAnsi="Times New Roman" w:cs="Times New Roman"/>
          <w:sz w:val="24"/>
          <w:szCs w:val="24"/>
        </w:rPr>
        <w:t xml:space="preserve">Kenya </w:t>
      </w:r>
      <w:r w:rsidR="00F9258E" w:rsidRPr="004565E6">
        <w:rPr>
          <w:rFonts w:ascii="Times New Roman" w:hAnsi="Times New Roman" w:cs="Times New Roman"/>
          <w:sz w:val="24"/>
          <w:szCs w:val="24"/>
        </w:rPr>
        <w:t xml:space="preserve">Court of Appeal in </w:t>
      </w:r>
      <w:r w:rsidR="00F9258E" w:rsidRPr="00097FC0">
        <w:rPr>
          <w:rStyle w:val="Strong"/>
          <w:rFonts w:ascii="Times New Roman" w:hAnsi="Times New Roman" w:cs="Times New Roman"/>
          <w:b w:val="0"/>
          <w:i/>
          <w:sz w:val="24"/>
          <w:szCs w:val="24"/>
        </w:rPr>
        <w:t>Maria Ciabaitaru M’mairanyi and Others v</w:t>
      </w:r>
      <w:r w:rsidR="009A0E0F">
        <w:rPr>
          <w:rStyle w:val="Strong"/>
          <w:rFonts w:ascii="Times New Roman" w:hAnsi="Times New Roman" w:cs="Times New Roman"/>
          <w:b w:val="0"/>
          <w:i/>
          <w:sz w:val="24"/>
          <w:szCs w:val="24"/>
        </w:rPr>
        <w:t>.</w:t>
      </w:r>
      <w:r w:rsidR="00F9258E" w:rsidRPr="00097FC0">
        <w:rPr>
          <w:rStyle w:val="Strong"/>
          <w:rFonts w:ascii="Times New Roman" w:hAnsi="Times New Roman" w:cs="Times New Roman"/>
          <w:b w:val="0"/>
          <w:i/>
          <w:sz w:val="24"/>
          <w:szCs w:val="24"/>
        </w:rPr>
        <w:t> Blue Shield Insurance Company Limited, 2000 [2005]1 EA 280</w:t>
      </w:r>
      <w:r w:rsidR="00F9258E" w:rsidRPr="004565E6">
        <w:rPr>
          <w:rStyle w:val="Strong"/>
          <w:rFonts w:ascii="Times New Roman" w:hAnsi="Times New Roman" w:cs="Times New Roman"/>
          <w:sz w:val="24"/>
          <w:szCs w:val="24"/>
        </w:rPr>
        <w:t xml:space="preserve"> </w:t>
      </w:r>
      <w:r w:rsidR="00F9258E" w:rsidRPr="004565E6">
        <w:rPr>
          <w:rFonts w:ascii="Times New Roman" w:hAnsi="Times New Roman" w:cs="Times New Roman"/>
          <w:sz w:val="24"/>
          <w:szCs w:val="24"/>
        </w:rPr>
        <w:t>where it was held that:-</w:t>
      </w:r>
    </w:p>
    <w:p w:rsidR="00F9258E" w:rsidRDefault="00F9258E" w:rsidP="00F9258E">
      <w:pPr>
        <w:pStyle w:val="NormalWeb"/>
        <w:spacing w:before="0" w:beforeAutospacing="0" w:after="0" w:afterAutospacing="0" w:line="276" w:lineRule="auto"/>
        <w:ind w:left="576" w:right="576"/>
        <w:jc w:val="both"/>
        <w:rPr>
          <w:rStyle w:val="Emphasis"/>
          <w:bCs/>
          <w:i w:val="0"/>
        </w:rPr>
      </w:pPr>
      <w:r w:rsidRPr="00A85166">
        <w:rPr>
          <w:rStyle w:val="Emphasis"/>
          <w:bCs/>
          <w:i w:val="0"/>
        </w:rPr>
        <w:t xml:space="preserve">Whereas under section 107 of the Evidence Act, (which deals with the evidentiary burden of proof and is equivalent to our section 102 of the Evidence Act), the burden of proof lies upon the party who invokes the aid of the law and </w:t>
      </w:r>
      <w:r w:rsidRPr="00A85166">
        <w:rPr>
          <w:rStyle w:val="Emphasis"/>
          <w:bCs/>
          <w:i w:val="0"/>
          <w:u w:val="single"/>
        </w:rPr>
        <w:t>substantially asserts the affirmative of the issue</w:t>
      </w:r>
      <w:r w:rsidRPr="00A85166">
        <w:rPr>
          <w:rStyle w:val="Emphasis"/>
          <w:bCs/>
          <w:i w:val="0"/>
        </w:rPr>
        <w:t xml:space="preserve">, section 109 of the same Act recognises that the burden of </w:t>
      </w:r>
      <w:r w:rsidRPr="00A85166">
        <w:rPr>
          <w:rStyle w:val="Emphasis"/>
          <w:bCs/>
          <w:i w:val="0"/>
          <w:u w:val="single"/>
        </w:rPr>
        <w:t>proof as to any particular fact may be cast on the person who wishes the Court to believe in its existence</w:t>
      </w:r>
      <w:r w:rsidRPr="00A85166">
        <w:rPr>
          <w:rStyle w:val="Emphasis"/>
          <w:bCs/>
          <w:i w:val="0"/>
        </w:rPr>
        <w:t>. (Emphasis added).</w:t>
      </w:r>
    </w:p>
    <w:p w:rsidR="00A85166" w:rsidRPr="00A85166" w:rsidRDefault="00A85166" w:rsidP="00F9258E">
      <w:pPr>
        <w:pStyle w:val="NormalWeb"/>
        <w:spacing w:before="0" w:beforeAutospacing="0" w:after="0" w:afterAutospacing="0" w:line="276" w:lineRule="auto"/>
        <w:ind w:left="576" w:right="576"/>
        <w:jc w:val="both"/>
        <w:rPr>
          <w:rStyle w:val="Emphasis"/>
          <w:bCs/>
          <w:i w:val="0"/>
        </w:rPr>
      </w:pPr>
    </w:p>
    <w:p w:rsidR="004E0709" w:rsidRDefault="00A85166" w:rsidP="00A85166">
      <w:pPr>
        <w:pStyle w:val="NormalWeb"/>
        <w:spacing w:before="0" w:beforeAutospacing="0" w:after="0" w:afterAutospacing="0" w:line="360" w:lineRule="auto"/>
        <w:jc w:val="both"/>
      </w:pPr>
      <w:r>
        <w:t>The principle is further illustrated in</w:t>
      </w:r>
      <w:r w:rsidR="00F9258E">
        <w:rPr>
          <w:iCs/>
        </w:rPr>
        <w:t xml:space="preserve"> </w:t>
      </w:r>
      <w:r w:rsidR="00F9258E" w:rsidRPr="00883E46">
        <w:rPr>
          <w:i/>
          <w:iCs/>
        </w:rPr>
        <w:t>J</w:t>
      </w:r>
      <w:r w:rsidR="00F9258E" w:rsidRPr="00883E46">
        <w:rPr>
          <w:i/>
        </w:rPr>
        <w:t>ovelyn Bamgahare v</w:t>
      </w:r>
      <w:r w:rsidR="00F9258E">
        <w:rPr>
          <w:i/>
        </w:rPr>
        <w:t>.</w:t>
      </w:r>
      <w:r w:rsidR="00F9258E" w:rsidRPr="00883E46">
        <w:rPr>
          <w:i/>
        </w:rPr>
        <w:t xml:space="preserve"> Attorney General S.C. C.A.  No 28 of 1993</w:t>
      </w:r>
      <w:r w:rsidR="00F9258E">
        <w:t>,</w:t>
      </w:r>
      <w:r w:rsidR="00F9258E" w:rsidRPr="00883E46">
        <w:t xml:space="preserve"> </w:t>
      </w:r>
      <w:r w:rsidR="00F9258E">
        <w:t xml:space="preserve">where it was decided that </w:t>
      </w:r>
      <w:r w:rsidR="00F9258E" w:rsidRPr="00883E46">
        <w:t>he who asserts must affirm</w:t>
      </w:r>
      <w:r w:rsidR="00F9258E">
        <w:t>.</w:t>
      </w:r>
      <w:r w:rsidR="00F9258E">
        <w:rPr>
          <w:iCs/>
        </w:rPr>
        <w:t xml:space="preserve"> T</w:t>
      </w:r>
      <w:r w:rsidR="00F9258E" w:rsidRPr="00F57E5D">
        <w:rPr>
          <w:iCs/>
        </w:rPr>
        <w:t>he onus is on a party to pro</w:t>
      </w:r>
      <w:r w:rsidR="00F9258E">
        <w:rPr>
          <w:iCs/>
        </w:rPr>
        <w:t>ve</w:t>
      </w:r>
      <w:r w:rsidR="00F9258E" w:rsidRPr="00F57E5D">
        <w:rPr>
          <w:iCs/>
        </w:rPr>
        <w:t xml:space="preserve"> a positive assertion and not a negative assertion. It therefore means that, the burden of proof lies upon him who</w:t>
      </w:r>
      <w:r w:rsidR="00F9258E">
        <w:rPr>
          <w:iCs/>
        </w:rPr>
        <w:t xml:space="preserve"> </w:t>
      </w:r>
      <w:r w:rsidR="00F9258E" w:rsidRPr="00F57E5D">
        <w:rPr>
          <w:iCs/>
        </w:rPr>
        <w:t>asserts the affirmative of an issue, and not upon him who denies, since from the nature o</w:t>
      </w:r>
      <w:r w:rsidR="00F9258E">
        <w:rPr>
          <w:iCs/>
        </w:rPr>
        <w:t xml:space="preserve">f things he who denies a fact can </w:t>
      </w:r>
      <w:r w:rsidR="00F9258E" w:rsidRPr="00F57E5D">
        <w:rPr>
          <w:iCs/>
        </w:rPr>
        <w:t>hardly</w:t>
      </w:r>
      <w:r w:rsidR="00F9258E">
        <w:rPr>
          <w:iCs/>
        </w:rPr>
        <w:t xml:space="preserve"> </w:t>
      </w:r>
      <w:r w:rsidR="00F9258E" w:rsidRPr="00F57E5D">
        <w:rPr>
          <w:iCs/>
        </w:rPr>
        <w:t>produce any proof</w:t>
      </w:r>
      <w:r w:rsidR="009A0E0F">
        <w:rPr>
          <w:iCs/>
        </w:rPr>
        <w:t>.</w:t>
      </w:r>
      <w:r w:rsidR="00212922">
        <w:rPr>
          <w:iCs/>
        </w:rPr>
        <w:t xml:space="preserve"> </w:t>
      </w:r>
      <w:r w:rsidR="00BF46B8">
        <w:rPr>
          <w:iCs/>
        </w:rPr>
        <w:t>To succeed in</w:t>
      </w:r>
      <w:r w:rsidR="00F23AE8">
        <w:rPr>
          <w:iCs/>
        </w:rPr>
        <w:t xml:space="preserve"> their</w:t>
      </w:r>
      <w:r w:rsidR="00BF46B8">
        <w:rPr>
          <w:iCs/>
        </w:rPr>
        <w:t xml:space="preserve"> claim of being the owner</w:t>
      </w:r>
      <w:r w:rsidR="00212922">
        <w:rPr>
          <w:iCs/>
        </w:rPr>
        <w:t>s</w:t>
      </w:r>
      <w:r w:rsidR="00BF46B8">
        <w:rPr>
          <w:iCs/>
        </w:rPr>
        <w:t xml:space="preserve"> of the disputed land under customary tenure, the burden lay on the respondent</w:t>
      </w:r>
      <w:r w:rsidR="00F23AE8">
        <w:rPr>
          <w:iCs/>
        </w:rPr>
        <w:t>s</w:t>
      </w:r>
      <w:r w:rsidR="00BF46B8">
        <w:rPr>
          <w:iCs/>
        </w:rPr>
        <w:t xml:space="preserve"> to adduce such evidence as would satisfy court that indeed </w:t>
      </w:r>
      <w:r w:rsidR="00F23AE8">
        <w:rPr>
          <w:iCs/>
        </w:rPr>
        <w:t>they are</w:t>
      </w:r>
      <w:r w:rsidR="00BF46B8">
        <w:rPr>
          <w:iCs/>
        </w:rPr>
        <w:t xml:space="preserve"> citizen</w:t>
      </w:r>
      <w:r w:rsidR="005452A4">
        <w:rPr>
          <w:iCs/>
        </w:rPr>
        <w:t>s</w:t>
      </w:r>
      <w:r w:rsidR="00BF46B8">
        <w:rPr>
          <w:iCs/>
        </w:rPr>
        <w:t xml:space="preserve"> of Uganda entitled to hold land under customary tenure</w:t>
      </w:r>
      <w:r w:rsidR="00F23AE8">
        <w:rPr>
          <w:iCs/>
        </w:rPr>
        <w:t>.</w:t>
      </w:r>
      <w:r w:rsidR="00F23AE8" w:rsidRPr="00F23AE8">
        <w:rPr>
          <w:iCs/>
        </w:rPr>
        <w:t xml:space="preserve"> </w:t>
      </w:r>
      <w:r w:rsidR="00F23AE8">
        <w:rPr>
          <w:iCs/>
        </w:rPr>
        <w:t xml:space="preserve">They had to do this by adducing evidence that they are either a citizens by birth, by descent, by registration or by naturalisation as provided for by Chapter three of </w:t>
      </w:r>
      <w:r w:rsidR="00F23AE8" w:rsidRPr="0032568B">
        <w:rPr>
          <w:i/>
          <w:iCs/>
        </w:rPr>
        <w:t>The Constitution of the Republic of Uganda</w:t>
      </w:r>
      <w:r w:rsidR="00F23AE8">
        <w:rPr>
          <w:iCs/>
        </w:rPr>
        <w:t xml:space="preserve">, 1995 and Part three of </w:t>
      </w:r>
      <w:r w:rsidR="00F23AE8" w:rsidRPr="0032568B">
        <w:rPr>
          <w:i/>
          <w:iCs/>
        </w:rPr>
        <w:t>The Uganda Citizenship and Immigration Co</w:t>
      </w:r>
      <w:r w:rsidR="00F23AE8">
        <w:rPr>
          <w:i/>
          <w:iCs/>
        </w:rPr>
        <w:t>ntrol Act, Cap. 66,</w:t>
      </w:r>
      <w:r w:rsidR="00F23AE8" w:rsidRPr="0032568B">
        <w:rPr>
          <w:i/>
          <w:iCs/>
        </w:rPr>
        <w:t xml:space="preserve"> </w:t>
      </w:r>
      <w:r w:rsidR="00F23AE8">
        <w:rPr>
          <w:iCs/>
        </w:rPr>
        <w:t xml:space="preserve">as emended in </w:t>
      </w:r>
      <w:r w:rsidR="00F23AE8" w:rsidRPr="0032568B">
        <w:rPr>
          <w:iCs/>
        </w:rPr>
        <w:t>2006</w:t>
      </w:r>
      <w:r w:rsidR="004E0709">
        <w:t>.</w:t>
      </w:r>
    </w:p>
    <w:p w:rsidR="005452A4" w:rsidRDefault="005452A4" w:rsidP="00A85166">
      <w:pPr>
        <w:pStyle w:val="NormalWeb"/>
        <w:spacing w:before="0" w:beforeAutospacing="0" w:after="0" w:afterAutospacing="0" w:line="360" w:lineRule="auto"/>
        <w:jc w:val="both"/>
      </w:pPr>
    </w:p>
    <w:p w:rsidR="00ED3B01" w:rsidRDefault="00ED3B01" w:rsidP="005452A4">
      <w:pPr>
        <w:pStyle w:val="NormalWeb"/>
        <w:spacing w:before="0" w:beforeAutospacing="0" w:after="0" w:afterAutospacing="0" w:line="360" w:lineRule="auto"/>
        <w:jc w:val="both"/>
        <w:rPr>
          <w:rStyle w:val="Emphasis"/>
          <w:bCs/>
          <w:i w:val="0"/>
        </w:rPr>
      </w:pPr>
      <w:r w:rsidRPr="00ED3B01">
        <w:rPr>
          <w:iCs/>
        </w:rPr>
        <w:t xml:space="preserve">Under section 32 (2) of </w:t>
      </w:r>
      <w:r w:rsidR="005452A4" w:rsidRPr="0032568B">
        <w:rPr>
          <w:i/>
          <w:iCs/>
        </w:rPr>
        <w:t>The Uganda Citizenship and Immigration Co</w:t>
      </w:r>
      <w:r w:rsidR="005452A4">
        <w:rPr>
          <w:i/>
          <w:iCs/>
        </w:rPr>
        <w:t>ntrol Act</w:t>
      </w:r>
      <w:r w:rsidRPr="00ED3B01">
        <w:rPr>
          <w:iCs/>
        </w:rPr>
        <w:t xml:space="preserve">, a citizen applying for a National Identity Card must fill in a form D to the third schedule. The information required to be furnished in that form includes; place and date of birth of the applicant, the village, sub-county, county and district of birth, indigenous community to which the applicant belongs, the father’s names and place of birth (particulars of clan are required), mother’s names and place of birth (particulars of clan are required), two contemporary descendants, etc. </w:t>
      </w:r>
      <w:r w:rsidRPr="00ED3B01">
        <w:rPr>
          <w:rStyle w:val="Emphasis"/>
          <w:bCs/>
          <w:i w:val="0"/>
        </w:rPr>
        <w:t xml:space="preserve">It becomes clear from those requirements that whenever court is called upon to decide, even for the limited purpose of rights of ownership of land, whether a person is or is not a citizen of Uganda, the court must carefully examine the question in the context of the constitutional provisions and the provisions of </w:t>
      </w:r>
      <w:r w:rsidRPr="00ED3B01">
        <w:rPr>
          <w:i/>
          <w:iCs/>
        </w:rPr>
        <w:t>The Uganda Citizenship and Immigration Control Act</w:t>
      </w:r>
      <w:r w:rsidRPr="00ED3B01">
        <w:rPr>
          <w:rStyle w:val="Emphasis"/>
          <w:bCs/>
        </w:rPr>
        <w:t xml:space="preserve">. </w:t>
      </w:r>
    </w:p>
    <w:p w:rsidR="004E0709" w:rsidRDefault="00ED3B01" w:rsidP="008E181E">
      <w:pPr>
        <w:pStyle w:val="NormalWeb"/>
        <w:spacing w:before="0" w:beforeAutospacing="0" w:after="0" w:afterAutospacing="0" w:line="360" w:lineRule="auto"/>
        <w:jc w:val="both"/>
      </w:pPr>
      <w:r w:rsidRPr="00ED3B01">
        <w:rPr>
          <w:rStyle w:val="Emphasis"/>
          <w:bCs/>
          <w:i w:val="0"/>
        </w:rPr>
        <w:lastRenderedPageBreak/>
        <w:t xml:space="preserve">In </w:t>
      </w:r>
      <w:r w:rsidR="009271BC">
        <w:rPr>
          <w:rStyle w:val="Emphasis"/>
          <w:bCs/>
          <w:i w:val="0"/>
        </w:rPr>
        <w:t xml:space="preserve">determining citizenship status, </w:t>
      </w:r>
      <w:r w:rsidRPr="00ED3B01">
        <w:rPr>
          <w:rStyle w:val="Emphasis"/>
          <w:bCs/>
          <w:i w:val="0"/>
        </w:rPr>
        <w:t>section 22 of</w:t>
      </w:r>
      <w:r>
        <w:rPr>
          <w:rStyle w:val="Emphasis"/>
          <w:bCs/>
        </w:rPr>
        <w:t xml:space="preserve"> </w:t>
      </w:r>
      <w:r w:rsidRPr="0032568B">
        <w:rPr>
          <w:i/>
          <w:iCs/>
        </w:rPr>
        <w:t>The Uganda Citizenship and Immigration Co</w:t>
      </w:r>
      <w:r>
        <w:rPr>
          <w:i/>
          <w:iCs/>
        </w:rPr>
        <w:t xml:space="preserve">ntrol Act, Cap. </w:t>
      </w:r>
      <w:r w:rsidRPr="00941D06">
        <w:rPr>
          <w:i/>
          <w:iCs/>
        </w:rPr>
        <w:t>66</w:t>
      </w:r>
      <w:r w:rsidRPr="00941D06">
        <w:rPr>
          <w:iCs/>
        </w:rPr>
        <w:t xml:space="preserve"> permits</w:t>
      </w:r>
      <w:r>
        <w:rPr>
          <w:iCs/>
        </w:rPr>
        <w:t xml:space="preserve"> receipt as proof thereof, </w:t>
      </w:r>
      <w:r w:rsidRPr="00941D06">
        <w:rPr>
          <w:iCs/>
        </w:rPr>
        <w:t>every document purporting to be a notice, certificate, order or declaration, or any entry in a register, or a subscription of an oath of</w:t>
      </w:r>
      <w:r>
        <w:rPr>
          <w:iCs/>
        </w:rPr>
        <w:t xml:space="preserve"> </w:t>
      </w:r>
      <w:r w:rsidRPr="00941D06">
        <w:rPr>
          <w:iCs/>
        </w:rPr>
        <w:t>allegiance or declaration of renunciation, given, granted or made under the provisions of Part</w:t>
      </w:r>
      <w:r>
        <w:rPr>
          <w:iCs/>
        </w:rPr>
        <w:t xml:space="preserve"> III of the Act. </w:t>
      </w:r>
      <w:r w:rsidRPr="00ED3B01">
        <w:rPr>
          <w:rStyle w:val="Emphasis"/>
          <w:bCs/>
          <w:i w:val="0"/>
        </w:rPr>
        <w:t>Documents in support of proof of citizenship will not be confined to those mentioned in that provision though. Court may admit other documents having a bearing on the question of citizenship in the sense of having some persuasive value on the mind according to ordinary process of reasoning. These may include birth certificates, a passport issued by the Government of Uganda, etc</w:t>
      </w:r>
      <w:r w:rsidR="004E0709" w:rsidRPr="00ED3B01">
        <w:rPr>
          <w:i/>
        </w:rPr>
        <w:t>.</w:t>
      </w:r>
    </w:p>
    <w:p w:rsidR="009271BC" w:rsidRDefault="009271BC" w:rsidP="008E181E">
      <w:pPr>
        <w:pStyle w:val="NormalWeb"/>
        <w:spacing w:before="0" w:beforeAutospacing="0" w:after="0" w:afterAutospacing="0" w:line="360" w:lineRule="auto"/>
        <w:jc w:val="both"/>
      </w:pPr>
    </w:p>
    <w:p w:rsidR="009271BC" w:rsidRDefault="00391C54" w:rsidP="009271BC">
      <w:pPr>
        <w:pStyle w:val="NormalWeb"/>
        <w:spacing w:before="0" w:beforeAutospacing="0" w:after="0" w:afterAutospacing="0" w:line="360" w:lineRule="auto"/>
        <w:jc w:val="both"/>
        <w:rPr>
          <w:iCs/>
        </w:rPr>
      </w:pPr>
      <w:r w:rsidRPr="004E019C">
        <w:rPr>
          <w:iCs/>
        </w:rPr>
        <w:t xml:space="preserve">According to Article 10 (a) of </w:t>
      </w:r>
      <w:r w:rsidRPr="004E019C">
        <w:rPr>
          <w:i/>
          <w:iCs/>
        </w:rPr>
        <w:t>The Constitution of the Republic of Uganda, 1995</w:t>
      </w:r>
      <w:r>
        <w:rPr>
          <w:iCs/>
        </w:rPr>
        <w:t>,</w:t>
      </w:r>
      <w:r w:rsidRPr="004E019C">
        <w:rPr>
          <w:iCs/>
        </w:rPr>
        <w:t xml:space="preserve"> </w:t>
      </w:r>
      <w:r>
        <w:rPr>
          <w:iCs/>
        </w:rPr>
        <w:t>i</w:t>
      </w:r>
      <w:r w:rsidRPr="004E019C">
        <w:rPr>
          <w:iCs/>
        </w:rPr>
        <w:t>n order for one to acquire citizenship by birth, a person should have been “born in Uganda one of whose parents or grandparents is or was a member of any of the indigenous communities existing and residing within the borders of Uganda as at the first day of February, 1926, and set out in the Third Schedule to this Constitution.</w:t>
      </w:r>
      <w:r>
        <w:rPr>
          <w:iCs/>
        </w:rPr>
        <w:t xml:space="preserve">" </w:t>
      </w:r>
      <w:r w:rsidR="00647E12" w:rsidRPr="00647E12">
        <w:rPr>
          <w:rStyle w:val="Emphasis"/>
          <w:bCs/>
          <w:i w:val="0"/>
        </w:rPr>
        <w:t>It was therefore incumbent upon the respondent</w:t>
      </w:r>
      <w:r w:rsidR="00647E12">
        <w:rPr>
          <w:rStyle w:val="Emphasis"/>
          <w:bCs/>
          <w:i w:val="0"/>
        </w:rPr>
        <w:t>s</w:t>
      </w:r>
      <w:r w:rsidR="00647E12" w:rsidRPr="00647E12">
        <w:rPr>
          <w:rStyle w:val="Emphasis"/>
          <w:bCs/>
          <w:i w:val="0"/>
        </w:rPr>
        <w:t xml:space="preserve"> to adduce all such evidence, documentary or otherwise, concerning such facts as</w:t>
      </w:r>
      <w:r w:rsidR="009271BC">
        <w:rPr>
          <w:rStyle w:val="Emphasis"/>
          <w:bCs/>
          <w:i w:val="0"/>
        </w:rPr>
        <w:t xml:space="preserve"> related to;- </w:t>
      </w:r>
      <w:r w:rsidR="00647E12">
        <w:rPr>
          <w:rStyle w:val="Emphasis"/>
          <w:bCs/>
          <w:i w:val="0"/>
        </w:rPr>
        <w:t>the</w:t>
      </w:r>
      <w:r w:rsidR="00647E12" w:rsidRPr="00647E12">
        <w:rPr>
          <w:rStyle w:val="Emphasis"/>
          <w:bCs/>
          <w:i w:val="0"/>
        </w:rPr>
        <w:t xml:space="preserve"> </w:t>
      </w:r>
      <w:r w:rsidR="00647E12" w:rsidRPr="00647E12">
        <w:rPr>
          <w:iCs/>
        </w:rPr>
        <w:t>place</w:t>
      </w:r>
      <w:r w:rsidR="00647E12">
        <w:rPr>
          <w:iCs/>
        </w:rPr>
        <w:t>s</w:t>
      </w:r>
      <w:r w:rsidR="00647E12" w:rsidRPr="00647E12">
        <w:rPr>
          <w:iCs/>
        </w:rPr>
        <w:t xml:space="preserve"> and date</w:t>
      </w:r>
      <w:r w:rsidR="00647E12">
        <w:rPr>
          <w:iCs/>
        </w:rPr>
        <w:t>s</w:t>
      </w:r>
      <w:r w:rsidR="00647E12" w:rsidRPr="00647E12">
        <w:rPr>
          <w:iCs/>
        </w:rPr>
        <w:t xml:space="preserve"> of birth, the village, sub-county, county and district of birth, the indigenous community to which </w:t>
      </w:r>
      <w:r w:rsidR="00647E12">
        <w:rPr>
          <w:iCs/>
        </w:rPr>
        <w:t>they</w:t>
      </w:r>
      <w:r w:rsidR="00647E12" w:rsidRPr="00647E12">
        <w:rPr>
          <w:iCs/>
        </w:rPr>
        <w:t xml:space="preserve"> belong, </w:t>
      </w:r>
      <w:r w:rsidR="00647E12">
        <w:rPr>
          <w:iCs/>
        </w:rPr>
        <w:t>their</w:t>
      </w:r>
      <w:r w:rsidR="00647E12" w:rsidRPr="00647E12">
        <w:rPr>
          <w:iCs/>
        </w:rPr>
        <w:t xml:space="preserve"> f</w:t>
      </w:r>
      <w:r w:rsidR="00647E12">
        <w:rPr>
          <w:iCs/>
        </w:rPr>
        <w:t>ather</w:t>
      </w:r>
      <w:r w:rsidR="00647E12" w:rsidRPr="00647E12">
        <w:rPr>
          <w:iCs/>
        </w:rPr>
        <w:t>s</w:t>
      </w:r>
      <w:r w:rsidR="00647E12">
        <w:rPr>
          <w:iCs/>
        </w:rPr>
        <w:t>'</w:t>
      </w:r>
      <w:r w:rsidR="00647E12" w:rsidRPr="00647E12">
        <w:rPr>
          <w:iCs/>
        </w:rPr>
        <w:t xml:space="preserve"> names and place of birth and clan, </w:t>
      </w:r>
      <w:r w:rsidR="00647E12">
        <w:rPr>
          <w:iCs/>
        </w:rPr>
        <w:t>their</w:t>
      </w:r>
      <w:r w:rsidR="00647E12" w:rsidRPr="00647E12">
        <w:rPr>
          <w:iCs/>
        </w:rPr>
        <w:t xml:space="preserve"> m</w:t>
      </w:r>
      <w:r w:rsidR="00647E12">
        <w:rPr>
          <w:iCs/>
        </w:rPr>
        <w:t>other</w:t>
      </w:r>
      <w:r w:rsidR="00647E12" w:rsidRPr="00647E12">
        <w:rPr>
          <w:iCs/>
        </w:rPr>
        <w:t>s</w:t>
      </w:r>
      <w:r w:rsidR="00647E12">
        <w:rPr>
          <w:iCs/>
        </w:rPr>
        <w:t>'</w:t>
      </w:r>
      <w:r w:rsidR="00647E12" w:rsidRPr="00647E12">
        <w:rPr>
          <w:iCs/>
        </w:rPr>
        <w:t xml:space="preserve"> names, place</w:t>
      </w:r>
      <w:r w:rsidR="00647E12">
        <w:rPr>
          <w:iCs/>
        </w:rPr>
        <w:t>s</w:t>
      </w:r>
      <w:r w:rsidR="00647E12" w:rsidRPr="00647E12">
        <w:rPr>
          <w:iCs/>
        </w:rPr>
        <w:t xml:space="preserve"> of birth and clan, names of</w:t>
      </w:r>
      <w:r w:rsidR="00647E12">
        <w:rPr>
          <w:iCs/>
        </w:rPr>
        <w:t xml:space="preserve"> two contemporary descendants, </w:t>
      </w:r>
      <w:r w:rsidR="00647E12" w:rsidRPr="00647E12">
        <w:rPr>
          <w:iCs/>
        </w:rPr>
        <w:t>etc</w:t>
      </w:r>
      <w:r w:rsidR="00647E12">
        <w:rPr>
          <w:iCs/>
        </w:rPr>
        <w:t xml:space="preserve">. </w:t>
      </w:r>
    </w:p>
    <w:p w:rsidR="009271BC" w:rsidRDefault="009271BC" w:rsidP="009271BC">
      <w:pPr>
        <w:pStyle w:val="NormalWeb"/>
        <w:spacing w:before="0" w:beforeAutospacing="0" w:after="0" w:afterAutospacing="0" w:line="360" w:lineRule="auto"/>
        <w:jc w:val="both"/>
        <w:rPr>
          <w:iCs/>
        </w:rPr>
      </w:pPr>
    </w:p>
    <w:p w:rsidR="00911058" w:rsidRDefault="00911058" w:rsidP="009271BC">
      <w:pPr>
        <w:pStyle w:val="NormalWeb"/>
        <w:spacing w:before="0" w:beforeAutospacing="0" w:after="0" w:afterAutospacing="0" w:line="360" w:lineRule="auto"/>
        <w:jc w:val="both"/>
      </w:pPr>
      <w:r w:rsidRPr="00647E12">
        <w:rPr>
          <w:rStyle w:val="Emphasis"/>
          <w:bCs/>
          <w:i w:val="0"/>
        </w:rPr>
        <w:t>Presentation</w:t>
      </w:r>
      <w:r w:rsidRPr="00911058">
        <w:rPr>
          <w:rStyle w:val="Emphasis"/>
          <w:bCs/>
          <w:i w:val="0"/>
        </w:rPr>
        <w:t xml:space="preserve"> of documents such as a passport</w:t>
      </w:r>
      <w:r w:rsidR="009271BC">
        <w:rPr>
          <w:rStyle w:val="Emphasis"/>
          <w:bCs/>
          <w:i w:val="0"/>
        </w:rPr>
        <w:t>s</w:t>
      </w:r>
      <w:r w:rsidRPr="00911058">
        <w:rPr>
          <w:rStyle w:val="Emphasis"/>
          <w:bCs/>
          <w:i w:val="0"/>
        </w:rPr>
        <w:t xml:space="preserve">, </w:t>
      </w:r>
      <w:r w:rsidR="009271BC" w:rsidRPr="00911058">
        <w:rPr>
          <w:rStyle w:val="Emphasis"/>
          <w:bCs/>
          <w:i w:val="0"/>
        </w:rPr>
        <w:t>voter</w:t>
      </w:r>
      <w:r w:rsidR="009271BC">
        <w:rPr>
          <w:rStyle w:val="Emphasis"/>
          <w:bCs/>
          <w:i w:val="0"/>
        </w:rPr>
        <w:t>s'</w:t>
      </w:r>
      <w:r w:rsidR="009271BC" w:rsidRPr="00911058">
        <w:rPr>
          <w:rStyle w:val="Emphasis"/>
          <w:bCs/>
          <w:i w:val="0"/>
        </w:rPr>
        <w:t xml:space="preserve"> car</w:t>
      </w:r>
      <w:r w:rsidR="009271BC">
        <w:rPr>
          <w:rStyle w:val="Emphasis"/>
          <w:bCs/>
          <w:i w:val="0"/>
        </w:rPr>
        <w:t>ds</w:t>
      </w:r>
      <w:r w:rsidRPr="00911058">
        <w:rPr>
          <w:rStyle w:val="Emphasis"/>
          <w:bCs/>
          <w:i w:val="0"/>
        </w:rPr>
        <w:t xml:space="preserve"> or National Identity Card</w:t>
      </w:r>
      <w:r w:rsidR="009271BC">
        <w:rPr>
          <w:rStyle w:val="Emphasis"/>
          <w:bCs/>
          <w:i w:val="0"/>
        </w:rPr>
        <w:t>s</w:t>
      </w:r>
      <w:r w:rsidRPr="00911058">
        <w:rPr>
          <w:rStyle w:val="Emphasis"/>
          <w:bCs/>
          <w:i w:val="0"/>
        </w:rPr>
        <w:t xml:space="preserve"> w</w:t>
      </w:r>
      <w:r w:rsidR="009271BC">
        <w:rPr>
          <w:rStyle w:val="Emphasis"/>
          <w:bCs/>
          <w:i w:val="0"/>
        </w:rPr>
        <w:t>ould</w:t>
      </w:r>
      <w:r w:rsidRPr="00911058">
        <w:rPr>
          <w:rStyle w:val="Emphasis"/>
          <w:bCs/>
          <w:i w:val="0"/>
        </w:rPr>
        <w:t xml:space="preserve"> only be </w:t>
      </w:r>
      <w:r w:rsidRPr="009271BC">
        <w:rPr>
          <w:rStyle w:val="Emphasis"/>
          <w:bCs/>
        </w:rPr>
        <w:t>prima facie</w:t>
      </w:r>
      <w:r w:rsidRPr="00911058">
        <w:rPr>
          <w:rStyle w:val="Emphasis"/>
          <w:bCs/>
          <w:i w:val="0"/>
        </w:rPr>
        <w:t xml:space="preserve"> evidence of citizenship which </w:t>
      </w:r>
      <w:r w:rsidR="009271BC">
        <w:rPr>
          <w:rStyle w:val="Emphasis"/>
          <w:bCs/>
          <w:i w:val="0"/>
        </w:rPr>
        <w:t>could</w:t>
      </w:r>
      <w:r w:rsidRPr="00911058">
        <w:rPr>
          <w:rStyle w:val="Emphasis"/>
          <w:bCs/>
          <w:i w:val="0"/>
        </w:rPr>
        <w:t xml:space="preserve"> be rebutted</w:t>
      </w:r>
      <w:r w:rsidR="009271BC">
        <w:rPr>
          <w:rStyle w:val="Emphasis"/>
          <w:bCs/>
          <w:i w:val="0"/>
        </w:rPr>
        <w:t>,</w:t>
      </w:r>
      <w:r w:rsidRPr="00911058">
        <w:rPr>
          <w:rStyle w:val="Emphasis"/>
          <w:bCs/>
          <w:i w:val="0"/>
        </w:rPr>
        <w:t xml:space="preserve"> in some cases</w:t>
      </w:r>
      <w:r w:rsidR="009271BC">
        <w:rPr>
          <w:rStyle w:val="Emphasis"/>
          <w:bCs/>
          <w:i w:val="0"/>
        </w:rPr>
        <w:t>,</w:t>
      </w:r>
      <w:r w:rsidRPr="00911058">
        <w:rPr>
          <w:rStyle w:val="Emphasis"/>
          <w:bCs/>
          <w:i w:val="0"/>
        </w:rPr>
        <w:t xml:space="preserve"> by </w:t>
      </w:r>
      <w:r>
        <w:rPr>
          <w:rStyle w:val="Emphasis"/>
          <w:bCs/>
          <w:i w:val="0"/>
        </w:rPr>
        <w:t>proof of fraudulent acquisition (see f</w:t>
      </w:r>
      <w:r w:rsidRPr="00911058">
        <w:rPr>
          <w:rStyle w:val="Emphasis"/>
          <w:bCs/>
          <w:i w:val="0"/>
        </w:rPr>
        <w:t xml:space="preserve">or example </w:t>
      </w:r>
      <w:r w:rsidRPr="00911058">
        <w:rPr>
          <w:rStyle w:val="Emphasis"/>
          <w:bCs/>
        </w:rPr>
        <w:t xml:space="preserve">Regina v. </w:t>
      </w:r>
      <w:r w:rsidRPr="00367B7D">
        <w:rPr>
          <w:rStyle w:val="Emphasis"/>
          <w:bCs/>
        </w:rPr>
        <w:t>Secretary of State for the Home Department ex parte Sultan Mahmood</w:t>
      </w:r>
      <w:r w:rsidRPr="00367B7D">
        <w:t xml:space="preserve"> </w:t>
      </w:r>
      <w:r w:rsidRPr="00367B7D">
        <w:rPr>
          <w:rStyle w:val="Emphasis"/>
          <w:bCs/>
        </w:rPr>
        <w:t>[1981] QB 59</w:t>
      </w:r>
      <w:r w:rsidRPr="00367B7D">
        <w:t>)</w:t>
      </w:r>
      <w:r w:rsidR="00367B7D" w:rsidRPr="00367B7D">
        <w:t>.</w:t>
      </w:r>
      <w:r w:rsidR="00367B7D" w:rsidRPr="00367B7D">
        <w:rPr>
          <w:bCs/>
        </w:rPr>
        <w:t xml:space="preserve"> </w:t>
      </w:r>
      <w:r w:rsidR="00367B7D" w:rsidRPr="00367B7D">
        <w:rPr>
          <w:rStyle w:val="Emphasis"/>
          <w:bCs/>
          <w:i w:val="0"/>
        </w:rPr>
        <w:t>It has also been categorically held in other cases that citizenship obtained by fraud is a nullity</w:t>
      </w:r>
      <w:r w:rsidR="00367B7D" w:rsidRPr="00367B7D">
        <w:rPr>
          <w:rStyle w:val="Emphasis"/>
          <w:bCs/>
        </w:rPr>
        <w:t xml:space="preserve"> (</w:t>
      </w:r>
      <w:r w:rsidR="00367B7D" w:rsidRPr="00367B7D">
        <w:rPr>
          <w:rStyle w:val="Emphasis"/>
          <w:bCs/>
          <w:i w:val="0"/>
        </w:rPr>
        <w:t>see</w:t>
      </w:r>
      <w:r w:rsidR="00367B7D" w:rsidRPr="00367B7D">
        <w:rPr>
          <w:rStyle w:val="Emphasis"/>
          <w:bCs/>
        </w:rPr>
        <w:t xml:space="preserve"> R v. SSHD ex p. Sultan Mahmood, [1981] QB 59; R v. SSHD ex p. Parvaz Akhtar [1981] QB 46</w:t>
      </w:r>
      <w:r w:rsidR="00367B7D" w:rsidRPr="00367B7D">
        <w:t xml:space="preserve"> and </w:t>
      </w:r>
      <w:r w:rsidR="00367B7D" w:rsidRPr="00367B7D">
        <w:rPr>
          <w:rStyle w:val="Emphasis"/>
          <w:bCs/>
        </w:rPr>
        <w:t xml:space="preserve">R v. SSHD ex p. Naheed Ejaz [1994] QB 496). </w:t>
      </w:r>
      <w:r w:rsidR="00367B7D" w:rsidRPr="00367B7D">
        <w:rPr>
          <w:rStyle w:val="Emphasis"/>
          <w:bCs/>
          <w:i w:val="0"/>
        </w:rPr>
        <w:t>Therefore citizenship can be annulled even where the claimant is the holder of valid documents if such documents were obtained by fraud. This is further illustrated in the case of</w:t>
      </w:r>
      <w:r w:rsidR="00367B7D" w:rsidRPr="00367B7D">
        <w:rPr>
          <w:rStyle w:val="Emphasis"/>
          <w:bCs/>
        </w:rPr>
        <w:t xml:space="preserve"> Tohura Bibi (also known as Nuria Begum), Shabana Begum, Shajna Begum, Akik Miah and Masuk Miah v. Entry Clearance Officer, Dhaka, [2007] EWCA Civ 740</w:t>
      </w:r>
      <w:r w:rsidRPr="00367B7D">
        <w:t>.</w:t>
      </w:r>
    </w:p>
    <w:p w:rsidR="009271BC" w:rsidRDefault="009271BC" w:rsidP="009271BC">
      <w:pPr>
        <w:pStyle w:val="NormalWeb"/>
        <w:spacing w:before="0" w:beforeAutospacing="0" w:after="0" w:afterAutospacing="0" w:line="360" w:lineRule="auto"/>
        <w:jc w:val="both"/>
      </w:pPr>
    </w:p>
    <w:p w:rsidR="009271BC" w:rsidRDefault="007A4449" w:rsidP="009271BC">
      <w:pPr>
        <w:pStyle w:val="NormalWeb"/>
        <w:spacing w:before="0" w:beforeAutospacing="0" w:after="0" w:afterAutospacing="0" w:line="360" w:lineRule="auto"/>
        <w:jc w:val="both"/>
      </w:pPr>
      <w:r>
        <w:lastRenderedPageBreak/>
        <w:t xml:space="preserve">As corroboration of the averments in </w:t>
      </w:r>
      <w:r w:rsidRPr="004E0709">
        <w:t>para</w:t>
      </w:r>
      <w:r>
        <w:t>graph</w:t>
      </w:r>
      <w:r w:rsidRPr="004E0709">
        <w:t xml:space="preserve">s 3, 77 - 91 of the </w:t>
      </w:r>
      <w:r>
        <w:t xml:space="preserve">appellant's </w:t>
      </w:r>
      <w:r w:rsidRPr="004E0709">
        <w:t xml:space="preserve">witness statement </w:t>
      </w:r>
      <w:r>
        <w:t xml:space="preserve">and </w:t>
      </w:r>
      <w:r w:rsidRPr="004E0709">
        <w:t>para</w:t>
      </w:r>
      <w:r>
        <w:t>graph</w:t>
      </w:r>
      <w:r w:rsidRPr="004E0709">
        <w:t xml:space="preserve"> 6 of the witness statement of </w:t>
      </w:r>
      <w:r>
        <w:t>D.W.3 Odur Ensio, that</w:t>
      </w:r>
      <w:r w:rsidRPr="004E0709">
        <w:t xml:space="preserve"> </w:t>
      </w:r>
      <w:r>
        <w:t>the</w:t>
      </w:r>
      <w:r w:rsidRPr="004E0709">
        <w:t xml:space="preserve"> 3</w:t>
      </w:r>
      <w:r w:rsidRPr="00636ED6">
        <w:rPr>
          <w:vertAlign w:val="superscript"/>
        </w:rPr>
        <w:t>rd</w:t>
      </w:r>
      <w:r w:rsidRPr="004E0709">
        <w:t xml:space="preserve"> - 7</w:t>
      </w:r>
      <w:r w:rsidRPr="00636ED6">
        <w:rPr>
          <w:vertAlign w:val="superscript"/>
        </w:rPr>
        <w:t>th</w:t>
      </w:r>
      <w:r>
        <w:t xml:space="preserve"> respondents</w:t>
      </w:r>
      <w:r w:rsidRPr="004E0709">
        <w:t xml:space="preserve"> are Sudanese</w:t>
      </w:r>
      <w:r>
        <w:t>, the appellant adduced documentary evidence from the Office f the Prime Minister and  that of The United Nations High Commission for Refugees, in Uganda</w:t>
      </w:r>
      <w:r w:rsidR="002057BF">
        <w:t xml:space="preserve"> (UNHCR)</w:t>
      </w:r>
      <w:r>
        <w:t xml:space="preserve">. </w:t>
      </w:r>
      <w:r w:rsidR="00DE01FE">
        <w:t>Whereas</w:t>
      </w:r>
      <w:r>
        <w:t xml:space="preserve"> the </w:t>
      </w:r>
      <w:r w:rsidR="00DE01FE">
        <w:t>documents</w:t>
      </w:r>
      <w:r>
        <w:t xml:space="preserve"> from the Office of </w:t>
      </w:r>
      <w:r w:rsidR="00DE01FE">
        <w:t xml:space="preserve">The United Nations High Commission for Refugees </w:t>
      </w:r>
      <w:r>
        <w:t xml:space="preserve">were received and marked as </w:t>
      </w:r>
      <w:r w:rsidR="001B5047">
        <w:t xml:space="preserve">D.ID.1 to </w:t>
      </w:r>
      <w:r>
        <w:rPr>
          <w:color w:val="FF0000"/>
        </w:rPr>
        <w:t xml:space="preserve"> </w:t>
      </w:r>
      <w:r w:rsidR="001B5047">
        <w:t xml:space="preserve">D.ID.7 and the </w:t>
      </w:r>
      <w:r>
        <w:t xml:space="preserve">covering letter </w:t>
      </w:r>
      <w:r w:rsidR="00DE01FE">
        <w:t xml:space="preserve">from the Office of the Prime Minister </w:t>
      </w:r>
      <w:r>
        <w:t xml:space="preserve">was marked as </w:t>
      </w:r>
      <w:r w:rsidR="00CD3E41">
        <w:t>exhibit</w:t>
      </w:r>
      <w:r>
        <w:t xml:space="preserve"> </w:t>
      </w:r>
      <w:r w:rsidR="0040494E">
        <w:t>D</w:t>
      </w:r>
      <w:r>
        <w:t>.</w:t>
      </w:r>
      <w:r w:rsidR="0040494E">
        <w:t>ID</w:t>
      </w:r>
      <w:r>
        <w:t>. 10.</w:t>
      </w:r>
    </w:p>
    <w:p w:rsidR="007A4449" w:rsidRDefault="007A4449" w:rsidP="009271BC">
      <w:pPr>
        <w:pStyle w:val="NormalWeb"/>
        <w:spacing w:before="0" w:beforeAutospacing="0" w:after="0" w:afterAutospacing="0" w:line="360" w:lineRule="auto"/>
        <w:jc w:val="both"/>
      </w:pPr>
    </w:p>
    <w:p w:rsidR="007A4449" w:rsidRDefault="007A4449" w:rsidP="00F33701">
      <w:pPr>
        <w:pStyle w:val="NormalWeb"/>
        <w:spacing w:before="0" w:beforeAutospacing="0" w:after="0" w:afterAutospacing="0" w:line="360" w:lineRule="auto"/>
        <w:jc w:val="both"/>
      </w:pPr>
      <w:r>
        <w:t xml:space="preserve">It is argued by counsel for the appellant that it was erroneous of the trial court to have declined to receive the documents as exhibits. </w:t>
      </w:r>
      <w:r w:rsidR="00737B0F" w:rsidRPr="00737B0F">
        <w:t>Once documentary evidence is relevant, it is admissible</w:t>
      </w:r>
      <w:r w:rsidR="00737B0F">
        <w:t xml:space="preserve">. </w:t>
      </w:r>
      <w:r w:rsidR="00D7296B">
        <w:t>A document is admissible if it was made by, or directly or indirectly reproduces, or is derived from statements made by a person who had, or may reasonably be supposed to have had, personal knowledge of the matters dealt with by the statements contained in it.</w:t>
      </w:r>
      <w:r w:rsidR="00A567E7">
        <w:t xml:space="preserve"> It is admissible if it directly or indirectly reproduces  or  is  derived  from  information  from  one  or  more  devices</w:t>
      </w:r>
      <w:r w:rsidR="00287A66">
        <w:t xml:space="preserve">  designed </w:t>
      </w:r>
      <w:r w:rsidR="00A567E7">
        <w:t>and used  for  the purpose of recording, measuring, counting or identifying information, not being information based on a statement made by any person</w:t>
      </w:r>
      <w:r w:rsidR="00937A61">
        <w:t>.</w:t>
      </w:r>
      <w:r w:rsidR="00737B0F">
        <w:t xml:space="preserve"> Unless it is not objected to, the </w:t>
      </w:r>
      <w:r w:rsidR="00937A61" w:rsidRPr="00937A61">
        <w:t xml:space="preserve">person </w:t>
      </w:r>
      <w:r w:rsidR="00937A61">
        <w:t xml:space="preserve">competent to tender the document in evidence </w:t>
      </w:r>
      <w:r w:rsidR="00937A61" w:rsidRPr="00937A61">
        <w:t xml:space="preserve">should be called as a witness </w:t>
      </w:r>
      <w:r w:rsidR="00737B0F">
        <w:t xml:space="preserve">for </w:t>
      </w:r>
      <w:r w:rsidR="00737B0F" w:rsidRPr="00737B0F">
        <w:t>proof of its authorship or due execution</w:t>
      </w:r>
      <w:r w:rsidR="00737B0F">
        <w:t>,</w:t>
      </w:r>
      <w:r w:rsidR="00737B0F" w:rsidRPr="00937A61">
        <w:t xml:space="preserve"> </w:t>
      </w:r>
      <w:r w:rsidR="00937A61" w:rsidRPr="00937A61">
        <w:t>unless</w:t>
      </w:r>
      <w:r w:rsidR="00937A61">
        <w:t xml:space="preserve"> it is admissible under one of the exceptions </w:t>
      </w:r>
      <w:r w:rsidR="00287A66" w:rsidRPr="00287A66">
        <w:t xml:space="preserve">provided for the admissibility of a secondary evidence </w:t>
      </w:r>
      <w:r w:rsidR="00287A66">
        <w:t xml:space="preserve">or </w:t>
      </w:r>
      <w:r w:rsidR="00937A61">
        <w:t xml:space="preserve">to </w:t>
      </w:r>
      <w:r w:rsidR="00287A66">
        <w:t xml:space="preserve">the rule against </w:t>
      </w:r>
      <w:r w:rsidR="00937A61">
        <w:t xml:space="preserve">hearsay evidence. </w:t>
      </w:r>
    </w:p>
    <w:p w:rsidR="00F33701" w:rsidRDefault="00F33701" w:rsidP="00F33701">
      <w:pPr>
        <w:pStyle w:val="NormalWeb"/>
        <w:spacing w:before="0" w:beforeAutospacing="0" w:after="0" w:afterAutospacing="0" w:line="360" w:lineRule="auto"/>
        <w:jc w:val="both"/>
      </w:pPr>
    </w:p>
    <w:p w:rsidR="001A0ACF" w:rsidRDefault="006E632A" w:rsidP="00B97FCB">
      <w:pPr>
        <w:pStyle w:val="NormalWeb"/>
        <w:spacing w:before="0" w:beforeAutospacing="0" w:after="0" w:afterAutospacing="0" w:line="360" w:lineRule="auto"/>
        <w:jc w:val="both"/>
      </w:pPr>
      <w:r>
        <w:t xml:space="preserve">Documentary evidence must </w:t>
      </w:r>
      <w:r w:rsidRPr="006E632A">
        <w:t xml:space="preserve">be </w:t>
      </w:r>
      <w:r>
        <w:t xml:space="preserve">properly authenticated and a foundation laid </w:t>
      </w:r>
      <w:r w:rsidRPr="006E632A">
        <w:t>before it can be admitted at trial</w:t>
      </w:r>
      <w:r>
        <w:t xml:space="preserve">. </w:t>
      </w:r>
      <w:r w:rsidR="002057BF">
        <w:t>B</w:t>
      </w:r>
      <w:r w:rsidR="002057BF" w:rsidRPr="00784258">
        <w:t>efore any private document offered as authentic is received in evidence, its due execution and authenticity must be proved either:</w:t>
      </w:r>
      <w:r w:rsidR="002057BF">
        <w:t xml:space="preserve"> </w:t>
      </w:r>
      <w:r w:rsidR="002057BF" w:rsidRPr="00784258">
        <w:t xml:space="preserve">(a) </w:t>
      </w:r>
      <w:r w:rsidR="002057BF">
        <w:t>b</w:t>
      </w:r>
      <w:r w:rsidR="002057BF" w:rsidRPr="00784258">
        <w:t>y anyone who saw the document executed or written; or</w:t>
      </w:r>
      <w:r w:rsidR="002057BF">
        <w:t xml:space="preserve"> </w:t>
      </w:r>
      <w:r w:rsidR="002057BF" w:rsidRPr="00784258">
        <w:t xml:space="preserve">(b) </w:t>
      </w:r>
      <w:r w:rsidR="002057BF">
        <w:t>b</w:t>
      </w:r>
      <w:r w:rsidR="002057BF" w:rsidRPr="00784258">
        <w:t>y evidence of the genuineness of the signature or handwriting of the maker.</w:t>
      </w:r>
      <w:r w:rsidR="00901392" w:rsidRPr="00901392">
        <w:t xml:space="preserve"> Documents must be proved by primary evidence except in the cases</w:t>
      </w:r>
      <w:r w:rsidR="00901392">
        <w:t xml:space="preserve"> in which </w:t>
      </w:r>
      <w:r w:rsidR="00901392" w:rsidRPr="00901392">
        <w:rPr>
          <w:i/>
        </w:rPr>
        <w:t>The Evidence Act</w:t>
      </w:r>
      <w:r w:rsidR="00901392">
        <w:t xml:space="preserve"> permits secondary evidence (see sections 60 - 64 of the Act). </w:t>
      </w:r>
      <w:r w:rsidR="00CE4747" w:rsidRPr="00CE4747">
        <w:t xml:space="preserve">According to section 64 (1) (e) of </w:t>
      </w:r>
      <w:r w:rsidR="00CE4747" w:rsidRPr="00CE4747">
        <w:rPr>
          <w:i/>
        </w:rPr>
        <w:t>The Evidence Act</w:t>
      </w:r>
      <w:r w:rsidR="00CE4747" w:rsidRPr="00CE4747">
        <w:t xml:space="preserve">, </w:t>
      </w:r>
      <w:r w:rsidR="00704806">
        <w:t>s</w:t>
      </w:r>
      <w:r w:rsidR="00CE4747" w:rsidRPr="00CE4747">
        <w:t>econdary evidence may be given of the existence, condition or contents of a document when the original is a public document within the meaning of</w:t>
      </w:r>
      <w:r w:rsidR="00CE4747">
        <w:t xml:space="preserve"> </w:t>
      </w:r>
      <w:r w:rsidR="00CE4747" w:rsidRPr="00CE4747">
        <w:t>section 73</w:t>
      </w:r>
      <w:r w:rsidR="00CE4747">
        <w:t xml:space="preserve"> of the Act. Under section 73</w:t>
      </w:r>
      <w:r w:rsidR="004B18FE">
        <w:t xml:space="preserve"> (a) (ii</w:t>
      </w:r>
      <w:r w:rsidR="00BA5C82">
        <w:t>)</w:t>
      </w:r>
      <w:r w:rsidR="00CE4747">
        <w:t xml:space="preserve"> </w:t>
      </w:r>
      <w:r w:rsidR="00D214E2">
        <w:t xml:space="preserve">and (iii) </w:t>
      </w:r>
      <w:r w:rsidR="00704806">
        <w:t>of the Act</w:t>
      </w:r>
      <w:r w:rsidR="00CE4747">
        <w:t xml:space="preserve">, </w:t>
      </w:r>
      <w:r w:rsidR="00BA5C82" w:rsidRPr="00BA5C82">
        <w:t>documents forming the acts or records</w:t>
      </w:r>
      <w:r w:rsidR="00D214E2" w:rsidRPr="00D214E2">
        <w:t xml:space="preserve"> of official bodies and public officers</w:t>
      </w:r>
      <w:r w:rsidR="00D214E2">
        <w:t xml:space="preserve"> are</w:t>
      </w:r>
      <w:r w:rsidR="002E3220" w:rsidRPr="002E3220">
        <w:t xml:space="preserve"> public documents</w:t>
      </w:r>
      <w:r w:rsidR="002E3220">
        <w:t xml:space="preserve">. </w:t>
      </w:r>
      <w:r w:rsidR="004B5196">
        <w:t>The expression "</w:t>
      </w:r>
      <w:r w:rsidR="004B5196" w:rsidRPr="004B5196">
        <w:rPr>
          <w:rStyle w:val="Strong"/>
          <w:b w:val="0"/>
        </w:rPr>
        <w:t>Official Bod</w:t>
      </w:r>
      <w:r w:rsidR="004B5196">
        <w:rPr>
          <w:rStyle w:val="Strong"/>
          <w:b w:val="0"/>
        </w:rPr>
        <w:t>ies"</w:t>
      </w:r>
      <w:r w:rsidR="004B5196">
        <w:t xml:space="preserve"> means the government (whether foreign or domestic) or its political subdivisions, any agency, authority, </w:t>
      </w:r>
      <w:r w:rsidR="004B5196">
        <w:lastRenderedPageBreak/>
        <w:t xml:space="preserve">department or instrumentality of the government or political </w:t>
      </w:r>
      <w:r w:rsidR="00582163">
        <w:t>subdivision</w:t>
      </w:r>
      <w:r w:rsidR="005107C2">
        <w:t xml:space="preserve">, </w:t>
      </w:r>
      <w:r w:rsidR="00251655" w:rsidRPr="00251655">
        <w:t>owned, controlled</w:t>
      </w:r>
      <w:r w:rsidR="00251655">
        <w:t xml:space="preserve">, </w:t>
      </w:r>
      <w:r w:rsidR="005107C2" w:rsidRPr="005107C2">
        <w:t>directly or indirectly substantially financed by funds provided by the appropriate Government</w:t>
      </w:r>
      <w:r w:rsidR="004B5196">
        <w:t xml:space="preserve">. </w:t>
      </w:r>
      <w:r w:rsidR="00901392">
        <w:t>The trial court therefore had to determine first whether or not the documents presented by the appellant were private or public documents.</w:t>
      </w:r>
    </w:p>
    <w:p w:rsidR="001A0ACF" w:rsidRDefault="001A0ACF" w:rsidP="00B97FCB">
      <w:pPr>
        <w:pStyle w:val="NormalWeb"/>
        <w:spacing w:before="0" w:beforeAutospacing="0" w:after="0" w:afterAutospacing="0" w:line="360" w:lineRule="auto"/>
        <w:jc w:val="both"/>
      </w:pPr>
    </w:p>
    <w:p w:rsidR="000D6C86" w:rsidRDefault="00651E20" w:rsidP="00E16D4E">
      <w:pPr>
        <w:pStyle w:val="NormalWeb"/>
        <w:spacing w:before="0" w:beforeAutospacing="0" w:after="0" w:afterAutospacing="0" w:line="360" w:lineRule="auto"/>
        <w:jc w:val="both"/>
      </w:pPr>
      <w:r>
        <w:t>According</w:t>
      </w:r>
      <w:r w:rsidR="001A0ACF">
        <w:t xml:space="preserve"> to section</w:t>
      </w:r>
      <w:r w:rsidR="009474FC">
        <w:t xml:space="preserve">s 8 and </w:t>
      </w:r>
      <w:r w:rsidR="001A0ACF">
        <w:t>9 (</w:t>
      </w:r>
      <w:r>
        <w:t>3</w:t>
      </w:r>
      <w:r w:rsidR="001A0ACF">
        <w:t xml:space="preserve">) (b) of </w:t>
      </w:r>
      <w:r w:rsidR="001A0ACF" w:rsidRPr="00C522C5">
        <w:rPr>
          <w:i/>
        </w:rPr>
        <w:t>The Refugees Act, 2006</w:t>
      </w:r>
      <w:r w:rsidR="001A0ACF">
        <w:t xml:space="preserve">, </w:t>
      </w:r>
      <w:r>
        <w:t xml:space="preserve">The Commissioner for Refugees is </w:t>
      </w:r>
      <w:r w:rsidR="009474FC">
        <w:t xml:space="preserve">responsible for all administrative matters concerning refugees in </w:t>
      </w:r>
      <w:r w:rsidR="00901392">
        <w:t xml:space="preserve">Uganda and in that capacity, for </w:t>
      </w:r>
      <w:r w:rsidR="009474FC">
        <w:t>co-ordinat</w:t>
      </w:r>
      <w:r w:rsidR="00901392">
        <w:t>ion of</w:t>
      </w:r>
      <w:r w:rsidR="009474FC">
        <w:t xml:space="preserve"> inter-ministerial and non-Governmental activities and programmes relating to refugees. The office is also mandated </w:t>
      </w:r>
      <w:r>
        <w:t xml:space="preserve">to liaise with the UNHCR and other agencies for the protection of refugees and the formulation of programmes for ensuring that adequate facilities and services for reception of refugees, settlement and integration are available. </w:t>
      </w:r>
      <w:r w:rsidR="00582163">
        <w:t xml:space="preserve">As </w:t>
      </w:r>
      <w:r w:rsidR="00AF3D56">
        <w:t xml:space="preserve">an agency and </w:t>
      </w:r>
      <w:r w:rsidR="006E3220">
        <w:t>special programme</w:t>
      </w:r>
      <w:r w:rsidR="00582163" w:rsidRPr="00582163">
        <w:t xml:space="preserve"> </w:t>
      </w:r>
      <w:r w:rsidR="00582163">
        <w:t>of</w:t>
      </w:r>
      <w:r w:rsidR="00582163" w:rsidRPr="00582163">
        <w:t xml:space="preserve"> the United Nations</w:t>
      </w:r>
      <w:r w:rsidR="00582163">
        <w:t xml:space="preserve">, </w:t>
      </w:r>
      <w:r w:rsidR="006E3220" w:rsidRPr="006E3220">
        <w:t>The Office of the United Nations High Commissioner for Refugees (UNHCR</w:t>
      </w:r>
      <w:r w:rsidR="006E3220">
        <w:t>) fi</w:t>
      </w:r>
      <w:r w:rsidR="00287B33">
        <w:t>ts</w:t>
      </w:r>
      <w:r w:rsidR="006E3220">
        <w:t xml:space="preserve"> that description</w:t>
      </w:r>
      <w:r>
        <w:t xml:space="preserve"> of an official body</w:t>
      </w:r>
      <w:r w:rsidR="006E3220">
        <w:t xml:space="preserve">. </w:t>
      </w:r>
      <w:r w:rsidR="00582163">
        <w:t xml:space="preserve"> </w:t>
      </w:r>
      <w:r w:rsidR="00901392">
        <w:t>Moreover</w:t>
      </w:r>
      <w:r w:rsidR="00D4388B">
        <w:t xml:space="preserve"> under </w:t>
      </w:r>
      <w:r>
        <w:t>section 73 (</w:t>
      </w:r>
      <w:r w:rsidR="003755C8">
        <w:t>b</w:t>
      </w:r>
      <w:r>
        <w:t>) of the Act</w:t>
      </w:r>
      <w:r w:rsidR="003755C8">
        <w:t xml:space="preserve">, </w:t>
      </w:r>
      <w:r w:rsidR="003755C8" w:rsidRPr="003755C8">
        <w:t>records kept in Uganda of private documents</w:t>
      </w:r>
      <w:r w:rsidR="003755C8">
        <w:t xml:space="preserve"> are by law </w:t>
      </w:r>
      <w:r w:rsidR="00D4388B">
        <w:t xml:space="preserve">deemed </w:t>
      </w:r>
      <w:r w:rsidR="003755C8">
        <w:t xml:space="preserve">Public Documents. </w:t>
      </w:r>
    </w:p>
    <w:p w:rsidR="000D6C86" w:rsidRDefault="000D6C86" w:rsidP="00E16D4E">
      <w:pPr>
        <w:pStyle w:val="NormalWeb"/>
        <w:spacing w:before="0" w:beforeAutospacing="0" w:after="0" w:afterAutospacing="0" w:line="360" w:lineRule="auto"/>
        <w:jc w:val="both"/>
      </w:pPr>
    </w:p>
    <w:p w:rsidR="004B5196" w:rsidRDefault="00901392" w:rsidP="00E16D4E">
      <w:pPr>
        <w:pStyle w:val="NormalWeb"/>
        <w:spacing w:before="0" w:beforeAutospacing="0" w:after="0" w:afterAutospacing="0" w:line="360" w:lineRule="auto"/>
        <w:jc w:val="both"/>
      </w:pPr>
      <w:r>
        <w:t xml:space="preserve">By virtue of section 73 (b) of </w:t>
      </w:r>
      <w:r w:rsidRPr="00901392">
        <w:rPr>
          <w:i/>
        </w:rPr>
        <w:t>The Evidence Act</w:t>
      </w:r>
      <w:r w:rsidRPr="003755C8">
        <w:t xml:space="preserve"> </w:t>
      </w:r>
      <w:r w:rsidR="003755C8" w:rsidRPr="003755C8">
        <w:t xml:space="preserve">all private documents </w:t>
      </w:r>
      <w:r w:rsidR="00906ADD">
        <w:t xml:space="preserve">regularly </w:t>
      </w:r>
      <w:r w:rsidR="003755C8">
        <w:t xml:space="preserve">kept as </w:t>
      </w:r>
      <w:r w:rsidR="003755C8" w:rsidRPr="00BA5C82">
        <w:t xml:space="preserve">forming </w:t>
      </w:r>
      <w:r w:rsidR="00906ADD">
        <w:t xml:space="preserve">part of </w:t>
      </w:r>
      <w:r w:rsidR="003755C8" w:rsidRPr="00BA5C82">
        <w:t>the acts or records</w:t>
      </w:r>
      <w:r w:rsidR="003755C8" w:rsidRPr="00D214E2">
        <w:t xml:space="preserve"> of official bodies and public officers</w:t>
      </w:r>
      <w:r w:rsidR="003755C8">
        <w:t xml:space="preserve"> </w:t>
      </w:r>
      <w:r w:rsidR="00490F7C">
        <w:t>are</w:t>
      </w:r>
      <w:r w:rsidR="003755C8" w:rsidRPr="003755C8">
        <w:t xml:space="preserve"> </w:t>
      </w:r>
      <w:r w:rsidR="00490F7C">
        <w:t xml:space="preserve">categorised as </w:t>
      </w:r>
      <w:r w:rsidR="003755C8" w:rsidRPr="003755C8">
        <w:t>public documents</w:t>
      </w:r>
      <w:r w:rsidR="00C522C5">
        <w:t xml:space="preserve">. </w:t>
      </w:r>
      <w:r w:rsidR="008A249E">
        <w:t xml:space="preserve">To be admissible, such documents must be shown to have been;- (i) an original entry, (ii) made contemporaneously with the event recorded, (iii) in the routine, (iv) of business, (v) by a person holding the office, (vi) who was under a duty to do the very thing and record it, (vii) and who had no motive to misrepresent. </w:t>
      </w:r>
      <w:r w:rsidR="000D6C86">
        <w:t xml:space="preserve">The admission of such evidence does not infringe upon the hearsay rule because its probative value does not depend upon the credit of an unidentified person but rather on the circumstances in which the record is made (see </w:t>
      </w:r>
      <w:r w:rsidR="00367C2F" w:rsidRPr="00367C2F">
        <w:rPr>
          <w:i/>
        </w:rPr>
        <w:t>Myers v. Director of Public Prosecutions, [1965] AC 1001</w:t>
      </w:r>
      <w:r w:rsidR="00462C64">
        <w:rPr>
          <w:i/>
        </w:rPr>
        <w:t>;</w:t>
      </w:r>
      <w:r w:rsidR="00462C64" w:rsidRPr="00462C64">
        <w:t xml:space="preserve"> </w:t>
      </w:r>
      <w:r w:rsidR="00462C64" w:rsidRPr="00462C64">
        <w:rPr>
          <w:i/>
        </w:rPr>
        <w:t>[1964</w:t>
      </w:r>
      <w:r w:rsidR="00462C64">
        <w:rPr>
          <w:i/>
        </w:rPr>
        <w:t>]</w:t>
      </w:r>
      <w:r w:rsidR="00462C64" w:rsidRPr="00462C64">
        <w:rPr>
          <w:i/>
        </w:rPr>
        <w:t>1 All</w:t>
      </w:r>
      <w:r w:rsidR="00462C64">
        <w:rPr>
          <w:i/>
        </w:rPr>
        <w:t xml:space="preserve"> </w:t>
      </w:r>
      <w:r w:rsidR="00462C64" w:rsidRPr="00462C64">
        <w:rPr>
          <w:i/>
        </w:rPr>
        <w:t xml:space="preserve">E.R. 877, </w:t>
      </w:r>
      <w:r w:rsidR="001D0E07">
        <w:rPr>
          <w:i/>
        </w:rPr>
        <w:t>[</w:t>
      </w:r>
      <w:r w:rsidR="00462C64" w:rsidRPr="00462C64">
        <w:rPr>
          <w:i/>
        </w:rPr>
        <w:t>1964</w:t>
      </w:r>
      <w:r w:rsidR="001D0E07">
        <w:rPr>
          <w:i/>
        </w:rPr>
        <w:t>]</w:t>
      </w:r>
      <w:r w:rsidR="00462C64" w:rsidRPr="00462C64">
        <w:rPr>
          <w:i/>
        </w:rPr>
        <w:t>3 W.L.R</w:t>
      </w:r>
      <w:r w:rsidR="00462C64">
        <w:rPr>
          <w:i/>
        </w:rPr>
        <w:t xml:space="preserve"> 145</w:t>
      </w:r>
      <w:r w:rsidR="00831A94">
        <w:rPr>
          <w:i/>
        </w:rPr>
        <w:t xml:space="preserve">; </w:t>
      </w:r>
      <w:r w:rsidR="00E5401A">
        <w:t xml:space="preserve"> </w:t>
      </w:r>
      <w:r w:rsidR="00831A94" w:rsidRPr="00831A94">
        <w:rPr>
          <w:i/>
        </w:rPr>
        <w:t>Omand v. Alberta Milling Co., [192213 W.W.R. 412, 69 D.L.R. 6, 18 Alta L.R. 383</w:t>
      </w:r>
      <w:r w:rsidR="00831A94">
        <w:t xml:space="preserve"> </w:t>
      </w:r>
      <w:r w:rsidR="00E5401A">
        <w:t xml:space="preserve">and </w:t>
      </w:r>
      <w:r w:rsidR="00E5401A" w:rsidRPr="00E5401A">
        <w:rPr>
          <w:i/>
        </w:rPr>
        <w:t>Ares v. Venner, [1970] SCR 608</w:t>
      </w:r>
      <w:r w:rsidR="00E5401A">
        <w:rPr>
          <w:i/>
        </w:rPr>
        <w:t>;</w:t>
      </w:r>
      <w:r w:rsidR="00E5401A" w:rsidRPr="00E5401A">
        <w:rPr>
          <w:i/>
        </w:rPr>
        <w:t xml:space="preserve"> 1970 CanLII 5</w:t>
      </w:r>
      <w:r w:rsidR="00367C2F">
        <w:t>).</w:t>
      </w:r>
    </w:p>
    <w:p w:rsidR="00444E00" w:rsidRDefault="00444E00" w:rsidP="00CB438C">
      <w:pPr>
        <w:pStyle w:val="NormalWeb"/>
        <w:spacing w:before="0" w:beforeAutospacing="0" w:after="0" w:afterAutospacing="0" w:line="360" w:lineRule="auto"/>
        <w:jc w:val="both"/>
      </w:pPr>
    </w:p>
    <w:p w:rsidR="004B5196" w:rsidRDefault="00FA41F7" w:rsidP="00CB438C">
      <w:pPr>
        <w:pStyle w:val="NormalWeb"/>
        <w:spacing w:before="0" w:beforeAutospacing="0" w:after="0" w:afterAutospacing="0" w:line="360" w:lineRule="auto"/>
        <w:jc w:val="both"/>
      </w:pPr>
      <w:r>
        <w:t xml:space="preserve">According to </w:t>
      </w:r>
      <w:r w:rsidR="00793CF1">
        <w:t>R</w:t>
      </w:r>
      <w:r>
        <w:t xml:space="preserve">egulation 12 (1) of </w:t>
      </w:r>
      <w:r w:rsidRPr="00FA41F7">
        <w:rPr>
          <w:i/>
        </w:rPr>
        <w:t>The Refugees Regulations, 2010</w:t>
      </w:r>
      <w:r w:rsidR="00444E00">
        <w:t xml:space="preserve">; </w:t>
      </w:r>
      <w:r w:rsidR="00444E00" w:rsidRPr="00444E00">
        <w:rPr>
          <w:i/>
        </w:rPr>
        <w:t>S.I. 9 of 2010</w:t>
      </w:r>
      <w:r w:rsidR="00444E00">
        <w:rPr>
          <w:i/>
        </w:rPr>
        <w:t>,</w:t>
      </w:r>
      <w:r>
        <w:t xml:space="preserve"> where a person enters into Uganda and wishes to remain in Uganda as a refugee or where a person applies for refugee status at the point of entry into Uganda, the refugee reception officer is </w:t>
      </w:r>
      <w:r>
        <w:lastRenderedPageBreak/>
        <w:t xml:space="preserve">required to receive that person and register him or her as soon as practicable as a person seeking refugee status. </w:t>
      </w:r>
      <w:r w:rsidR="00E251A9">
        <w:t>By virtue of s</w:t>
      </w:r>
      <w:r w:rsidR="00FD07CD">
        <w:t xml:space="preserve">ection 9 (3) (b) of </w:t>
      </w:r>
      <w:r w:rsidR="00FD07CD" w:rsidRPr="00C522C5">
        <w:rPr>
          <w:i/>
        </w:rPr>
        <w:t>The Refugees Act, 2006</w:t>
      </w:r>
      <w:r w:rsidR="00FD07CD">
        <w:rPr>
          <w:i/>
        </w:rPr>
        <w:t xml:space="preserve">, </w:t>
      </w:r>
      <w:r w:rsidR="00FD07CD">
        <w:t xml:space="preserve">applications for refugee status </w:t>
      </w:r>
      <w:r w:rsidR="00FD07CD" w:rsidRPr="00FD07CD">
        <w:t>may be submitted to the Commissioner through an authorised officer</w:t>
      </w:r>
      <w:r w:rsidR="00D54027">
        <w:t xml:space="preserve"> or to the </w:t>
      </w:r>
      <w:r w:rsidR="00BD4560">
        <w:t xml:space="preserve">UNHCR representative who in turn is required by sub-section 3 thereof to </w:t>
      </w:r>
      <w:r w:rsidR="00BD4560" w:rsidRPr="00BD4560">
        <w:t xml:space="preserve">forward the application to the Commissioner </w:t>
      </w:r>
      <w:r w:rsidR="00BD4560">
        <w:t>as soon as is practicable</w:t>
      </w:r>
      <w:r w:rsidR="00BD4560" w:rsidRPr="00BD4560">
        <w:t>.</w:t>
      </w:r>
      <w:r w:rsidR="00B1349C">
        <w:t xml:space="preserve"> Under section 26 (1) of the Act, e</w:t>
      </w:r>
      <w:r w:rsidR="00B1349C" w:rsidRPr="00B1349C">
        <w:t>very member of the family of a recognised refugee who enters Uganda enjoy</w:t>
      </w:r>
      <w:r w:rsidR="00B1349C">
        <w:t>s</w:t>
      </w:r>
      <w:r w:rsidR="00B1349C" w:rsidRPr="00B1349C">
        <w:t xml:space="preserve"> the same protection as that </w:t>
      </w:r>
      <w:r w:rsidR="00B1349C">
        <w:t xml:space="preserve">of the </w:t>
      </w:r>
      <w:r w:rsidR="00B1349C" w:rsidRPr="00B1349C">
        <w:t>recognised refugee</w:t>
      </w:r>
      <w:r w:rsidR="00CC3188" w:rsidRPr="00CC3188">
        <w:t xml:space="preserve"> </w:t>
      </w:r>
      <w:r w:rsidR="00CC3188">
        <w:t xml:space="preserve">and has the right to </w:t>
      </w:r>
      <w:r w:rsidR="00CC3188" w:rsidRPr="00CC3188">
        <w:t>be issued with all necessary documents relevant to his or her status</w:t>
      </w:r>
      <w:r w:rsidR="00B1349C">
        <w:t>.</w:t>
      </w:r>
      <w:r w:rsidR="00821BC8" w:rsidRPr="00821BC8">
        <w:t xml:space="preserve"> </w:t>
      </w:r>
      <w:r w:rsidR="00BE532F">
        <w:t xml:space="preserve">While Regulation 45 of </w:t>
      </w:r>
      <w:r w:rsidR="00BE532F" w:rsidRPr="00FA41F7">
        <w:rPr>
          <w:i/>
        </w:rPr>
        <w:t>The Refugees Regulations, 2010</w:t>
      </w:r>
      <w:r w:rsidR="00BE532F">
        <w:t xml:space="preserve"> requires the Commissioner to </w:t>
      </w:r>
      <w:r w:rsidR="00BE532F" w:rsidRPr="00BE532F">
        <w:t>keep and maintain a register of all persons who have been granted refugee status and persons seeking asylum in Uganda</w:t>
      </w:r>
      <w:r w:rsidR="00BE532F">
        <w:t>,</w:t>
      </w:r>
      <w:r w:rsidR="00BE532F" w:rsidRPr="00BE532F">
        <w:t xml:space="preserve"> </w:t>
      </w:r>
      <w:r w:rsidR="00821BC8">
        <w:t xml:space="preserve">Regulation </w:t>
      </w:r>
      <w:r w:rsidR="00D077F4">
        <w:t>40</w:t>
      </w:r>
      <w:r w:rsidR="00821BC8">
        <w:t xml:space="preserve"> (1) </w:t>
      </w:r>
      <w:r w:rsidR="00BE532F">
        <w:t>thereof</w:t>
      </w:r>
      <w:r w:rsidR="00251135">
        <w:t xml:space="preserve"> requires </w:t>
      </w:r>
      <w:r w:rsidR="00D077F4">
        <w:t xml:space="preserve">the Commissioner to register the name and particulars of the person </w:t>
      </w:r>
      <w:r w:rsidR="0066648B">
        <w:t xml:space="preserve">granted refugee status </w:t>
      </w:r>
      <w:r w:rsidR="00D077F4">
        <w:t xml:space="preserve">in </w:t>
      </w:r>
      <w:r w:rsidR="00BE532F">
        <w:t>that</w:t>
      </w:r>
      <w:r w:rsidR="00D077F4">
        <w:t xml:space="preserve"> register</w:t>
      </w:r>
      <w:r w:rsidR="00BE532F">
        <w:t>,</w:t>
      </w:r>
      <w:r w:rsidR="00D077F4">
        <w:t xml:space="preserve"> including the members of his or her family</w:t>
      </w:r>
      <w:r w:rsidR="00EE7780">
        <w:t>,</w:t>
      </w:r>
      <w:r w:rsidR="00D077F4">
        <w:t xml:space="preserve"> where applicable</w:t>
      </w:r>
      <w:r w:rsidR="0066648B">
        <w:t>.</w:t>
      </w:r>
    </w:p>
    <w:p w:rsidR="00B544A1" w:rsidRDefault="00B544A1" w:rsidP="00CB438C">
      <w:pPr>
        <w:pStyle w:val="NormalWeb"/>
        <w:spacing w:before="0" w:beforeAutospacing="0" w:after="0" w:afterAutospacing="0" w:line="360" w:lineRule="auto"/>
        <w:jc w:val="both"/>
      </w:pPr>
    </w:p>
    <w:p w:rsidR="00B544A1" w:rsidRDefault="00B544A1" w:rsidP="00B544A1">
      <w:pPr>
        <w:pStyle w:val="NormalWeb"/>
        <w:spacing w:before="0" w:beforeAutospacing="0" w:after="0" w:afterAutospacing="0" w:line="360" w:lineRule="auto"/>
        <w:jc w:val="both"/>
      </w:pPr>
      <w:r>
        <w:t xml:space="preserve">By virtue of section 73 (b) of </w:t>
      </w:r>
      <w:r w:rsidRPr="00901392">
        <w:rPr>
          <w:i/>
        </w:rPr>
        <w:t>The Evidence Act</w:t>
      </w:r>
      <w:r>
        <w:rPr>
          <w:i/>
        </w:rPr>
        <w:t>,</w:t>
      </w:r>
      <w:r w:rsidRPr="003755C8">
        <w:t xml:space="preserve"> </w:t>
      </w:r>
      <w:r>
        <w:t xml:space="preserve">documents from the Office of The United Nations High Commission for Refugees that were received by the trial court and marked as </w:t>
      </w:r>
      <w:r w:rsidR="001B5047">
        <w:t xml:space="preserve">as D.ID.1 to </w:t>
      </w:r>
      <w:r w:rsidR="001B5047">
        <w:rPr>
          <w:color w:val="FF0000"/>
        </w:rPr>
        <w:t xml:space="preserve"> </w:t>
      </w:r>
      <w:r w:rsidR="001B5047">
        <w:t>D.ID.</w:t>
      </w:r>
      <w:r w:rsidR="00C56F93">
        <w:t>8</w:t>
      </w:r>
      <w:r w:rsidR="001B5047">
        <w:t xml:space="preserve"> and the covering </w:t>
      </w:r>
      <w:r>
        <w:t xml:space="preserve">letter from the Office of the Prime Minister that was marked as exhibit </w:t>
      </w:r>
      <w:r w:rsidR="00C56F93">
        <w:t>D.ID.10,</w:t>
      </w:r>
      <w:r w:rsidRPr="00B544A1">
        <w:t xml:space="preserve"> </w:t>
      </w:r>
      <w:r>
        <w:t>by virtue of being</w:t>
      </w:r>
      <w:r w:rsidRPr="003755C8">
        <w:t xml:space="preserve"> private documents </w:t>
      </w:r>
      <w:r>
        <w:t xml:space="preserve">regularly kept as </w:t>
      </w:r>
      <w:r w:rsidRPr="00BA5C82">
        <w:t xml:space="preserve">forming </w:t>
      </w:r>
      <w:r>
        <w:t xml:space="preserve">part of </w:t>
      </w:r>
      <w:r w:rsidRPr="00BA5C82">
        <w:t>the acts or records</w:t>
      </w:r>
      <w:r w:rsidRPr="00D214E2">
        <w:t xml:space="preserve"> of official bodies and public officers</w:t>
      </w:r>
      <w:r>
        <w:t xml:space="preserve">, are by law categorised as </w:t>
      </w:r>
      <w:r w:rsidRPr="003755C8">
        <w:t>public documents</w:t>
      </w:r>
      <w:r>
        <w:t>. That being the case, s</w:t>
      </w:r>
      <w:r w:rsidR="0037331D">
        <w:t xml:space="preserve">ection 75 of </w:t>
      </w:r>
      <w:r w:rsidR="00C56F93" w:rsidRPr="00901392">
        <w:rPr>
          <w:i/>
        </w:rPr>
        <w:t>The Evidence Act</w:t>
      </w:r>
      <w:r w:rsidR="00C56F93">
        <w:t xml:space="preserve"> </w:t>
      </w:r>
      <w:r w:rsidR="0037331D">
        <w:t xml:space="preserve">authorises </w:t>
      </w:r>
      <w:r w:rsidR="00335678" w:rsidRPr="00335678">
        <w:t xml:space="preserve">public officers having the custody of a public document, subject to payment of fees, to give </w:t>
      </w:r>
      <w:r w:rsidR="00335678">
        <w:t xml:space="preserve">certified copies </w:t>
      </w:r>
      <w:r w:rsidR="00335678" w:rsidRPr="00335678">
        <w:t xml:space="preserve">on demand </w:t>
      </w:r>
      <w:r w:rsidR="00335678">
        <w:t xml:space="preserve">by </w:t>
      </w:r>
      <w:r w:rsidR="00335678" w:rsidRPr="00335678">
        <w:t xml:space="preserve">persons interested in </w:t>
      </w:r>
      <w:r w:rsidR="00335678">
        <w:t>such documents.</w:t>
      </w:r>
      <w:r w:rsidR="00911028" w:rsidRPr="00911028">
        <w:t xml:space="preserve"> Such certified copies may </w:t>
      </w:r>
      <w:r w:rsidR="00911028">
        <w:t xml:space="preserve">then </w:t>
      </w:r>
      <w:r w:rsidR="00911028" w:rsidRPr="00911028">
        <w:t>be produced in proof of the contents of the public documents or parts of the public documents of which they purport to be</w:t>
      </w:r>
      <w:r w:rsidR="00911028">
        <w:t xml:space="preserve"> </w:t>
      </w:r>
      <w:r w:rsidR="00911028" w:rsidRPr="00911028">
        <w:t>copies</w:t>
      </w:r>
      <w:r w:rsidR="00911028">
        <w:t xml:space="preserve"> (see section 76 of the Act)</w:t>
      </w:r>
      <w:r w:rsidR="00911028" w:rsidRPr="00911028">
        <w:t>.</w:t>
      </w:r>
      <w:r w:rsidR="00ED3C29">
        <w:t xml:space="preserve"> </w:t>
      </w:r>
    </w:p>
    <w:p w:rsidR="00B544A1" w:rsidRDefault="00B544A1" w:rsidP="00B544A1">
      <w:pPr>
        <w:pStyle w:val="NormalWeb"/>
        <w:spacing w:before="0" w:beforeAutospacing="0" w:after="0" w:afterAutospacing="0" w:line="360" w:lineRule="auto"/>
        <w:jc w:val="both"/>
      </w:pPr>
    </w:p>
    <w:p w:rsidR="004E0709" w:rsidRPr="0024725C" w:rsidRDefault="005B19E1" w:rsidP="00B544A1">
      <w:pPr>
        <w:pStyle w:val="NormalWeb"/>
        <w:spacing w:before="0" w:beforeAutospacing="0" w:after="0" w:afterAutospacing="0" w:line="360" w:lineRule="auto"/>
        <w:jc w:val="both"/>
      </w:pPr>
      <w:r>
        <w:t>T</w:t>
      </w:r>
      <w:r w:rsidR="00ED3C29">
        <w:t>he</w:t>
      </w:r>
      <w:r w:rsidR="00C56F93">
        <w:t>n</w:t>
      </w:r>
      <w:r w:rsidR="00ED3C29">
        <w:t xml:space="preserve"> under section </w:t>
      </w:r>
      <w:r w:rsidR="00633DB2">
        <w:t xml:space="preserve">78 of </w:t>
      </w:r>
      <w:r w:rsidR="00C56F93" w:rsidRPr="00C56F93">
        <w:rPr>
          <w:i/>
        </w:rPr>
        <w:t xml:space="preserve">The Evidence </w:t>
      </w:r>
      <w:r w:rsidR="00633DB2" w:rsidRPr="00C56F93">
        <w:rPr>
          <w:i/>
        </w:rPr>
        <w:t>Act</w:t>
      </w:r>
      <w:r w:rsidR="00633DB2">
        <w:t xml:space="preserve">, courts are required to </w:t>
      </w:r>
      <w:r w:rsidR="00820211" w:rsidRPr="00820211">
        <w:t xml:space="preserve">presume every document purporting to be </w:t>
      </w:r>
      <w:r w:rsidR="00C56F93">
        <w:t xml:space="preserve">a </w:t>
      </w:r>
      <w:r w:rsidR="00820211" w:rsidRPr="00820211">
        <w:t>certified copy, which is by law declared to be admissible as evidence of any particular fact, and which purports to be duly certified by any officer in Uganda, to be genuine if the document is</w:t>
      </w:r>
      <w:r w:rsidR="00795DEA">
        <w:t xml:space="preserve"> </w:t>
      </w:r>
      <w:r w:rsidR="00820211" w:rsidRPr="00795DEA">
        <w:t>substantially in the form and purports to be executed in the manner directed by law in that behalf</w:t>
      </w:r>
      <w:r w:rsidR="00795DEA">
        <w:t xml:space="preserve">. </w:t>
      </w:r>
      <w:r w:rsidR="0024725C" w:rsidRPr="0024725C">
        <w:t xml:space="preserve">The court </w:t>
      </w:r>
      <w:r w:rsidR="0024725C">
        <w:t>is</w:t>
      </w:r>
      <w:r w:rsidR="0024725C" w:rsidRPr="0024725C">
        <w:t xml:space="preserve"> also </w:t>
      </w:r>
      <w:r w:rsidR="0024725C">
        <w:t xml:space="preserve">required to </w:t>
      </w:r>
      <w:r w:rsidR="0024725C" w:rsidRPr="0024725C">
        <w:t>presume that any officer by whom any such document purports to be signed or certified held, when he or she signed it,</w:t>
      </w:r>
      <w:r w:rsidR="0024725C">
        <w:t xml:space="preserve"> </w:t>
      </w:r>
      <w:r w:rsidR="0024725C" w:rsidRPr="0024725C">
        <w:t>the official character which he or she claims in that paper</w:t>
      </w:r>
      <w:r w:rsidR="0024725C">
        <w:t xml:space="preserve">. </w:t>
      </w:r>
    </w:p>
    <w:p w:rsidR="00E16D4E" w:rsidRDefault="004C46EE" w:rsidP="00D66F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Before documentary evidence, </w:t>
      </w:r>
      <w:r w:rsidR="00D62AE4">
        <w:rPr>
          <w:rFonts w:ascii="Times New Roman" w:hAnsi="Times New Roman" w:cs="Times New Roman"/>
          <w:sz w:val="24"/>
          <w:szCs w:val="24"/>
        </w:rPr>
        <w:t xml:space="preserve">may </w:t>
      </w:r>
      <w:r>
        <w:rPr>
          <w:rFonts w:ascii="Times New Roman" w:hAnsi="Times New Roman" w:cs="Times New Roman"/>
          <w:sz w:val="24"/>
          <w:szCs w:val="24"/>
        </w:rPr>
        <w:t xml:space="preserve">be admitted, the proponent must make a preliminary showing, </w:t>
      </w:r>
      <w:r w:rsidRPr="004C46EE">
        <w:rPr>
          <w:rFonts w:ascii="Times New Roman" w:hAnsi="Times New Roman" w:cs="Times New Roman"/>
          <w:sz w:val="24"/>
          <w:szCs w:val="24"/>
        </w:rPr>
        <w:t>directly or indirectly, that the proffer</w:t>
      </w:r>
      <w:r>
        <w:rPr>
          <w:rFonts w:ascii="Times New Roman" w:hAnsi="Times New Roman" w:cs="Times New Roman"/>
          <w:sz w:val="24"/>
          <w:szCs w:val="24"/>
        </w:rPr>
        <w:t xml:space="preserve">ed  evidence  is  genuine,  i.e.  that  it  is  what  it  is claimed to </w:t>
      </w:r>
      <w:r w:rsidRPr="004C46EE">
        <w:rPr>
          <w:rFonts w:ascii="Times New Roman" w:hAnsi="Times New Roman" w:cs="Times New Roman"/>
          <w:sz w:val="24"/>
          <w:szCs w:val="24"/>
        </w:rPr>
        <w:t>be</w:t>
      </w:r>
      <w:r>
        <w:rPr>
          <w:rFonts w:ascii="Times New Roman" w:hAnsi="Times New Roman" w:cs="Times New Roman"/>
          <w:sz w:val="24"/>
          <w:szCs w:val="24"/>
        </w:rPr>
        <w:t xml:space="preserve">. </w:t>
      </w:r>
      <w:r w:rsidR="00E16D4E">
        <w:rPr>
          <w:rFonts w:ascii="Times New Roman" w:hAnsi="Times New Roman" w:cs="Times New Roman"/>
          <w:sz w:val="24"/>
          <w:szCs w:val="24"/>
        </w:rPr>
        <w:t>T</w:t>
      </w:r>
      <w:r w:rsidR="00E16D4E" w:rsidRPr="00E16D4E">
        <w:rPr>
          <w:rFonts w:ascii="Times New Roman" w:hAnsi="Times New Roman" w:cs="Times New Roman"/>
          <w:sz w:val="24"/>
          <w:szCs w:val="24"/>
        </w:rPr>
        <w:t xml:space="preserve">he </w:t>
      </w:r>
      <w:r w:rsidR="00A0771F" w:rsidRPr="00E16D4E">
        <w:rPr>
          <w:rFonts w:ascii="Times New Roman" w:hAnsi="Times New Roman" w:cs="Times New Roman"/>
          <w:sz w:val="24"/>
          <w:szCs w:val="24"/>
        </w:rPr>
        <w:t>conditions to</w:t>
      </w:r>
      <w:r w:rsidR="00E16D4E" w:rsidRPr="00E16D4E">
        <w:rPr>
          <w:rFonts w:ascii="Times New Roman" w:hAnsi="Times New Roman" w:cs="Times New Roman"/>
          <w:sz w:val="24"/>
          <w:szCs w:val="24"/>
        </w:rPr>
        <w:t xml:space="preserve"> be established in respect of </w:t>
      </w:r>
      <w:r w:rsidR="00A0771F">
        <w:rPr>
          <w:rFonts w:ascii="Times New Roman" w:hAnsi="Times New Roman" w:cs="Times New Roman"/>
          <w:sz w:val="24"/>
          <w:szCs w:val="24"/>
        </w:rPr>
        <w:t xml:space="preserve">a </w:t>
      </w:r>
      <w:r w:rsidR="00E16D4E" w:rsidRPr="00E16D4E">
        <w:rPr>
          <w:rFonts w:ascii="Times New Roman" w:hAnsi="Times New Roman" w:cs="Times New Roman"/>
          <w:sz w:val="24"/>
          <w:szCs w:val="24"/>
        </w:rPr>
        <w:t xml:space="preserve">certified true copy of a public document are; </w:t>
      </w:r>
      <w:r w:rsidR="00A0771F">
        <w:rPr>
          <w:rFonts w:ascii="Times New Roman" w:hAnsi="Times New Roman" w:cs="Times New Roman"/>
          <w:sz w:val="24"/>
          <w:szCs w:val="24"/>
        </w:rPr>
        <w:t>(i) (where applicable)</w:t>
      </w:r>
      <w:r w:rsidR="00E16D4E" w:rsidRPr="00E16D4E">
        <w:rPr>
          <w:rFonts w:ascii="Times New Roman" w:hAnsi="Times New Roman" w:cs="Times New Roman"/>
          <w:sz w:val="24"/>
          <w:szCs w:val="24"/>
        </w:rPr>
        <w:t xml:space="preserve"> </w:t>
      </w:r>
      <w:r w:rsidR="00245D11">
        <w:rPr>
          <w:rFonts w:ascii="Times New Roman" w:hAnsi="Times New Roman" w:cs="Times New Roman"/>
          <w:sz w:val="24"/>
          <w:szCs w:val="24"/>
        </w:rPr>
        <w:t xml:space="preserve">evidence of </w:t>
      </w:r>
      <w:r w:rsidR="00E16D4E" w:rsidRPr="00E16D4E">
        <w:rPr>
          <w:rFonts w:ascii="Times New Roman" w:hAnsi="Times New Roman" w:cs="Times New Roman"/>
          <w:sz w:val="24"/>
          <w:szCs w:val="24"/>
        </w:rPr>
        <w:t>payment of the legal fees prescribed</w:t>
      </w:r>
      <w:r w:rsidR="00A0771F">
        <w:rPr>
          <w:rFonts w:ascii="Times New Roman" w:hAnsi="Times New Roman" w:cs="Times New Roman"/>
          <w:sz w:val="24"/>
          <w:szCs w:val="24"/>
        </w:rPr>
        <w:t>; (ii)</w:t>
      </w:r>
      <w:r w:rsidR="00E16D4E" w:rsidRPr="00E16D4E">
        <w:rPr>
          <w:rFonts w:ascii="Times New Roman" w:hAnsi="Times New Roman" w:cs="Times New Roman"/>
          <w:sz w:val="24"/>
          <w:szCs w:val="24"/>
        </w:rPr>
        <w:t xml:space="preserve"> a certificate wr</w:t>
      </w:r>
      <w:r w:rsidR="00A0771F">
        <w:rPr>
          <w:rFonts w:ascii="Times New Roman" w:hAnsi="Times New Roman" w:cs="Times New Roman"/>
          <w:sz w:val="24"/>
          <w:szCs w:val="24"/>
        </w:rPr>
        <w:t xml:space="preserve">itten at the foot of or other part of such copy, </w:t>
      </w:r>
      <w:r w:rsidR="00E16D4E" w:rsidRPr="00E16D4E">
        <w:rPr>
          <w:rFonts w:ascii="Times New Roman" w:hAnsi="Times New Roman" w:cs="Times New Roman"/>
          <w:sz w:val="24"/>
          <w:szCs w:val="24"/>
        </w:rPr>
        <w:t xml:space="preserve">that it is a true copy of such document or part of it as the ease may be </w:t>
      </w:r>
      <w:r w:rsidR="00A0771F">
        <w:rPr>
          <w:rFonts w:ascii="Times New Roman" w:hAnsi="Times New Roman" w:cs="Times New Roman"/>
          <w:sz w:val="24"/>
          <w:szCs w:val="24"/>
        </w:rPr>
        <w:t xml:space="preserve">(iii) the </w:t>
      </w:r>
      <w:r w:rsidR="00E16D4E" w:rsidRPr="00E16D4E">
        <w:rPr>
          <w:rFonts w:ascii="Times New Roman" w:hAnsi="Times New Roman" w:cs="Times New Roman"/>
          <w:sz w:val="24"/>
          <w:szCs w:val="24"/>
        </w:rPr>
        <w:t>date</w:t>
      </w:r>
      <w:r w:rsidR="00A0771F">
        <w:rPr>
          <w:rFonts w:ascii="Times New Roman" w:hAnsi="Times New Roman" w:cs="Times New Roman"/>
          <w:sz w:val="24"/>
          <w:szCs w:val="24"/>
        </w:rPr>
        <w:t xml:space="preserve"> on which the certification is made; (iv)</w:t>
      </w:r>
      <w:r w:rsidR="00E16D4E" w:rsidRPr="00E16D4E">
        <w:rPr>
          <w:rFonts w:ascii="Times New Roman" w:hAnsi="Times New Roman" w:cs="Times New Roman"/>
          <w:sz w:val="24"/>
          <w:szCs w:val="24"/>
        </w:rPr>
        <w:t xml:space="preserve"> subscribed by such officer with his </w:t>
      </w:r>
      <w:r w:rsidR="00A0771F">
        <w:rPr>
          <w:rFonts w:ascii="Times New Roman" w:hAnsi="Times New Roman" w:cs="Times New Roman"/>
          <w:sz w:val="24"/>
          <w:szCs w:val="24"/>
        </w:rPr>
        <w:t xml:space="preserve">or her </w:t>
      </w:r>
      <w:r w:rsidR="00E16D4E" w:rsidRPr="00E16D4E">
        <w:rPr>
          <w:rFonts w:ascii="Times New Roman" w:hAnsi="Times New Roman" w:cs="Times New Roman"/>
          <w:sz w:val="24"/>
          <w:szCs w:val="24"/>
        </w:rPr>
        <w:t xml:space="preserve">name and his </w:t>
      </w:r>
      <w:r w:rsidR="00A0771F">
        <w:rPr>
          <w:rFonts w:ascii="Times New Roman" w:hAnsi="Times New Roman" w:cs="Times New Roman"/>
          <w:sz w:val="24"/>
          <w:szCs w:val="24"/>
        </w:rPr>
        <w:t xml:space="preserve">or her </w:t>
      </w:r>
      <w:r w:rsidR="00E16D4E" w:rsidRPr="00E16D4E">
        <w:rPr>
          <w:rFonts w:ascii="Times New Roman" w:hAnsi="Times New Roman" w:cs="Times New Roman"/>
          <w:sz w:val="24"/>
          <w:szCs w:val="24"/>
        </w:rPr>
        <w:t>official title</w:t>
      </w:r>
      <w:r w:rsidR="00A0771F">
        <w:rPr>
          <w:rFonts w:ascii="Times New Roman" w:hAnsi="Times New Roman" w:cs="Times New Roman"/>
          <w:sz w:val="24"/>
          <w:szCs w:val="24"/>
        </w:rPr>
        <w:t>;</w:t>
      </w:r>
      <w:r w:rsidR="00E16D4E" w:rsidRPr="00E16D4E">
        <w:rPr>
          <w:rFonts w:ascii="Times New Roman" w:hAnsi="Times New Roman" w:cs="Times New Roman"/>
          <w:sz w:val="24"/>
          <w:szCs w:val="24"/>
        </w:rPr>
        <w:t xml:space="preserve"> and </w:t>
      </w:r>
      <w:r w:rsidR="00A0771F">
        <w:rPr>
          <w:rFonts w:ascii="Times New Roman" w:hAnsi="Times New Roman" w:cs="Times New Roman"/>
          <w:sz w:val="24"/>
          <w:szCs w:val="24"/>
        </w:rPr>
        <w:t>(v) (where applicable)</w:t>
      </w:r>
      <w:r w:rsidR="00A0771F" w:rsidRPr="00E16D4E">
        <w:rPr>
          <w:rFonts w:ascii="Times New Roman" w:hAnsi="Times New Roman" w:cs="Times New Roman"/>
          <w:sz w:val="24"/>
          <w:szCs w:val="24"/>
        </w:rPr>
        <w:t xml:space="preserve"> </w:t>
      </w:r>
      <w:r w:rsidR="00E16D4E" w:rsidRPr="00E16D4E">
        <w:rPr>
          <w:rFonts w:ascii="Times New Roman" w:hAnsi="Times New Roman" w:cs="Times New Roman"/>
          <w:sz w:val="24"/>
          <w:szCs w:val="24"/>
        </w:rPr>
        <w:t xml:space="preserve">sealed </w:t>
      </w:r>
      <w:r w:rsidR="00A0771F">
        <w:rPr>
          <w:rFonts w:ascii="Times New Roman" w:hAnsi="Times New Roman" w:cs="Times New Roman"/>
          <w:sz w:val="24"/>
          <w:szCs w:val="24"/>
        </w:rPr>
        <w:t>with</w:t>
      </w:r>
      <w:r w:rsidR="00E16D4E" w:rsidRPr="00E16D4E">
        <w:rPr>
          <w:rFonts w:ascii="Times New Roman" w:hAnsi="Times New Roman" w:cs="Times New Roman"/>
          <w:sz w:val="24"/>
          <w:szCs w:val="24"/>
        </w:rPr>
        <w:t xml:space="preserve"> the</w:t>
      </w:r>
      <w:r w:rsidR="00A0771F">
        <w:rPr>
          <w:rFonts w:ascii="Times New Roman" w:hAnsi="Times New Roman" w:cs="Times New Roman"/>
          <w:sz w:val="24"/>
          <w:szCs w:val="24"/>
        </w:rPr>
        <w:t xml:space="preserve"> official seal.</w:t>
      </w:r>
      <w:r w:rsidR="006E3DA9" w:rsidRPr="006E3DA9">
        <w:t xml:space="preserve"> </w:t>
      </w:r>
      <w:r w:rsidR="006E3DA9" w:rsidRPr="006E3DA9">
        <w:rPr>
          <w:rFonts w:ascii="Times New Roman" w:hAnsi="Times New Roman" w:cs="Times New Roman"/>
          <w:sz w:val="24"/>
          <w:szCs w:val="24"/>
        </w:rPr>
        <w:t>The authentication requirement</w:t>
      </w:r>
      <w:r w:rsidR="006E3DA9">
        <w:rPr>
          <w:rFonts w:ascii="Times New Roman" w:hAnsi="Times New Roman" w:cs="Times New Roman"/>
          <w:sz w:val="24"/>
          <w:szCs w:val="24"/>
        </w:rPr>
        <w:t xml:space="preserve"> is satisfied </w:t>
      </w:r>
      <w:r w:rsidR="00D62AE4">
        <w:rPr>
          <w:rFonts w:ascii="Times New Roman" w:hAnsi="Times New Roman" w:cs="Times New Roman"/>
          <w:sz w:val="24"/>
          <w:szCs w:val="24"/>
        </w:rPr>
        <w:t xml:space="preserve">by </w:t>
      </w:r>
      <w:r w:rsidR="00D62AE4" w:rsidRPr="00D62AE4">
        <w:rPr>
          <w:rFonts w:ascii="Times New Roman" w:hAnsi="Times New Roman" w:cs="Times New Roman"/>
          <w:sz w:val="24"/>
          <w:szCs w:val="24"/>
        </w:rPr>
        <w:t>provid</w:t>
      </w:r>
      <w:r w:rsidR="00D62AE4">
        <w:rPr>
          <w:rFonts w:ascii="Times New Roman" w:hAnsi="Times New Roman" w:cs="Times New Roman"/>
          <w:sz w:val="24"/>
          <w:szCs w:val="24"/>
        </w:rPr>
        <w:t xml:space="preserve">ing </w:t>
      </w:r>
      <w:r w:rsidR="00D62AE4" w:rsidRPr="00D62AE4">
        <w:rPr>
          <w:rFonts w:ascii="Times New Roman" w:hAnsi="Times New Roman" w:cs="Times New Roman"/>
          <w:sz w:val="24"/>
          <w:szCs w:val="24"/>
        </w:rPr>
        <w:t>evidence sufficient to support a finding that the proffered evidence is what it is claimed to be</w:t>
      </w:r>
      <w:r w:rsidR="00D62AE4">
        <w:rPr>
          <w:rFonts w:ascii="Times New Roman" w:hAnsi="Times New Roman" w:cs="Times New Roman"/>
          <w:sz w:val="24"/>
          <w:szCs w:val="24"/>
        </w:rPr>
        <w:t xml:space="preserve">. </w:t>
      </w:r>
      <w:r w:rsidR="00535112" w:rsidRPr="00535112">
        <w:rPr>
          <w:rFonts w:ascii="Times New Roman" w:hAnsi="Times New Roman" w:cs="Times New Roman"/>
          <w:sz w:val="24"/>
          <w:szCs w:val="24"/>
        </w:rPr>
        <w:t>A witness with personal knowledge of the circumstances showing that the document is what it cl</w:t>
      </w:r>
      <w:r w:rsidR="00535112">
        <w:rPr>
          <w:rFonts w:ascii="Times New Roman" w:hAnsi="Times New Roman" w:cs="Times New Roman"/>
          <w:sz w:val="24"/>
          <w:szCs w:val="24"/>
        </w:rPr>
        <w:t>aims to be may offer testimony to authenticate</w:t>
      </w:r>
      <w:r w:rsidR="00535112" w:rsidRPr="00535112">
        <w:rPr>
          <w:rFonts w:ascii="Times New Roman" w:hAnsi="Times New Roman" w:cs="Times New Roman"/>
          <w:sz w:val="24"/>
          <w:szCs w:val="24"/>
        </w:rPr>
        <w:t xml:space="preserve"> a document. </w:t>
      </w:r>
      <w:r w:rsidR="00D66FF1">
        <w:rPr>
          <w:rFonts w:ascii="Times New Roman" w:hAnsi="Times New Roman" w:cs="Times New Roman"/>
          <w:sz w:val="24"/>
          <w:szCs w:val="24"/>
        </w:rPr>
        <w:t xml:space="preserve">Certain </w:t>
      </w:r>
      <w:r w:rsidR="00D66FF1" w:rsidRPr="00D66FF1">
        <w:rPr>
          <w:rFonts w:ascii="Times New Roman" w:hAnsi="Times New Roman" w:cs="Times New Roman"/>
          <w:sz w:val="24"/>
          <w:szCs w:val="24"/>
        </w:rPr>
        <w:t>documents</w:t>
      </w:r>
      <w:r w:rsidR="00D66FF1">
        <w:rPr>
          <w:rFonts w:ascii="Times New Roman" w:hAnsi="Times New Roman" w:cs="Times New Roman"/>
          <w:sz w:val="24"/>
          <w:szCs w:val="24"/>
        </w:rPr>
        <w:t>, such as</w:t>
      </w:r>
      <w:r w:rsidR="00D66FF1" w:rsidRPr="00D66FF1">
        <w:rPr>
          <w:rFonts w:ascii="Times New Roman" w:hAnsi="Times New Roman" w:cs="Times New Roman"/>
          <w:sz w:val="24"/>
          <w:szCs w:val="24"/>
        </w:rPr>
        <w:t xml:space="preserve"> </w:t>
      </w:r>
      <w:r w:rsidR="00D66FF1">
        <w:rPr>
          <w:rFonts w:ascii="Times New Roman" w:hAnsi="Times New Roman" w:cs="Times New Roman"/>
          <w:sz w:val="24"/>
          <w:szCs w:val="24"/>
        </w:rPr>
        <w:t xml:space="preserve">those </w:t>
      </w:r>
      <w:r w:rsidR="00D66FF1" w:rsidRPr="00D66FF1">
        <w:rPr>
          <w:rFonts w:ascii="Times New Roman" w:hAnsi="Times New Roman" w:cs="Times New Roman"/>
          <w:sz w:val="24"/>
          <w:szCs w:val="24"/>
        </w:rPr>
        <w:t xml:space="preserve">executed under seal, </w:t>
      </w:r>
      <w:r w:rsidR="00D66FF1">
        <w:rPr>
          <w:rFonts w:ascii="Times New Roman" w:hAnsi="Times New Roman" w:cs="Times New Roman"/>
          <w:sz w:val="24"/>
          <w:szCs w:val="24"/>
        </w:rPr>
        <w:t xml:space="preserve">certified copies of public records, and ancient </w:t>
      </w:r>
      <w:r w:rsidR="00D66FF1" w:rsidRPr="00D66FF1">
        <w:rPr>
          <w:rFonts w:ascii="Times New Roman" w:hAnsi="Times New Roman" w:cs="Times New Roman"/>
          <w:sz w:val="24"/>
          <w:szCs w:val="24"/>
        </w:rPr>
        <w:t>documents</w:t>
      </w:r>
      <w:r w:rsidR="00D66FF1" w:rsidRPr="00535112">
        <w:rPr>
          <w:rFonts w:ascii="Times New Roman" w:hAnsi="Times New Roman" w:cs="Times New Roman"/>
          <w:sz w:val="24"/>
          <w:szCs w:val="24"/>
        </w:rPr>
        <w:t xml:space="preserve"> </w:t>
      </w:r>
      <w:r w:rsidR="00D66FF1">
        <w:rPr>
          <w:rFonts w:ascii="Times New Roman" w:hAnsi="Times New Roman" w:cs="Times New Roman"/>
          <w:sz w:val="24"/>
          <w:szCs w:val="24"/>
        </w:rPr>
        <w:t xml:space="preserve">are </w:t>
      </w:r>
      <w:r w:rsidR="00D66FF1" w:rsidRPr="00D66FF1">
        <w:rPr>
          <w:rFonts w:ascii="Times New Roman" w:hAnsi="Times New Roman" w:cs="Times New Roman"/>
          <w:sz w:val="24"/>
          <w:szCs w:val="24"/>
        </w:rPr>
        <w:t>self-authenticating</w:t>
      </w:r>
      <w:r w:rsidR="00D66FF1">
        <w:rPr>
          <w:rFonts w:ascii="Times New Roman" w:hAnsi="Times New Roman" w:cs="Times New Roman"/>
          <w:sz w:val="24"/>
          <w:szCs w:val="24"/>
        </w:rPr>
        <w:t xml:space="preserve">, i.e. no  prima facie showing of </w:t>
      </w:r>
      <w:r w:rsidR="00D66FF1" w:rsidRPr="00D66FF1">
        <w:rPr>
          <w:rFonts w:ascii="Times New Roman" w:hAnsi="Times New Roman" w:cs="Times New Roman"/>
          <w:sz w:val="24"/>
          <w:szCs w:val="24"/>
        </w:rPr>
        <w:t xml:space="preserve">authenticity is required </w:t>
      </w:r>
      <w:r w:rsidR="00D66FF1">
        <w:rPr>
          <w:rFonts w:ascii="Times New Roman" w:hAnsi="Times New Roman" w:cs="Times New Roman"/>
          <w:sz w:val="24"/>
          <w:szCs w:val="24"/>
        </w:rPr>
        <w:t xml:space="preserve">for them to be admissible. </w:t>
      </w:r>
    </w:p>
    <w:p w:rsidR="00755769" w:rsidRDefault="00755769" w:rsidP="004C46EE">
      <w:pPr>
        <w:spacing w:after="0" w:line="360" w:lineRule="auto"/>
        <w:jc w:val="both"/>
        <w:rPr>
          <w:rFonts w:ascii="Times New Roman" w:hAnsi="Times New Roman" w:cs="Times New Roman"/>
          <w:sz w:val="24"/>
          <w:szCs w:val="24"/>
        </w:rPr>
      </w:pPr>
    </w:p>
    <w:p w:rsidR="001B5047" w:rsidRPr="0040494E" w:rsidRDefault="00F141C8" w:rsidP="004C46EE">
      <w:pPr>
        <w:spacing w:after="0" w:line="360" w:lineRule="auto"/>
        <w:jc w:val="both"/>
        <w:rPr>
          <w:rFonts w:ascii="Times New Roman" w:hAnsi="Times New Roman" w:cs="Times New Roman"/>
          <w:sz w:val="24"/>
          <w:szCs w:val="24"/>
        </w:rPr>
      </w:pPr>
      <w:r w:rsidRPr="00F141C8">
        <w:rPr>
          <w:rFonts w:ascii="Times New Roman" w:hAnsi="Times New Roman" w:cs="Times New Roman"/>
          <w:sz w:val="24"/>
          <w:szCs w:val="24"/>
        </w:rPr>
        <w:t xml:space="preserve">I have examined </w:t>
      </w:r>
      <w:r>
        <w:rPr>
          <w:rFonts w:ascii="Times New Roman" w:hAnsi="Times New Roman" w:cs="Times New Roman"/>
          <w:sz w:val="24"/>
          <w:szCs w:val="24"/>
        </w:rPr>
        <w:t xml:space="preserve">the </w:t>
      </w:r>
      <w:r w:rsidRPr="00F141C8">
        <w:rPr>
          <w:rFonts w:ascii="Times New Roman" w:hAnsi="Times New Roman" w:cs="Times New Roman"/>
          <w:sz w:val="24"/>
          <w:szCs w:val="24"/>
        </w:rPr>
        <w:t xml:space="preserve">documents from the Office of The </w:t>
      </w:r>
      <w:r w:rsidRPr="001B5047">
        <w:rPr>
          <w:rFonts w:ascii="Times New Roman" w:hAnsi="Times New Roman" w:cs="Times New Roman"/>
          <w:sz w:val="24"/>
          <w:szCs w:val="24"/>
        </w:rPr>
        <w:t xml:space="preserve">United Nations High Commission for Refugees that were received by the trial court and marked </w:t>
      </w:r>
      <w:r w:rsidR="001B5047" w:rsidRPr="001B5047">
        <w:rPr>
          <w:rFonts w:ascii="Times New Roman" w:hAnsi="Times New Roman" w:cs="Times New Roman"/>
          <w:sz w:val="24"/>
          <w:szCs w:val="24"/>
        </w:rPr>
        <w:t xml:space="preserve">as D.ID.1 to </w:t>
      </w:r>
      <w:r w:rsidR="001B5047" w:rsidRPr="001B5047">
        <w:rPr>
          <w:rFonts w:ascii="Times New Roman" w:hAnsi="Times New Roman" w:cs="Times New Roman"/>
          <w:color w:val="FF0000"/>
          <w:sz w:val="24"/>
          <w:szCs w:val="24"/>
        </w:rPr>
        <w:t xml:space="preserve"> </w:t>
      </w:r>
      <w:r w:rsidR="001B5047" w:rsidRPr="001B5047">
        <w:rPr>
          <w:rFonts w:ascii="Times New Roman" w:hAnsi="Times New Roman" w:cs="Times New Roman"/>
          <w:sz w:val="24"/>
          <w:szCs w:val="24"/>
        </w:rPr>
        <w:t>D.ID.</w:t>
      </w:r>
      <w:r w:rsidR="003D1DDB">
        <w:rPr>
          <w:rFonts w:ascii="Times New Roman" w:hAnsi="Times New Roman" w:cs="Times New Roman"/>
          <w:sz w:val="24"/>
          <w:szCs w:val="24"/>
        </w:rPr>
        <w:t>8</w:t>
      </w:r>
      <w:r w:rsidR="001B5047">
        <w:rPr>
          <w:rFonts w:ascii="Times New Roman" w:hAnsi="Times New Roman" w:cs="Times New Roman"/>
          <w:sz w:val="24"/>
          <w:szCs w:val="24"/>
        </w:rPr>
        <w:t xml:space="preserve"> and the covering</w:t>
      </w:r>
      <w:r w:rsidR="001B5047" w:rsidRPr="001B5047">
        <w:rPr>
          <w:rFonts w:ascii="Times New Roman" w:hAnsi="Times New Roman" w:cs="Times New Roman"/>
          <w:sz w:val="24"/>
          <w:szCs w:val="24"/>
        </w:rPr>
        <w:t xml:space="preserve"> </w:t>
      </w:r>
      <w:r w:rsidRPr="001B5047">
        <w:rPr>
          <w:rFonts w:ascii="Times New Roman" w:hAnsi="Times New Roman" w:cs="Times New Roman"/>
          <w:color w:val="FF0000"/>
          <w:sz w:val="24"/>
          <w:szCs w:val="24"/>
        </w:rPr>
        <w:t xml:space="preserve"> </w:t>
      </w:r>
      <w:r w:rsidRPr="001B5047">
        <w:rPr>
          <w:rFonts w:ascii="Times New Roman" w:hAnsi="Times New Roman" w:cs="Times New Roman"/>
          <w:sz w:val="24"/>
          <w:szCs w:val="24"/>
        </w:rPr>
        <w:t>letter</w:t>
      </w:r>
      <w:r w:rsidRPr="00F141C8">
        <w:rPr>
          <w:rFonts w:ascii="Times New Roman" w:hAnsi="Times New Roman" w:cs="Times New Roman"/>
          <w:sz w:val="24"/>
          <w:szCs w:val="24"/>
        </w:rPr>
        <w:t xml:space="preserve"> from the Office of the Prime Minister that was marked as </w:t>
      </w:r>
      <w:r w:rsidR="0040494E">
        <w:rPr>
          <w:rFonts w:ascii="Times New Roman" w:hAnsi="Times New Roman" w:cs="Times New Roman"/>
          <w:sz w:val="24"/>
          <w:szCs w:val="24"/>
        </w:rPr>
        <w:t>D</w:t>
      </w:r>
      <w:r w:rsidR="0040494E" w:rsidRPr="001B5047">
        <w:rPr>
          <w:rFonts w:ascii="Times New Roman" w:hAnsi="Times New Roman" w:cs="Times New Roman"/>
          <w:sz w:val="24"/>
          <w:szCs w:val="24"/>
        </w:rPr>
        <w:t>.ID.</w:t>
      </w:r>
      <w:r w:rsidR="0040494E">
        <w:rPr>
          <w:rFonts w:ascii="Times New Roman" w:hAnsi="Times New Roman" w:cs="Times New Roman"/>
          <w:sz w:val="24"/>
          <w:szCs w:val="24"/>
        </w:rPr>
        <w:t>1</w:t>
      </w:r>
      <w:r w:rsidR="00C56F93">
        <w:rPr>
          <w:rFonts w:ascii="Times New Roman" w:hAnsi="Times New Roman" w:cs="Times New Roman"/>
          <w:sz w:val="24"/>
          <w:szCs w:val="24"/>
        </w:rPr>
        <w:t>0.</w:t>
      </w:r>
      <w:r w:rsidR="0040494E">
        <w:rPr>
          <w:rFonts w:ascii="Times New Roman" w:hAnsi="Times New Roman" w:cs="Times New Roman"/>
          <w:sz w:val="24"/>
          <w:szCs w:val="24"/>
        </w:rPr>
        <w:t xml:space="preserve"> </w:t>
      </w:r>
      <w:r w:rsidR="00C56F93">
        <w:rPr>
          <w:rFonts w:ascii="Times New Roman" w:hAnsi="Times New Roman" w:cs="Times New Roman"/>
          <w:sz w:val="24"/>
          <w:szCs w:val="24"/>
        </w:rPr>
        <w:t xml:space="preserve">They show that D.ID.1 </w:t>
      </w:r>
      <w:r w:rsidR="0040494E">
        <w:rPr>
          <w:rFonts w:ascii="Times New Roman" w:hAnsi="Times New Roman" w:cs="Times New Roman"/>
          <w:sz w:val="24"/>
          <w:szCs w:val="24"/>
        </w:rPr>
        <w:t>issued on 13</w:t>
      </w:r>
      <w:r w:rsidR="0040494E" w:rsidRPr="001B5047">
        <w:rPr>
          <w:rFonts w:ascii="Times New Roman" w:hAnsi="Times New Roman" w:cs="Times New Roman"/>
          <w:sz w:val="24"/>
          <w:szCs w:val="24"/>
          <w:vertAlign w:val="superscript"/>
        </w:rPr>
        <w:t>th</w:t>
      </w:r>
      <w:r w:rsidR="0040494E">
        <w:rPr>
          <w:rFonts w:ascii="Times New Roman" w:hAnsi="Times New Roman" w:cs="Times New Roman"/>
          <w:sz w:val="24"/>
          <w:szCs w:val="24"/>
        </w:rPr>
        <w:t xml:space="preserve"> November, 2014 and </w:t>
      </w:r>
      <w:r w:rsidR="001B5047" w:rsidRPr="001B5047">
        <w:rPr>
          <w:rFonts w:ascii="Times New Roman" w:hAnsi="Times New Roman" w:cs="Times New Roman"/>
          <w:sz w:val="24"/>
          <w:szCs w:val="24"/>
        </w:rPr>
        <w:t>D.ID.</w:t>
      </w:r>
      <w:r w:rsidR="001B5047">
        <w:rPr>
          <w:rFonts w:ascii="Times New Roman" w:hAnsi="Times New Roman" w:cs="Times New Roman"/>
          <w:sz w:val="24"/>
          <w:szCs w:val="24"/>
        </w:rPr>
        <w:t>2 issued on 8</w:t>
      </w:r>
      <w:r w:rsidR="001B5047" w:rsidRPr="001B5047">
        <w:rPr>
          <w:rFonts w:ascii="Times New Roman" w:hAnsi="Times New Roman" w:cs="Times New Roman"/>
          <w:sz w:val="24"/>
          <w:szCs w:val="24"/>
          <w:vertAlign w:val="superscript"/>
        </w:rPr>
        <w:t>th</w:t>
      </w:r>
      <w:r w:rsidR="001B5047">
        <w:rPr>
          <w:rFonts w:ascii="Times New Roman" w:hAnsi="Times New Roman" w:cs="Times New Roman"/>
          <w:sz w:val="24"/>
          <w:szCs w:val="24"/>
        </w:rPr>
        <w:t xml:space="preserve"> June, 2016 </w:t>
      </w:r>
      <w:r w:rsidR="0040494E">
        <w:rPr>
          <w:rFonts w:ascii="Times New Roman" w:hAnsi="Times New Roman" w:cs="Times New Roman"/>
          <w:sz w:val="24"/>
          <w:szCs w:val="24"/>
        </w:rPr>
        <w:t>respectively are</w:t>
      </w:r>
      <w:r w:rsidR="001B5047">
        <w:rPr>
          <w:rFonts w:ascii="Times New Roman" w:hAnsi="Times New Roman" w:cs="Times New Roman"/>
          <w:sz w:val="24"/>
          <w:szCs w:val="24"/>
        </w:rPr>
        <w:t xml:space="preserve"> in respect of Charles Ochan (the 6</w:t>
      </w:r>
      <w:r w:rsidR="001B5047" w:rsidRPr="001B5047">
        <w:rPr>
          <w:rFonts w:ascii="Times New Roman" w:hAnsi="Times New Roman" w:cs="Times New Roman"/>
          <w:sz w:val="24"/>
          <w:szCs w:val="24"/>
          <w:vertAlign w:val="superscript"/>
        </w:rPr>
        <w:t>th</w:t>
      </w:r>
      <w:r w:rsidR="001B5047">
        <w:rPr>
          <w:rFonts w:ascii="Times New Roman" w:hAnsi="Times New Roman" w:cs="Times New Roman"/>
          <w:sz w:val="24"/>
          <w:szCs w:val="24"/>
        </w:rPr>
        <w:t xml:space="preserve"> respondent). He was born </w:t>
      </w:r>
      <w:r w:rsidR="0040494E">
        <w:rPr>
          <w:rFonts w:ascii="Times New Roman" w:hAnsi="Times New Roman" w:cs="Times New Roman"/>
          <w:sz w:val="24"/>
          <w:szCs w:val="24"/>
        </w:rPr>
        <w:t>on 15</w:t>
      </w:r>
      <w:r w:rsidR="0040494E" w:rsidRPr="0040494E">
        <w:rPr>
          <w:rFonts w:ascii="Times New Roman" w:hAnsi="Times New Roman" w:cs="Times New Roman"/>
          <w:sz w:val="24"/>
          <w:szCs w:val="24"/>
          <w:vertAlign w:val="superscript"/>
        </w:rPr>
        <w:t>th</w:t>
      </w:r>
      <w:r w:rsidR="0040494E">
        <w:rPr>
          <w:rFonts w:ascii="Times New Roman" w:hAnsi="Times New Roman" w:cs="Times New Roman"/>
          <w:sz w:val="24"/>
          <w:szCs w:val="24"/>
        </w:rPr>
        <w:t xml:space="preserve"> April,</w:t>
      </w:r>
      <w:r w:rsidR="001B5047">
        <w:rPr>
          <w:rFonts w:ascii="Times New Roman" w:hAnsi="Times New Roman" w:cs="Times New Roman"/>
          <w:sz w:val="24"/>
          <w:szCs w:val="24"/>
        </w:rPr>
        <w:t xml:space="preserve"> 1975 and his nationality is stated to be South Sudanese. </w:t>
      </w:r>
      <w:r w:rsidR="001B5047" w:rsidRPr="001B5047">
        <w:rPr>
          <w:rFonts w:ascii="Times New Roman" w:hAnsi="Times New Roman" w:cs="Times New Roman"/>
          <w:sz w:val="24"/>
          <w:szCs w:val="24"/>
        </w:rPr>
        <w:t>D.ID.</w:t>
      </w:r>
      <w:r w:rsidR="001B5047">
        <w:rPr>
          <w:rFonts w:ascii="Times New Roman" w:hAnsi="Times New Roman" w:cs="Times New Roman"/>
          <w:sz w:val="24"/>
          <w:szCs w:val="24"/>
        </w:rPr>
        <w:t>3 issued on 13</w:t>
      </w:r>
      <w:r w:rsidR="001B5047" w:rsidRPr="001B5047">
        <w:rPr>
          <w:rFonts w:ascii="Times New Roman" w:hAnsi="Times New Roman" w:cs="Times New Roman"/>
          <w:sz w:val="24"/>
          <w:szCs w:val="24"/>
          <w:vertAlign w:val="superscript"/>
        </w:rPr>
        <w:t>th</w:t>
      </w:r>
      <w:r w:rsidR="001B5047">
        <w:rPr>
          <w:rFonts w:ascii="Times New Roman" w:hAnsi="Times New Roman" w:cs="Times New Roman"/>
          <w:sz w:val="24"/>
          <w:szCs w:val="24"/>
        </w:rPr>
        <w:t xml:space="preserve"> November, 2014 and </w:t>
      </w:r>
      <w:r w:rsidR="001B5047" w:rsidRPr="001B5047">
        <w:rPr>
          <w:rFonts w:ascii="Times New Roman" w:hAnsi="Times New Roman" w:cs="Times New Roman"/>
          <w:sz w:val="24"/>
          <w:szCs w:val="24"/>
        </w:rPr>
        <w:t>D.ID.</w:t>
      </w:r>
      <w:r w:rsidR="001B5047">
        <w:rPr>
          <w:rFonts w:ascii="Times New Roman" w:hAnsi="Times New Roman" w:cs="Times New Roman"/>
          <w:sz w:val="24"/>
          <w:szCs w:val="24"/>
        </w:rPr>
        <w:t>4 issued on 8</w:t>
      </w:r>
      <w:r w:rsidR="001B5047" w:rsidRPr="001B5047">
        <w:rPr>
          <w:rFonts w:ascii="Times New Roman" w:hAnsi="Times New Roman" w:cs="Times New Roman"/>
          <w:sz w:val="24"/>
          <w:szCs w:val="24"/>
          <w:vertAlign w:val="superscript"/>
        </w:rPr>
        <w:t>th</w:t>
      </w:r>
      <w:r w:rsidR="001B5047">
        <w:rPr>
          <w:rFonts w:ascii="Times New Roman" w:hAnsi="Times New Roman" w:cs="Times New Roman"/>
          <w:sz w:val="24"/>
          <w:szCs w:val="24"/>
        </w:rPr>
        <w:t xml:space="preserve"> June, 2016 respectively are in respect of Peter Ongon Oola (the 4</w:t>
      </w:r>
      <w:r w:rsidR="001B5047" w:rsidRPr="001B5047">
        <w:rPr>
          <w:rFonts w:ascii="Times New Roman" w:hAnsi="Times New Roman" w:cs="Times New Roman"/>
          <w:sz w:val="24"/>
          <w:szCs w:val="24"/>
          <w:vertAlign w:val="superscript"/>
        </w:rPr>
        <w:t>th</w:t>
      </w:r>
      <w:r w:rsidR="001B5047">
        <w:rPr>
          <w:rFonts w:ascii="Times New Roman" w:hAnsi="Times New Roman" w:cs="Times New Roman"/>
          <w:sz w:val="24"/>
          <w:szCs w:val="24"/>
        </w:rPr>
        <w:t xml:space="preserve"> respondent). He was born </w:t>
      </w:r>
      <w:r w:rsidR="0040494E">
        <w:rPr>
          <w:rFonts w:ascii="Times New Roman" w:hAnsi="Times New Roman" w:cs="Times New Roman"/>
          <w:sz w:val="24"/>
          <w:szCs w:val="24"/>
        </w:rPr>
        <w:t>on 4</w:t>
      </w:r>
      <w:r w:rsidR="0040494E" w:rsidRPr="0040494E">
        <w:rPr>
          <w:rFonts w:ascii="Times New Roman" w:hAnsi="Times New Roman" w:cs="Times New Roman"/>
          <w:sz w:val="24"/>
          <w:szCs w:val="24"/>
          <w:vertAlign w:val="superscript"/>
        </w:rPr>
        <w:t>th</w:t>
      </w:r>
      <w:r w:rsidR="0040494E">
        <w:rPr>
          <w:rFonts w:ascii="Times New Roman" w:hAnsi="Times New Roman" w:cs="Times New Roman"/>
          <w:sz w:val="24"/>
          <w:szCs w:val="24"/>
        </w:rPr>
        <w:t xml:space="preserve"> April, </w:t>
      </w:r>
      <w:r w:rsidR="001B5047">
        <w:rPr>
          <w:rFonts w:ascii="Times New Roman" w:hAnsi="Times New Roman" w:cs="Times New Roman"/>
          <w:sz w:val="24"/>
          <w:szCs w:val="24"/>
        </w:rPr>
        <w:t xml:space="preserve"> 1977 and his nationality is stated to be South Sudanese.</w:t>
      </w:r>
      <w:r w:rsidR="001B5047" w:rsidRPr="001B5047">
        <w:rPr>
          <w:rFonts w:ascii="Times New Roman" w:hAnsi="Times New Roman" w:cs="Times New Roman"/>
          <w:sz w:val="24"/>
          <w:szCs w:val="24"/>
        </w:rPr>
        <w:t xml:space="preserve"> D.ID.</w:t>
      </w:r>
      <w:r w:rsidR="001B5047">
        <w:rPr>
          <w:rFonts w:ascii="Times New Roman" w:hAnsi="Times New Roman" w:cs="Times New Roman"/>
          <w:sz w:val="24"/>
          <w:szCs w:val="24"/>
        </w:rPr>
        <w:t>5 issued on 13</w:t>
      </w:r>
      <w:r w:rsidR="001B5047" w:rsidRPr="001B5047">
        <w:rPr>
          <w:rFonts w:ascii="Times New Roman" w:hAnsi="Times New Roman" w:cs="Times New Roman"/>
          <w:sz w:val="24"/>
          <w:szCs w:val="24"/>
          <w:vertAlign w:val="superscript"/>
        </w:rPr>
        <w:t>th</w:t>
      </w:r>
      <w:r w:rsidR="001B5047">
        <w:rPr>
          <w:rFonts w:ascii="Times New Roman" w:hAnsi="Times New Roman" w:cs="Times New Roman"/>
          <w:sz w:val="24"/>
          <w:szCs w:val="24"/>
        </w:rPr>
        <w:t xml:space="preserve"> November, 2014 and </w:t>
      </w:r>
      <w:r w:rsidR="001B5047" w:rsidRPr="001B5047">
        <w:rPr>
          <w:rFonts w:ascii="Times New Roman" w:hAnsi="Times New Roman" w:cs="Times New Roman"/>
          <w:sz w:val="24"/>
          <w:szCs w:val="24"/>
        </w:rPr>
        <w:t>D.ID.</w:t>
      </w:r>
      <w:r w:rsidR="001B5047">
        <w:rPr>
          <w:rFonts w:ascii="Times New Roman" w:hAnsi="Times New Roman" w:cs="Times New Roman"/>
          <w:sz w:val="24"/>
          <w:szCs w:val="24"/>
        </w:rPr>
        <w:t>6 issued on 8</w:t>
      </w:r>
      <w:r w:rsidR="001B5047" w:rsidRPr="001B5047">
        <w:rPr>
          <w:rFonts w:ascii="Times New Roman" w:hAnsi="Times New Roman" w:cs="Times New Roman"/>
          <w:sz w:val="24"/>
          <w:szCs w:val="24"/>
          <w:vertAlign w:val="superscript"/>
        </w:rPr>
        <w:t>th</w:t>
      </w:r>
      <w:r w:rsidR="001B5047">
        <w:rPr>
          <w:rFonts w:ascii="Times New Roman" w:hAnsi="Times New Roman" w:cs="Times New Roman"/>
          <w:sz w:val="24"/>
          <w:szCs w:val="24"/>
        </w:rPr>
        <w:t xml:space="preserve"> June, 2016 respectively are in respect of Komakech Mario (the 5</w:t>
      </w:r>
      <w:r w:rsidR="001B5047" w:rsidRPr="001B5047">
        <w:rPr>
          <w:rFonts w:ascii="Times New Roman" w:hAnsi="Times New Roman" w:cs="Times New Roman"/>
          <w:sz w:val="24"/>
          <w:szCs w:val="24"/>
          <w:vertAlign w:val="superscript"/>
        </w:rPr>
        <w:t>th</w:t>
      </w:r>
      <w:r w:rsidR="001B5047">
        <w:rPr>
          <w:rFonts w:ascii="Times New Roman" w:hAnsi="Times New Roman" w:cs="Times New Roman"/>
          <w:sz w:val="24"/>
          <w:szCs w:val="24"/>
        </w:rPr>
        <w:t xml:space="preserve"> respondent). He was born </w:t>
      </w:r>
      <w:r w:rsidR="0040494E">
        <w:rPr>
          <w:rFonts w:ascii="Times New Roman" w:hAnsi="Times New Roman" w:cs="Times New Roman"/>
          <w:sz w:val="24"/>
          <w:szCs w:val="24"/>
        </w:rPr>
        <w:t>on</w:t>
      </w:r>
      <w:r w:rsidR="001B5047">
        <w:rPr>
          <w:rFonts w:ascii="Times New Roman" w:hAnsi="Times New Roman" w:cs="Times New Roman"/>
          <w:sz w:val="24"/>
          <w:szCs w:val="24"/>
        </w:rPr>
        <w:t xml:space="preserve"> </w:t>
      </w:r>
      <w:r w:rsidR="0040494E">
        <w:rPr>
          <w:rFonts w:ascii="Times New Roman" w:hAnsi="Times New Roman" w:cs="Times New Roman"/>
          <w:sz w:val="24"/>
          <w:szCs w:val="24"/>
        </w:rPr>
        <w:t>1</w:t>
      </w:r>
      <w:r w:rsidR="0040494E">
        <w:rPr>
          <w:rFonts w:ascii="Times New Roman" w:hAnsi="Times New Roman" w:cs="Times New Roman"/>
          <w:sz w:val="24"/>
          <w:szCs w:val="24"/>
          <w:vertAlign w:val="superscript"/>
        </w:rPr>
        <w:t>st</w:t>
      </w:r>
      <w:r w:rsidR="0040494E">
        <w:rPr>
          <w:rFonts w:ascii="Times New Roman" w:hAnsi="Times New Roman" w:cs="Times New Roman"/>
          <w:sz w:val="24"/>
          <w:szCs w:val="24"/>
        </w:rPr>
        <w:t xml:space="preserve"> January, </w:t>
      </w:r>
      <w:r w:rsidR="001B5047">
        <w:rPr>
          <w:rFonts w:ascii="Times New Roman" w:hAnsi="Times New Roman" w:cs="Times New Roman"/>
          <w:sz w:val="24"/>
          <w:szCs w:val="24"/>
        </w:rPr>
        <w:t>19</w:t>
      </w:r>
      <w:r w:rsidR="0040494E">
        <w:rPr>
          <w:rFonts w:ascii="Times New Roman" w:hAnsi="Times New Roman" w:cs="Times New Roman"/>
          <w:sz w:val="24"/>
          <w:szCs w:val="24"/>
        </w:rPr>
        <w:t>83</w:t>
      </w:r>
      <w:r w:rsidR="001B5047">
        <w:rPr>
          <w:rFonts w:ascii="Times New Roman" w:hAnsi="Times New Roman" w:cs="Times New Roman"/>
          <w:sz w:val="24"/>
          <w:szCs w:val="24"/>
        </w:rPr>
        <w:t xml:space="preserve"> and his nationality is stated to be South Sudanese.</w:t>
      </w:r>
      <w:r w:rsidR="001B5047" w:rsidRPr="001B5047">
        <w:rPr>
          <w:rFonts w:ascii="Times New Roman" w:hAnsi="Times New Roman" w:cs="Times New Roman"/>
          <w:sz w:val="24"/>
          <w:szCs w:val="24"/>
        </w:rPr>
        <w:t xml:space="preserve"> D.ID.</w:t>
      </w:r>
      <w:r w:rsidR="001B5047">
        <w:rPr>
          <w:rFonts w:ascii="Times New Roman" w:hAnsi="Times New Roman" w:cs="Times New Roman"/>
          <w:sz w:val="24"/>
          <w:szCs w:val="24"/>
        </w:rPr>
        <w:t>7 issued on 13</w:t>
      </w:r>
      <w:r w:rsidR="001B5047" w:rsidRPr="001B5047">
        <w:rPr>
          <w:rFonts w:ascii="Times New Roman" w:hAnsi="Times New Roman" w:cs="Times New Roman"/>
          <w:sz w:val="24"/>
          <w:szCs w:val="24"/>
          <w:vertAlign w:val="superscript"/>
        </w:rPr>
        <w:t>th</w:t>
      </w:r>
      <w:r w:rsidR="001B5047">
        <w:rPr>
          <w:rFonts w:ascii="Times New Roman" w:hAnsi="Times New Roman" w:cs="Times New Roman"/>
          <w:sz w:val="24"/>
          <w:szCs w:val="24"/>
        </w:rPr>
        <w:t xml:space="preserve"> November, 2014 and </w:t>
      </w:r>
      <w:r w:rsidR="001B5047" w:rsidRPr="001B5047">
        <w:rPr>
          <w:rFonts w:ascii="Times New Roman" w:hAnsi="Times New Roman" w:cs="Times New Roman"/>
          <w:sz w:val="24"/>
          <w:szCs w:val="24"/>
        </w:rPr>
        <w:t>D.ID.</w:t>
      </w:r>
      <w:r w:rsidR="001B5047">
        <w:rPr>
          <w:rFonts w:ascii="Times New Roman" w:hAnsi="Times New Roman" w:cs="Times New Roman"/>
          <w:sz w:val="24"/>
          <w:szCs w:val="24"/>
        </w:rPr>
        <w:t>4 issued on 8</w:t>
      </w:r>
      <w:r w:rsidR="001B5047" w:rsidRPr="001B5047">
        <w:rPr>
          <w:rFonts w:ascii="Times New Roman" w:hAnsi="Times New Roman" w:cs="Times New Roman"/>
          <w:sz w:val="24"/>
          <w:szCs w:val="24"/>
          <w:vertAlign w:val="superscript"/>
        </w:rPr>
        <w:t>th</w:t>
      </w:r>
      <w:r w:rsidR="001B5047">
        <w:rPr>
          <w:rFonts w:ascii="Times New Roman" w:hAnsi="Times New Roman" w:cs="Times New Roman"/>
          <w:sz w:val="24"/>
          <w:szCs w:val="24"/>
        </w:rPr>
        <w:t xml:space="preserve"> June, 2016 respectively are in respect of </w:t>
      </w:r>
      <w:r w:rsidR="0040494E">
        <w:rPr>
          <w:rFonts w:ascii="Times New Roman" w:hAnsi="Times New Roman" w:cs="Times New Roman"/>
          <w:sz w:val="24"/>
          <w:szCs w:val="24"/>
        </w:rPr>
        <w:t>Paul Okeny</w:t>
      </w:r>
      <w:r w:rsidR="001B5047">
        <w:rPr>
          <w:rFonts w:ascii="Times New Roman" w:hAnsi="Times New Roman" w:cs="Times New Roman"/>
          <w:sz w:val="24"/>
          <w:szCs w:val="24"/>
        </w:rPr>
        <w:t xml:space="preserve"> (</w:t>
      </w:r>
      <w:r w:rsidR="0040494E">
        <w:rPr>
          <w:rFonts w:ascii="Times New Roman" w:hAnsi="Times New Roman" w:cs="Times New Roman"/>
          <w:sz w:val="24"/>
          <w:szCs w:val="24"/>
        </w:rPr>
        <w:t xml:space="preserve">Taban Paul, </w:t>
      </w:r>
      <w:r w:rsidR="001B5047">
        <w:rPr>
          <w:rFonts w:ascii="Times New Roman" w:hAnsi="Times New Roman" w:cs="Times New Roman"/>
          <w:sz w:val="24"/>
          <w:szCs w:val="24"/>
        </w:rPr>
        <w:t xml:space="preserve">the </w:t>
      </w:r>
      <w:r w:rsidR="0040494E" w:rsidRPr="0040494E">
        <w:rPr>
          <w:rFonts w:ascii="Times New Roman" w:hAnsi="Times New Roman" w:cs="Times New Roman"/>
          <w:sz w:val="24"/>
          <w:szCs w:val="24"/>
        </w:rPr>
        <w:t>3</w:t>
      </w:r>
      <w:r w:rsidR="0040494E" w:rsidRPr="0040494E">
        <w:rPr>
          <w:rFonts w:ascii="Times New Roman" w:hAnsi="Times New Roman" w:cs="Times New Roman"/>
          <w:sz w:val="24"/>
          <w:szCs w:val="24"/>
          <w:vertAlign w:val="superscript"/>
        </w:rPr>
        <w:t>rd</w:t>
      </w:r>
      <w:r w:rsidR="001B5047" w:rsidRPr="0040494E">
        <w:rPr>
          <w:rFonts w:ascii="Times New Roman" w:hAnsi="Times New Roman" w:cs="Times New Roman"/>
          <w:sz w:val="24"/>
          <w:szCs w:val="24"/>
        </w:rPr>
        <w:t xml:space="preserve"> respondent). He was born </w:t>
      </w:r>
      <w:r w:rsidR="0040494E" w:rsidRPr="0040494E">
        <w:rPr>
          <w:rFonts w:ascii="Times New Roman" w:hAnsi="Times New Roman" w:cs="Times New Roman"/>
          <w:sz w:val="24"/>
          <w:szCs w:val="24"/>
        </w:rPr>
        <w:t>on</w:t>
      </w:r>
      <w:r w:rsidR="001B5047" w:rsidRPr="0040494E">
        <w:rPr>
          <w:rFonts w:ascii="Times New Roman" w:hAnsi="Times New Roman" w:cs="Times New Roman"/>
          <w:sz w:val="24"/>
          <w:szCs w:val="24"/>
        </w:rPr>
        <w:t xml:space="preserve"> </w:t>
      </w:r>
      <w:r w:rsidR="0040494E" w:rsidRPr="0040494E">
        <w:rPr>
          <w:rFonts w:ascii="Times New Roman" w:hAnsi="Times New Roman" w:cs="Times New Roman"/>
          <w:sz w:val="24"/>
          <w:szCs w:val="24"/>
        </w:rPr>
        <w:t>12</w:t>
      </w:r>
      <w:r w:rsidR="0040494E" w:rsidRPr="0040494E">
        <w:rPr>
          <w:rFonts w:ascii="Times New Roman" w:hAnsi="Times New Roman" w:cs="Times New Roman"/>
          <w:sz w:val="24"/>
          <w:szCs w:val="24"/>
          <w:vertAlign w:val="superscript"/>
        </w:rPr>
        <w:t>th</w:t>
      </w:r>
      <w:r w:rsidR="0040494E" w:rsidRPr="0040494E">
        <w:rPr>
          <w:rFonts w:ascii="Times New Roman" w:hAnsi="Times New Roman" w:cs="Times New Roman"/>
          <w:sz w:val="24"/>
          <w:szCs w:val="24"/>
        </w:rPr>
        <w:t xml:space="preserve"> December, </w:t>
      </w:r>
      <w:r w:rsidR="001B5047" w:rsidRPr="0040494E">
        <w:rPr>
          <w:rFonts w:ascii="Times New Roman" w:hAnsi="Times New Roman" w:cs="Times New Roman"/>
          <w:sz w:val="24"/>
          <w:szCs w:val="24"/>
        </w:rPr>
        <w:t>19</w:t>
      </w:r>
      <w:r w:rsidR="0040494E" w:rsidRPr="0040494E">
        <w:rPr>
          <w:rFonts w:ascii="Times New Roman" w:hAnsi="Times New Roman" w:cs="Times New Roman"/>
          <w:sz w:val="24"/>
          <w:szCs w:val="24"/>
        </w:rPr>
        <w:t>69</w:t>
      </w:r>
      <w:r w:rsidR="001B5047" w:rsidRPr="0040494E">
        <w:rPr>
          <w:rFonts w:ascii="Times New Roman" w:hAnsi="Times New Roman" w:cs="Times New Roman"/>
          <w:sz w:val="24"/>
          <w:szCs w:val="24"/>
        </w:rPr>
        <w:t xml:space="preserve"> and his nationality is stated to be South Sudan.</w:t>
      </w:r>
      <w:r w:rsidR="0040494E" w:rsidRPr="0040494E">
        <w:rPr>
          <w:rFonts w:ascii="Times New Roman" w:hAnsi="Times New Roman" w:cs="Times New Roman"/>
          <w:sz w:val="24"/>
          <w:szCs w:val="24"/>
        </w:rPr>
        <w:t xml:space="preserve"> D.ID</w:t>
      </w:r>
      <w:r w:rsidR="00181ACC">
        <w:rPr>
          <w:rFonts w:ascii="Times New Roman" w:hAnsi="Times New Roman" w:cs="Times New Roman"/>
          <w:sz w:val="24"/>
          <w:szCs w:val="24"/>
        </w:rPr>
        <w:t xml:space="preserve">. 10 is a letter from the Office of the Prime </w:t>
      </w:r>
      <w:r w:rsidR="007E2ABD">
        <w:rPr>
          <w:rFonts w:ascii="Times New Roman" w:hAnsi="Times New Roman" w:cs="Times New Roman"/>
          <w:sz w:val="24"/>
          <w:szCs w:val="24"/>
        </w:rPr>
        <w:t>Minister</w:t>
      </w:r>
      <w:r w:rsidR="00181ACC">
        <w:rPr>
          <w:rFonts w:ascii="Times New Roman" w:hAnsi="Times New Roman" w:cs="Times New Roman"/>
          <w:sz w:val="24"/>
          <w:szCs w:val="24"/>
        </w:rPr>
        <w:t xml:space="preserve"> dated 2</w:t>
      </w:r>
      <w:r w:rsidR="00181ACC">
        <w:rPr>
          <w:rFonts w:ascii="Times New Roman" w:hAnsi="Times New Roman" w:cs="Times New Roman"/>
          <w:sz w:val="24"/>
          <w:szCs w:val="24"/>
          <w:vertAlign w:val="superscript"/>
        </w:rPr>
        <w:t>nd</w:t>
      </w:r>
      <w:r w:rsidR="00181ACC">
        <w:rPr>
          <w:rFonts w:ascii="Times New Roman" w:hAnsi="Times New Roman" w:cs="Times New Roman"/>
          <w:sz w:val="24"/>
          <w:szCs w:val="24"/>
        </w:rPr>
        <w:t xml:space="preserve"> November, 2016. It not only mentions the 3</w:t>
      </w:r>
      <w:r w:rsidR="00181ACC" w:rsidRPr="00181ACC">
        <w:rPr>
          <w:rFonts w:ascii="Times New Roman" w:hAnsi="Times New Roman" w:cs="Times New Roman"/>
          <w:sz w:val="24"/>
          <w:szCs w:val="24"/>
          <w:vertAlign w:val="superscript"/>
        </w:rPr>
        <w:t>rd</w:t>
      </w:r>
      <w:r w:rsidR="00181ACC">
        <w:rPr>
          <w:rFonts w:ascii="Times New Roman" w:hAnsi="Times New Roman" w:cs="Times New Roman"/>
          <w:sz w:val="24"/>
          <w:szCs w:val="24"/>
        </w:rPr>
        <w:t>, 4</w:t>
      </w:r>
      <w:r w:rsidR="00181ACC" w:rsidRPr="00181ACC">
        <w:rPr>
          <w:rFonts w:ascii="Times New Roman" w:hAnsi="Times New Roman" w:cs="Times New Roman"/>
          <w:sz w:val="24"/>
          <w:szCs w:val="24"/>
          <w:vertAlign w:val="superscript"/>
        </w:rPr>
        <w:t>th</w:t>
      </w:r>
      <w:r w:rsidR="00181ACC">
        <w:rPr>
          <w:rFonts w:ascii="Times New Roman" w:hAnsi="Times New Roman" w:cs="Times New Roman"/>
          <w:sz w:val="24"/>
          <w:szCs w:val="24"/>
        </w:rPr>
        <w:t>, 5</w:t>
      </w:r>
      <w:r w:rsidR="00181ACC" w:rsidRPr="00181ACC">
        <w:rPr>
          <w:rFonts w:ascii="Times New Roman" w:hAnsi="Times New Roman" w:cs="Times New Roman"/>
          <w:sz w:val="24"/>
          <w:szCs w:val="24"/>
          <w:vertAlign w:val="superscript"/>
        </w:rPr>
        <w:t>th</w:t>
      </w:r>
      <w:r w:rsidR="00181ACC">
        <w:rPr>
          <w:rFonts w:ascii="Times New Roman" w:hAnsi="Times New Roman" w:cs="Times New Roman"/>
          <w:sz w:val="24"/>
          <w:szCs w:val="24"/>
        </w:rPr>
        <w:t>, and 6</w:t>
      </w:r>
      <w:r w:rsidR="00181ACC" w:rsidRPr="00181ACC">
        <w:rPr>
          <w:rFonts w:ascii="Times New Roman" w:hAnsi="Times New Roman" w:cs="Times New Roman"/>
          <w:sz w:val="24"/>
          <w:szCs w:val="24"/>
          <w:vertAlign w:val="superscript"/>
        </w:rPr>
        <w:t>th</w:t>
      </w:r>
      <w:r w:rsidR="00181ACC">
        <w:rPr>
          <w:rFonts w:ascii="Times New Roman" w:hAnsi="Times New Roman" w:cs="Times New Roman"/>
          <w:sz w:val="24"/>
          <w:szCs w:val="24"/>
        </w:rPr>
        <w:t xml:space="preserve"> respondents as refugees from South Sudan </w:t>
      </w:r>
      <w:r w:rsidR="007E2ABD">
        <w:rPr>
          <w:rFonts w:ascii="Times New Roman" w:hAnsi="Times New Roman" w:cs="Times New Roman"/>
          <w:sz w:val="24"/>
          <w:szCs w:val="24"/>
        </w:rPr>
        <w:t xml:space="preserve">who arrived on 1st January, 189 and were </w:t>
      </w:r>
      <w:r w:rsidR="00181ACC">
        <w:rPr>
          <w:rFonts w:ascii="Times New Roman" w:hAnsi="Times New Roman" w:cs="Times New Roman"/>
          <w:sz w:val="24"/>
          <w:szCs w:val="24"/>
        </w:rPr>
        <w:t>registered with that office</w:t>
      </w:r>
      <w:r w:rsidR="007E2ABD">
        <w:rPr>
          <w:rFonts w:ascii="Times New Roman" w:hAnsi="Times New Roman" w:cs="Times New Roman"/>
          <w:sz w:val="24"/>
          <w:szCs w:val="24"/>
        </w:rPr>
        <w:t xml:space="preserve"> on diverse dates thereafter</w:t>
      </w:r>
      <w:r w:rsidR="00181ACC">
        <w:rPr>
          <w:rFonts w:ascii="Times New Roman" w:hAnsi="Times New Roman" w:cs="Times New Roman"/>
          <w:sz w:val="24"/>
          <w:szCs w:val="24"/>
        </w:rPr>
        <w:t xml:space="preserve">, but it also lists </w:t>
      </w:r>
      <w:r w:rsidR="007E2ABD">
        <w:rPr>
          <w:rFonts w:ascii="Times New Roman" w:hAnsi="Times New Roman" w:cs="Times New Roman"/>
          <w:sz w:val="24"/>
          <w:szCs w:val="24"/>
        </w:rPr>
        <w:t>Angelina Latto, the 7</w:t>
      </w:r>
      <w:r w:rsidR="007E2ABD" w:rsidRPr="007E2ABD">
        <w:rPr>
          <w:rFonts w:ascii="Times New Roman" w:hAnsi="Times New Roman" w:cs="Times New Roman"/>
          <w:sz w:val="24"/>
          <w:szCs w:val="24"/>
          <w:vertAlign w:val="superscript"/>
        </w:rPr>
        <w:t>th</w:t>
      </w:r>
      <w:r w:rsidR="007E2ABD">
        <w:rPr>
          <w:rFonts w:ascii="Times New Roman" w:hAnsi="Times New Roman" w:cs="Times New Roman"/>
          <w:sz w:val="24"/>
          <w:szCs w:val="24"/>
        </w:rPr>
        <w:t xml:space="preserve"> respondent, among them. She arrived on 1</w:t>
      </w:r>
      <w:r w:rsidR="007E2ABD" w:rsidRPr="007E2ABD">
        <w:rPr>
          <w:rFonts w:ascii="Times New Roman" w:hAnsi="Times New Roman" w:cs="Times New Roman"/>
          <w:sz w:val="24"/>
          <w:szCs w:val="24"/>
          <w:vertAlign w:val="superscript"/>
        </w:rPr>
        <w:t>st</w:t>
      </w:r>
      <w:r w:rsidR="007E2ABD">
        <w:rPr>
          <w:rFonts w:ascii="Times New Roman" w:hAnsi="Times New Roman" w:cs="Times New Roman"/>
          <w:sz w:val="24"/>
          <w:szCs w:val="24"/>
        </w:rPr>
        <w:t xml:space="preserve"> March, 1989 and was registered on 22</w:t>
      </w:r>
      <w:r w:rsidR="007E2ABD" w:rsidRPr="007E2ABD">
        <w:rPr>
          <w:rFonts w:ascii="Times New Roman" w:hAnsi="Times New Roman" w:cs="Times New Roman"/>
          <w:sz w:val="24"/>
          <w:szCs w:val="24"/>
          <w:vertAlign w:val="superscript"/>
        </w:rPr>
        <w:t>nd</w:t>
      </w:r>
      <w:r w:rsidR="007E2ABD">
        <w:rPr>
          <w:rFonts w:ascii="Times New Roman" w:hAnsi="Times New Roman" w:cs="Times New Roman"/>
          <w:sz w:val="24"/>
          <w:szCs w:val="24"/>
        </w:rPr>
        <w:t xml:space="preserve"> March, 2005.</w:t>
      </w:r>
    </w:p>
    <w:p w:rsidR="00755769" w:rsidRPr="00F141C8" w:rsidRDefault="009E08FC" w:rsidP="004C46EE">
      <w:pPr>
        <w:spacing w:after="0" w:line="360" w:lineRule="auto"/>
        <w:jc w:val="both"/>
        <w:rPr>
          <w:rFonts w:ascii="Times New Roman" w:hAnsi="Times New Roman" w:cs="Times New Roman"/>
          <w:sz w:val="24"/>
          <w:szCs w:val="24"/>
        </w:rPr>
      </w:pPr>
      <w:r w:rsidRPr="0040494E">
        <w:rPr>
          <w:rFonts w:ascii="Times New Roman" w:hAnsi="Times New Roman" w:cs="Times New Roman"/>
          <w:sz w:val="24"/>
          <w:szCs w:val="24"/>
        </w:rPr>
        <w:lastRenderedPageBreak/>
        <w:t>Each</w:t>
      </w:r>
      <w:r w:rsidR="00F141C8" w:rsidRPr="0040494E">
        <w:rPr>
          <w:rFonts w:ascii="Times New Roman" w:hAnsi="Times New Roman" w:cs="Times New Roman"/>
          <w:sz w:val="24"/>
          <w:szCs w:val="24"/>
        </w:rPr>
        <w:t xml:space="preserve"> </w:t>
      </w:r>
      <w:r w:rsidR="007E2ABD">
        <w:rPr>
          <w:rFonts w:ascii="Times New Roman" w:hAnsi="Times New Roman" w:cs="Times New Roman"/>
          <w:sz w:val="24"/>
          <w:szCs w:val="24"/>
        </w:rPr>
        <w:t xml:space="preserve">set of documents marked D.ID.1 to </w:t>
      </w:r>
      <w:r w:rsidR="003D1DDB">
        <w:rPr>
          <w:rFonts w:ascii="Times New Roman" w:hAnsi="Times New Roman" w:cs="Times New Roman"/>
          <w:sz w:val="24"/>
          <w:szCs w:val="24"/>
        </w:rPr>
        <w:t xml:space="preserve">D.ID.8 and </w:t>
      </w:r>
      <w:r w:rsidR="007E2ABD">
        <w:rPr>
          <w:rFonts w:ascii="Times New Roman" w:hAnsi="Times New Roman" w:cs="Times New Roman"/>
          <w:sz w:val="24"/>
          <w:szCs w:val="24"/>
        </w:rPr>
        <w:t>D.ID.10 in respect of each of the persons named</w:t>
      </w:r>
      <w:r w:rsidR="00C56F93">
        <w:rPr>
          <w:rFonts w:ascii="Times New Roman" w:hAnsi="Times New Roman" w:cs="Times New Roman"/>
          <w:sz w:val="24"/>
          <w:szCs w:val="24"/>
        </w:rPr>
        <w:t>,</w:t>
      </w:r>
      <w:r w:rsidR="007E2ABD">
        <w:rPr>
          <w:rFonts w:ascii="Times New Roman" w:hAnsi="Times New Roman" w:cs="Times New Roman"/>
          <w:sz w:val="24"/>
          <w:szCs w:val="24"/>
        </w:rPr>
        <w:t xml:space="preserve"> </w:t>
      </w:r>
      <w:r w:rsidR="00F141C8" w:rsidRPr="0040494E">
        <w:rPr>
          <w:rFonts w:ascii="Times New Roman" w:hAnsi="Times New Roman" w:cs="Times New Roman"/>
          <w:sz w:val="24"/>
          <w:szCs w:val="24"/>
        </w:rPr>
        <w:t>bear</w:t>
      </w:r>
      <w:r w:rsidRPr="0040494E">
        <w:rPr>
          <w:rFonts w:ascii="Times New Roman" w:hAnsi="Times New Roman" w:cs="Times New Roman"/>
          <w:sz w:val="24"/>
          <w:szCs w:val="24"/>
        </w:rPr>
        <w:t>s</w:t>
      </w:r>
      <w:r w:rsidR="00F141C8" w:rsidRPr="0040494E">
        <w:rPr>
          <w:rFonts w:ascii="Times New Roman" w:hAnsi="Times New Roman" w:cs="Times New Roman"/>
          <w:sz w:val="24"/>
          <w:szCs w:val="24"/>
        </w:rPr>
        <w:t xml:space="preserve"> </w:t>
      </w:r>
      <w:r w:rsidRPr="0040494E">
        <w:rPr>
          <w:rFonts w:ascii="Times New Roman" w:hAnsi="Times New Roman" w:cs="Times New Roman"/>
          <w:sz w:val="24"/>
          <w:szCs w:val="24"/>
        </w:rPr>
        <w:t xml:space="preserve">a certificate written </w:t>
      </w:r>
      <w:r w:rsidR="003D1DDB">
        <w:rPr>
          <w:rFonts w:ascii="Times New Roman" w:hAnsi="Times New Roman" w:cs="Times New Roman"/>
          <w:sz w:val="24"/>
          <w:szCs w:val="24"/>
        </w:rPr>
        <w:t>underneath the bio-data of each of the named persons</w:t>
      </w:r>
      <w:r w:rsidRPr="0040494E">
        <w:rPr>
          <w:rFonts w:ascii="Times New Roman" w:hAnsi="Times New Roman" w:cs="Times New Roman"/>
          <w:sz w:val="24"/>
          <w:szCs w:val="24"/>
        </w:rPr>
        <w:t xml:space="preserve"> that </w:t>
      </w:r>
      <w:r w:rsidR="003D1DDB">
        <w:rPr>
          <w:rFonts w:ascii="Times New Roman" w:hAnsi="Times New Roman" w:cs="Times New Roman"/>
          <w:sz w:val="24"/>
          <w:szCs w:val="24"/>
        </w:rPr>
        <w:t>they are registered with the office as refugees</w:t>
      </w:r>
      <w:r>
        <w:rPr>
          <w:rFonts w:ascii="Times New Roman" w:hAnsi="Times New Roman" w:cs="Times New Roman"/>
          <w:sz w:val="24"/>
          <w:szCs w:val="24"/>
        </w:rPr>
        <w:t xml:space="preserve">, </w:t>
      </w:r>
      <w:r w:rsidR="003D1DDB">
        <w:rPr>
          <w:rFonts w:ascii="Times New Roman" w:hAnsi="Times New Roman" w:cs="Times New Roman"/>
          <w:sz w:val="24"/>
          <w:szCs w:val="24"/>
        </w:rPr>
        <w:t>each bears a distinctive bar code</w:t>
      </w:r>
      <w:r w:rsidR="003D1DDB" w:rsidRPr="003D1DDB">
        <w:rPr>
          <w:rFonts w:ascii="Times New Roman" w:hAnsi="Times New Roman" w:cs="Times New Roman"/>
          <w:sz w:val="24"/>
          <w:szCs w:val="24"/>
        </w:rPr>
        <w:t xml:space="preserve"> </w:t>
      </w:r>
      <w:r w:rsidR="003D1DDB">
        <w:rPr>
          <w:rFonts w:ascii="Times New Roman" w:hAnsi="Times New Roman" w:cs="Times New Roman"/>
          <w:sz w:val="24"/>
          <w:szCs w:val="24"/>
        </w:rPr>
        <w:t>save for D.ID.10</w:t>
      </w:r>
      <w:r w:rsidR="00C56F93">
        <w:rPr>
          <w:rFonts w:ascii="Times New Roman" w:hAnsi="Times New Roman" w:cs="Times New Roman"/>
          <w:sz w:val="24"/>
          <w:szCs w:val="24"/>
        </w:rPr>
        <w:t xml:space="preserve"> signed by Mr. Bafaki Charles for the Permanent Secretary</w:t>
      </w:r>
      <w:r w:rsidR="003D1DDB">
        <w:rPr>
          <w:rFonts w:ascii="Times New Roman" w:hAnsi="Times New Roman" w:cs="Times New Roman"/>
          <w:sz w:val="24"/>
          <w:szCs w:val="24"/>
        </w:rPr>
        <w:t xml:space="preserve">, </w:t>
      </w:r>
      <w:r>
        <w:rPr>
          <w:rFonts w:ascii="Times New Roman" w:hAnsi="Times New Roman" w:cs="Times New Roman"/>
          <w:sz w:val="24"/>
          <w:szCs w:val="24"/>
        </w:rPr>
        <w:t xml:space="preserve">the officer certifying each of the </w:t>
      </w:r>
      <w:r w:rsidR="003D1DDB">
        <w:rPr>
          <w:rFonts w:ascii="Times New Roman" w:hAnsi="Times New Roman" w:cs="Times New Roman"/>
          <w:sz w:val="24"/>
          <w:szCs w:val="24"/>
        </w:rPr>
        <w:t xml:space="preserve">sets of </w:t>
      </w:r>
      <w:r>
        <w:rPr>
          <w:rFonts w:ascii="Times New Roman" w:hAnsi="Times New Roman" w:cs="Times New Roman"/>
          <w:sz w:val="24"/>
          <w:szCs w:val="24"/>
        </w:rPr>
        <w:t xml:space="preserve">documents </w:t>
      </w:r>
      <w:r w:rsidRPr="00E16D4E">
        <w:rPr>
          <w:rFonts w:ascii="Times New Roman" w:hAnsi="Times New Roman" w:cs="Times New Roman"/>
          <w:sz w:val="24"/>
          <w:szCs w:val="24"/>
        </w:rPr>
        <w:t>subscribed his name and official title</w:t>
      </w:r>
      <w:r w:rsidR="007E2ABD">
        <w:rPr>
          <w:rFonts w:ascii="Times New Roman" w:hAnsi="Times New Roman" w:cs="Times New Roman"/>
          <w:sz w:val="24"/>
          <w:szCs w:val="24"/>
        </w:rPr>
        <w:t xml:space="preserve"> as Mr. David Apollo Kazungu, Commissioner for Refugees</w:t>
      </w:r>
      <w:r>
        <w:rPr>
          <w:rFonts w:ascii="Times New Roman" w:hAnsi="Times New Roman" w:cs="Times New Roman"/>
          <w:sz w:val="24"/>
          <w:szCs w:val="24"/>
        </w:rPr>
        <w:t>;</w:t>
      </w:r>
      <w:r w:rsidRPr="00E16D4E">
        <w:rPr>
          <w:rFonts w:ascii="Times New Roman" w:hAnsi="Times New Roman" w:cs="Times New Roman"/>
          <w:sz w:val="24"/>
          <w:szCs w:val="24"/>
        </w:rPr>
        <w:t xml:space="preserve"> and </w:t>
      </w:r>
      <w:r w:rsidR="00C56F93">
        <w:rPr>
          <w:rFonts w:ascii="Times New Roman" w:hAnsi="Times New Roman" w:cs="Times New Roman"/>
          <w:sz w:val="24"/>
          <w:szCs w:val="24"/>
        </w:rPr>
        <w:t xml:space="preserve">each set has a document </w:t>
      </w:r>
      <w:r w:rsidRPr="00E16D4E">
        <w:rPr>
          <w:rFonts w:ascii="Times New Roman" w:hAnsi="Times New Roman" w:cs="Times New Roman"/>
          <w:sz w:val="24"/>
          <w:szCs w:val="24"/>
        </w:rPr>
        <w:t xml:space="preserve">sealed </w:t>
      </w:r>
      <w:r>
        <w:rPr>
          <w:rFonts w:ascii="Times New Roman" w:hAnsi="Times New Roman" w:cs="Times New Roman"/>
          <w:sz w:val="24"/>
          <w:szCs w:val="24"/>
        </w:rPr>
        <w:t>with</w:t>
      </w:r>
      <w:r w:rsidRPr="00E16D4E">
        <w:rPr>
          <w:rFonts w:ascii="Times New Roman" w:hAnsi="Times New Roman" w:cs="Times New Roman"/>
          <w:sz w:val="24"/>
          <w:szCs w:val="24"/>
        </w:rPr>
        <w:t xml:space="preserve"> the</w:t>
      </w:r>
      <w:r w:rsidR="003D1DDB">
        <w:rPr>
          <w:rFonts w:ascii="Times New Roman" w:hAnsi="Times New Roman" w:cs="Times New Roman"/>
          <w:sz w:val="24"/>
          <w:szCs w:val="24"/>
        </w:rPr>
        <w:t xml:space="preserve"> official seal. B</w:t>
      </w:r>
      <w:r w:rsidR="00C56F93">
        <w:rPr>
          <w:rFonts w:ascii="Times New Roman" w:hAnsi="Times New Roman" w:cs="Times New Roman"/>
          <w:sz w:val="24"/>
          <w:szCs w:val="24"/>
        </w:rPr>
        <w:t>eing so certified, b</w:t>
      </w:r>
      <w:r w:rsidR="003D1DDB">
        <w:rPr>
          <w:rFonts w:ascii="Times New Roman" w:hAnsi="Times New Roman" w:cs="Times New Roman"/>
          <w:sz w:val="24"/>
          <w:szCs w:val="24"/>
        </w:rPr>
        <w:t>y virtue</w:t>
      </w:r>
      <w:r>
        <w:rPr>
          <w:rFonts w:ascii="Times New Roman" w:hAnsi="Times New Roman" w:cs="Times New Roman"/>
          <w:sz w:val="24"/>
          <w:szCs w:val="24"/>
        </w:rPr>
        <w:t xml:space="preserve"> of section 78 of </w:t>
      </w:r>
      <w:r w:rsidRPr="009E08FC">
        <w:rPr>
          <w:rFonts w:ascii="Times New Roman" w:hAnsi="Times New Roman" w:cs="Times New Roman"/>
          <w:i/>
          <w:sz w:val="24"/>
          <w:szCs w:val="24"/>
        </w:rPr>
        <w:t xml:space="preserve">The </w:t>
      </w:r>
      <w:r w:rsidRPr="00C56F93">
        <w:rPr>
          <w:rFonts w:ascii="Times New Roman" w:hAnsi="Times New Roman" w:cs="Times New Roman"/>
          <w:i/>
          <w:sz w:val="24"/>
          <w:szCs w:val="24"/>
        </w:rPr>
        <w:t>Evidence Act</w:t>
      </w:r>
      <w:r w:rsidRPr="00C56F93">
        <w:rPr>
          <w:rFonts w:ascii="Times New Roman" w:hAnsi="Times New Roman" w:cs="Times New Roman"/>
          <w:sz w:val="24"/>
          <w:szCs w:val="24"/>
        </w:rPr>
        <w:t xml:space="preserve"> the trial court was required to presume each of them to be genuine</w:t>
      </w:r>
      <w:r w:rsidR="00C56F93" w:rsidRPr="00C56F93">
        <w:rPr>
          <w:rFonts w:ascii="Times New Roman" w:hAnsi="Times New Roman" w:cs="Times New Roman"/>
          <w:sz w:val="24"/>
          <w:szCs w:val="24"/>
        </w:rPr>
        <w:t xml:space="preserve"> and to have been signed </w:t>
      </w:r>
      <w:r w:rsidR="00C56F93">
        <w:rPr>
          <w:rFonts w:ascii="Times New Roman" w:hAnsi="Times New Roman" w:cs="Times New Roman"/>
          <w:sz w:val="24"/>
          <w:szCs w:val="24"/>
        </w:rPr>
        <w:t xml:space="preserve">by persons holding </w:t>
      </w:r>
      <w:r w:rsidR="00C56F93" w:rsidRPr="00C56F93">
        <w:rPr>
          <w:rFonts w:ascii="Times New Roman" w:hAnsi="Times New Roman" w:cs="Times New Roman"/>
          <w:sz w:val="24"/>
          <w:szCs w:val="24"/>
        </w:rPr>
        <w:t xml:space="preserve">the official character </w:t>
      </w:r>
      <w:r w:rsidR="00C56F93">
        <w:rPr>
          <w:rFonts w:ascii="Times New Roman" w:hAnsi="Times New Roman" w:cs="Times New Roman"/>
          <w:sz w:val="24"/>
          <w:szCs w:val="24"/>
        </w:rPr>
        <w:t xml:space="preserve">in </w:t>
      </w:r>
      <w:r w:rsidR="00C56F93" w:rsidRPr="00C56F93">
        <w:rPr>
          <w:rFonts w:ascii="Times New Roman" w:hAnsi="Times New Roman" w:cs="Times New Roman"/>
          <w:sz w:val="24"/>
          <w:szCs w:val="24"/>
        </w:rPr>
        <w:t xml:space="preserve">which </w:t>
      </w:r>
      <w:r w:rsidR="00C56F93">
        <w:rPr>
          <w:rFonts w:ascii="Times New Roman" w:hAnsi="Times New Roman" w:cs="Times New Roman"/>
          <w:sz w:val="24"/>
          <w:szCs w:val="24"/>
        </w:rPr>
        <w:t>they claimed to have certified them</w:t>
      </w:r>
      <w:r w:rsidRPr="00C56F93">
        <w:rPr>
          <w:rFonts w:ascii="Times New Roman" w:hAnsi="Times New Roman" w:cs="Times New Roman"/>
          <w:sz w:val="24"/>
          <w:szCs w:val="24"/>
        </w:rPr>
        <w:t>. The burden was then on the respondents to rebut that presumption</w:t>
      </w:r>
      <w:r>
        <w:rPr>
          <w:rFonts w:ascii="Times New Roman" w:hAnsi="Times New Roman" w:cs="Times New Roman"/>
          <w:sz w:val="24"/>
          <w:szCs w:val="24"/>
        </w:rPr>
        <w:t xml:space="preserve"> by presenting evidence to the contrary</w:t>
      </w:r>
      <w:r w:rsidR="007069ED">
        <w:rPr>
          <w:rFonts w:ascii="Times New Roman" w:hAnsi="Times New Roman" w:cs="Times New Roman"/>
          <w:sz w:val="24"/>
          <w:szCs w:val="24"/>
        </w:rPr>
        <w:t>, and this they never did</w:t>
      </w:r>
      <w:r>
        <w:rPr>
          <w:rFonts w:ascii="Times New Roman" w:hAnsi="Times New Roman" w:cs="Times New Roman"/>
          <w:sz w:val="24"/>
          <w:szCs w:val="24"/>
        </w:rPr>
        <w:t>.</w:t>
      </w:r>
    </w:p>
    <w:p w:rsidR="00E16D4E" w:rsidRPr="00F141C8" w:rsidRDefault="00E16D4E" w:rsidP="004E0709">
      <w:pPr>
        <w:spacing w:after="0" w:line="360" w:lineRule="auto"/>
        <w:jc w:val="both"/>
        <w:rPr>
          <w:rFonts w:ascii="Times New Roman" w:hAnsi="Times New Roman" w:cs="Times New Roman"/>
          <w:sz w:val="24"/>
          <w:szCs w:val="24"/>
        </w:rPr>
      </w:pPr>
    </w:p>
    <w:p w:rsidR="008E62A0" w:rsidRDefault="009E08FC" w:rsidP="00793C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light of those documents, the trial court ought to have considered that by virtue</w:t>
      </w:r>
      <w:r w:rsidR="00793CF1" w:rsidRPr="00F141C8">
        <w:rPr>
          <w:rFonts w:ascii="Times New Roman" w:hAnsi="Times New Roman" w:cs="Times New Roman"/>
          <w:sz w:val="24"/>
          <w:szCs w:val="24"/>
        </w:rPr>
        <w:t xml:space="preserve"> of Regulation 12 (1) of </w:t>
      </w:r>
      <w:r w:rsidR="00793CF1" w:rsidRPr="00F141C8">
        <w:rPr>
          <w:rFonts w:ascii="Times New Roman" w:hAnsi="Times New Roman" w:cs="Times New Roman"/>
          <w:i/>
          <w:sz w:val="24"/>
          <w:szCs w:val="24"/>
        </w:rPr>
        <w:t>The Refugees Regulations, 2010</w:t>
      </w:r>
      <w:r w:rsidR="00793CF1" w:rsidRPr="00793CF1">
        <w:rPr>
          <w:rFonts w:ascii="Times New Roman" w:hAnsi="Times New Roman" w:cs="Times New Roman"/>
          <w:i/>
          <w:sz w:val="24"/>
          <w:szCs w:val="24"/>
        </w:rPr>
        <w:t>,</w:t>
      </w:r>
      <w:r w:rsidR="00793CF1" w:rsidRPr="00793CF1">
        <w:rPr>
          <w:rFonts w:ascii="Times New Roman" w:hAnsi="Times New Roman" w:cs="Times New Roman"/>
          <w:sz w:val="24"/>
          <w:szCs w:val="24"/>
        </w:rPr>
        <w:t xml:space="preserve"> </w:t>
      </w:r>
      <w:r w:rsidR="00793CF1">
        <w:rPr>
          <w:rFonts w:ascii="Times New Roman" w:hAnsi="Times New Roman" w:cs="Times New Roman"/>
          <w:sz w:val="24"/>
          <w:szCs w:val="24"/>
        </w:rPr>
        <w:t>a</w:t>
      </w:r>
      <w:r w:rsidR="00793CF1" w:rsidRPr="00793CF1">
        <w:rPr>
          <w:rFonts w:ascii="Times New Roman" w:hAnsi="Times New Roman" w:cs="Times New Roman"/>
          <w:sz w:val="24"/>
          <w:szCs w:val="24"/>
        </w:rPr>
        <w:t xml:space="preserve"> person applying for refugee status </w:t>
      </w:r>
      <w:r w:rsidR="00793CF1">
        <w:rPr>
          <w:rFonts w:ascii="Times New Roman" w:hAnsi="Times New Roman" w:cs="Times New Roman"/>
          <w:sz w:val="24"/>
          <w:szCs w:val="24"/>
        </w:rPr>
        <w:t>is required to</w:t>
      </w:r>
      <w:r w:rsidR="00793CF1" w:rsidRPr="00793CF1">
        <w:rPr>
          <w:rFonts w:ascii="Times New Roman" w:hAnsi="Times New Roman" w:cs="Times New Roman"/>
          <w:sz w:val="24"/>
          <w:szCs w:val="24"/>
        </w:rPr>
        <w:t xml:space="preserve"> furnish proof to the satisfaction of the Eligibility Committee that he or she is eligible to be granted refugee status under the</w:t>
      </w:r>
      <w:r w:rsidR="00793CF1">
        <w:rPr>
          <w:rFonts w:ascii="Times New Roman" w:hAnsi="Times New Roman" w:cs="Times New Roman"/>
          <w:sz w:val="24"/>
          <w:szCs w:val="24"/>
        </w:rPr>
        <w:t xml:space="preserve"> Act and the</w:t>
      </w:r>
      <w:r w:rsidR="00793CF1" w:rsidRPr="00793CF1">
        <w:rPr>
          <w:rFonts w:ascii="Times New Roman" w:hAnsi="Times New Roman" w:cs="Times New Roman"/>
          <w:sz w:val="24"/>
          <w:szCs w:val="24"/>
        </w:rPr>
        <w:t xml:space="preserve"> Regulations</w:t>
      </w:r>
      <w:r w:rsidR="00793CF1">
        <w:rPr>
          <w:rFonts w:ascii="Times New Roman" w:hAnsi="Times New Roman" w:cs="Times New Roman"/>
          <w:sz w:val="24"/>
          <w:szCs w:val="24"/>
        </w:rPr>
        <w:t>. By virtue of the fact that the respondents were granted refugee status, they must have satisfied the Eligibility Committee that they are not Ugandans.</w:t>
      </w:r>
      <w:r w:rsidR="00793CF1" w:rsidRPr="00793CF1">
        <w:rPr>
          <w:rFonts w:ascii="Times New Roman" w:hAnsi="Times New Roman" w:cs="Times New Roman"/>
          <w:sz w:val="24"/>
          <w:szCs w:val="24"/>
        </w:rPr>
        <w:t xml:space="preserve"> </w:t>
      </w:r>
      <w:r w:rsidR="00793CF1">
        <w:rPr>
          <w:rFonts w:ascii="Times New Roman" w:hAnsi="Times New Roman" w:cs="Times New Roman"/>
          <w:sz w:val="24"/>
          <w:szCs w:val="24"/>
        </w:rPr>
        <w:t xml:space="preserve">There is no evidence to show that their status has changed since then. </w:t>
      </w:r>
      <w:r w:rsidR="008E62A0" w:rsidRPr="008E62A0">
        <w:rPr>
          <w:rFonts w:ascii="Times New Roman" w:hAnsi="Times New Roman" w:cs="Times New Roman"/>
          <w:sz w:val="24"/>
          <w:szCs w:val="24"/>
        </w:rPr>
        <w:t xml:space="preserve">According to section </w:t>
      </w:r>
      <w:r w:rsidR="008E62A0">
        <w:rPr>
          <w:rFonts w:ascii="Times New Roman" w:hAnsi="Times New Roman" w:cs="Times New Roman"/>
          <w:sz w:val="24"/>
          <w:szCs w:val="24"/>
        </w:rPr>
        <w:t xml:space="preserve">6 </w:t>
      </w:r>
      <w:r w:rsidR="008E62A0" w:rsidRPr="008E62A0">
        <w:rPr>
          <w:rFonts w:ascii="Times New Roman" w:hAnsi="Times New Roman" w:cs="Times New Roman"/>
          <w:sz w:val="24"/>
          <w:szCs w:val="24"/>
        </w:rPr>
        <w:t>(</w:t>
      </w:r>
      <w:r w:rsidR="008E62A0">
        <w:rPr>
          <w:rFonts w:ascii="Times New Roman" w:hAnsi="Times New Roman" w:cs="Times New Roman"/>
          <w:sz w:val="24"/>
          <w:szCs w:val="24"/>
        </w:rPr>
        <w:t>1</w:t>
      </w:r>
      <w:r w:rsidR="008E62A0" w:rsidRPr="008E62A0">
        <w:rPr>
          <w:rFonts w:ascii="Times New Roman" w:hAnsi="Times New Roman" w:cs="Times New Roman"/>
          <w:sz w:val="24"/>
          <w:szCs w:val="24"/>
        </w:rPr>
        <w:t xml:space="preserve">) </w:t>
      </w:r>
      <w:r w:rsidR="00AF6E48">
        <w:rPr>
          <w:rFonts w:ascii="Times New Roman" w:hAnsi="Times New Roman" w:cs="Times New Roman"/>
          <w:sz w:val="24"/>
          <w:szCs w:val="24"/>
        </w:rPr>
        <w:t xml:space="preserve">(a) and </w:t>
      </w:r>
      <w:r w:rsidR="008E62A0" w:rsidRPr="008E62A0">
        <w:rPr>
          <w:rFonts w:ascii="Times New Roman" w:hAnsi="Times New Roman" w:cs="Times New Roman"/>
          <w:sz w:val="24"/>
          <w:szCs w:val="24"/>
        </w:rPr>
        <w:t>(</w:t>
      </w:r>
      <w:r w:rsidR="008E62A0">
        <w:rPr>
          <w:rFonts w:ascii="Times New Roman" w:hAnsi="Times New Roman" w:cs="Times New Roman"/>
          <w:sz w:val="24"/>
          <w:szCs w:val="24"/>
        </w:rPr>
        <w:t>d</w:t>
      </w:r>
      <w:r w:rsidR="008E62A0" w:rsidRPr="008E62A0">
        <w:rPr>
          <w:rFonts w:ascii="Times New Roman" w:hAnsi="Times New Roman" w:cs="Times New Roman"/>
          <w:sz w:val="24"/>
          <w:szCs w:val="24"/>
        </w:rPr>
        <w:t xml:space="preserve">) of </w:t>
      </w:r>
      <w:r w:rsidR="008E62A0" w:rsidRPr="008E62A0">
        <w:rPr>
          <w:rFonts w:ascii="Times New Roman" w:hAnsi="Times New Roman" w:cs="Times New Roman"/>
          <w:i/>
          <w:sz w:val="24"/>
          <w:szCs w:val="24"/>
        </w:rPr>
        <w:t xml:space="preserve">The Refugees Act, 2006, </w:t>
      </w:r>
      <w:r w:rsidR="008E62A0">
        <w:rPr>
          <w:rFonts w:ascii="Times New Roman" w:hAnsi="Times New Roman" w:cs="Times New Roman"/>
          <w:sz w:val="24"/>
          <w:szCs w:val="24"/>
        </w:rPr>
        <w:t>a</w:t>
      </w:r>
      <w:r w:rsidR="008E62A0" w:rsidRPr="008E62A0">
        <w:rPr>
          <w:rFonts w:ascii="Times New Roman" w:hAnsi="Times New Roman" w:cs="Times New Roman"/>
          <w:sz w:val="24"/>
          <w:szCs w:val="24"/>
        </w:rPr>
        <w:t xml:space="preserve"> person cease</w:t>
      </w:r>
      <w:r w:rsidR="008E62A0">
        <w:rPr>
          <w:rFonts w:ascii="Times New Roman" w:hAnsi="Times New Roman" w:cs="Times New Roman"/>
          <w:sz w:val="24"/>
          <w:szCs w:val="24"/>
        </w:rPr>
        <w:t>s</w:t>
      </w:r>
      <w:r w:rsidR="008E62A0" w:rsidRPr="008E62A0">
        <w:rPr>
          <w:rFonts w:ascii="Times New Roman" w:hAnsi="Times New Roman" w:cs="Times New Roman"/>
          <w:sz w:val="24"/>
          <w:szCs w:val="24"/>
        </w:rPr>
        <w:t xml:space="preserve"> to be a refugee if</w:t>
      </w:r>
      <w:r w:rsidR="008E62A0">
        <w:rPr>
          <w:rFonts w:ascii="Times New Roman" w:hAnsi="Times New Roman" w:cs="Times New Roman"/>
          <w:sz w:val="24"/>
          <w:szCs w:val="24"/>
        </w:rPr>
        <w:t xml:space="preserve"> </w:t>
      </w:r>
      <w:r w:rsidR="00AF6E48">
        <w:rPr>
          <w:rFonts w:ascii="Times New Roman" w:hAnsi="Times New Roman" w:cs="Times New Roman"/>
          <w:sz w:val="24"/>
          <w:szCs w:val="24"/>
        </w:rPr>
        <w:t>t</w:t>
      </w:r>
      <w:r w:rsidR="00AF6E48" w:rsidRPr="00AF6E48">
        <w:rPr>
          <w:rFonts w:ascii="Times New Roman" w:hAnsi="Times New Roman" w:cs="Times New Roman"/>
          <w:sz w:val="24"/>
          <w:szCs w:val="24"/>
        </w:rPr>
        <w:t>hat person voluntarily re-avails himself or herself of the protection of the country of his or her nationality</w:t>
      </w:r>
      <w:r w:rsidR="00AF6E48">
        <w:rPr>
          <w:rFonts w:ascii="Times New Roman" w:hAnsi="Times New Roman" w:cs="Times New Roman"/>
          <w:sz w:val="24"/>
          <w:szCs w:val="24"/>
        </w:rPr>
        <w:t xml:space="preserve"> or when </w:t>
      </w:r>
      <w:r w:rsidR="008E62A0">
        <w:rPr>
          <w:rFonts w:ascii="Times New Roman" w:hAnsi="Times New Roman" w:cs="Times New Roman"/>
          <w:sz w:val="24"/>
          <w:szCs w:val="24"/>
        </w:rPr>
        <w:t xml:space="preserve">he or she </w:t>
      </w:r>
      <w:r w:rsidR="008E62A0" w:rsidRPr="008E62A0">
        <w:rPr>
          <w:rFonts w:ascii="Times New Roman" w:hAnsi="Times New Roman" w:cs="Times New Roman"/>
          <w:sz w:val="24"/>
          <w:szCs w:val="24"/>
        </w:rPr>
        <w:t>becomes a citizen of Uganda or acquires the nationality of some other country and enjoys the protection of the country of his or her new nationality</w:t>
      </w:r>
      <w:r w:rsidR="008E62A0">
        <w:rPr>
          <w:rFonts w:ascii="Times New Roman" w:hAnsi="Times New Roman" w:cs="Times New Roman"/>
          <w:sz w:val="24"/>
          <w:szCs w:val="24"/>
        </w:rPr>
        <w:t xml:space="preserve">. </w:t>
      </w:r>
      <w:r w:rsidR="00EE3FA2">
        <w:rPr>
          <w:rFonts w:ascii="Times New Roman" w:hAnsi="Times New Roman" w:cs="Times New Roman"/>
          <w:sz w:val="24"/>
          <w:szCs w:val="24"/>
        </w:rPr>
        <w:t xml:space="preserve">The third to the seventh respondents never adduced evidence to show that that their status as refugees in Uganda has ever changed since their respective dates of registration as </w:t>
      </w:r>
      <w:r w:rsidR="00EE3FA2" w:rsidRPr="003D1DDB">
        <w:rPr>
          <w:rFonts w:ascii="Times New Roman" w:hAnsi="Times New Roman" w:cs="Times New Roman"/>
          <w:sz w:val="24"/>
          <w:szCs w:val="24"/>
        </w:rPr>
        <w:t>per</w:t>
      </w:r>
      <w:r w:rsidR="00EE3FA2" w:rsidRPr="00EE3FA2">
        <w:rPr>
          <w:rFonts w:ascii="Times New Roman" w:hAnsi="Times New Roman" w:cs="Times New Roman"/>
          <w:color w:val="FF0000"/>
          <w:sz w:val="24"/>
          <w:szCs w:val="24"/>
        </w:rPr>
        <w:t xml:space="preserve"> </w:t>
      </w:r>
      <w:r w:rsidR="003D1DDB">
        <w:rPr>
          <w:rFonts w:ascii="Times New Roman" w:hAnsi="Times New Roman" w:cs="Times New Roman"/>
          <w:sz w:val="24"/>
          <w:szCs w:val="24"/>
        </w:rPr>
        <w:t>documents marked D.ID.1 to D.ID.8 and D.ID.10.</w:t>
      </w:r>
    </w:p>
    <w:p w:rsidR="00EE3FA2" w:rsidRDefault="00EE3FA2" w:rsidP="00793CF1">
      <w:pPr>
        <w:spacing w:after="0" w:line="360" w:lineRule="auto"/>
        <w:jc w:val="both"/>
        <w:rPr>
          <w:rFonts w:ascii="Times New Roman" w:hAnsi="Times New Roman" w:cs="Times New Roman"/>
          <w:sz w:val="24"/>
          <w:szCs w:val="24"/>
        </w:rPr>
      </w:pPr>
    </w:p>
    <w:p w:rsidR="00EE3FA2" w:rsidRDefault="00EE3FA2" w:rsidP="00EE3F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Being refugees and hence non-citizens of Uganda, the third to the seventh respondents are precluded by a</w:t>
      </w:r>
      <w:r w:rsidRPr="00A85166">
        <w:rPr>
          <w:rFonts w:ascii="Times New Roman" w:hAnsi="Times New Roman" w:cs="Times New Roman"/>
          <w:sz w:val="24"/>
          <w:szCs w:val="24"/>
        </w:rPr>
        <w:t xml:space="preserve">rticle 237 (2) (c) of </w:t>
      </w:r>
      <w:r w:rsidRPr="00A85166">
        <w:rPr>
          <w:rFonts w:ascii="Times New Roman" w:hAnsi="Times New Roman" w:cs="Times New Roman"/>
          <w:i/>
          <w:sz w:val="24"/>
          <w:szCs w:val="24"/>
        </w:rPr>
        <w:t>The Constitution of the Republic of Uganda, 1995</w:t>
      </w:r>
      <w:r w:rsidRPr="00A85166">
        <w:rPr>
          <w:rFonts w:ascii="Times New Roman" w:hAnsi="Times New Roman" w:cs="Times New Roman"/>
          <w:sz w:val="24"/>
          <w:szCs w:val="24"/>
        </w:rPr>
        <w:t xml:space="preserve"> and section 40 of </w:t>
      </w:r>
      <w:r w:rsidRPr="00A85166">
        <w:rPr>
          <w:rFonts w:ascii="Times New Roman" w:hAnsi="Times New Roman" w:cs="Times New Roman"/>
          <w:i/>
          <w:sz w:val="24"/>
          <w:szCs w:val="24"/>
        </w:rPr>
        <w:t>The Land Act</w:t>
      </w:r>
      <w:r w:rsidRPr="00A85166">
        <w:rPr>
          <w:rFonts w:ascii="Times New Roman" w:hAnsi="Times New Roman" w:cs="Times New Roman"/>
          <w:sz w:val="24"/>
          <w:szCs w:val="24"/>
        </w:rPr>
        <w:t xml:space="preserve">, </w:t>
      </w:r>
      <w:r>
        <w:rPr>
          <w:rFonts w:ascii="Times New Roman" w:hAnsi="Times New Roman" w:cs="Times New Roman"/>
          <w:sz w:val="24"/>
          <w:szCs w:val="24"/>
        </w:rPr>
        <w:t xml:space="preserve">from holding land in Uganda under customary tenure. They are restricted to holding land under </w:t>
      </w:r>
      <w:r w:rsidRPr="00A85166">
        <w:rPr>
          <w:rFonts w:ascii="Times New Roman" w:hAnsi="Times New Roman" w:cs="Times New Roman"/>
          <w:sz w:val="24"/>
          <w:szCs w:val="24"/>
        </w:rPr>
        <w:t xml:space="preserve">leasehold tenure only. </w:t>
      </w:r>
      <w:r>
        <w:rPr>
          <w:rFonts w:ascii="Times New Roman" w:hAnsi="Times New Roman" w:cs="Times New Roman"/>
          <w:sz w:val="24"/>
          <w:szCs w:val="24"/>
        </w:rPr>
        <w:t>It was therefore erroneous of the court below to have decided in their favour when the land in dispute is held under customary tenure.</w:t>
      </w:r>
    </w:p>
    <w:p w:rsidR="00EE3FA2" w:rsidRDefault="00EE3FA2" w:rsidP="00793CF1">
      <w:pPr>
        <w:spacing w:after="0" w:line="360" w:lineRule="auto"/>
        <w:jc w:val="both"/>
        <w:rPr>
          <w:rFonts w:ascii="Times New Roman" w:hAnsi="Times New Roman" w:cs="Times New Roman"/>
          <w:sz w:val="24"/>
          <w:szCs w:val="24"/>
        </w:rPr>
      </w:pPr>
    </w:p>
    <w:p w:rsidR="00FA5C74" w:rsidRDefault="00FA5C74" w:rsidP="00793C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With regard to the claim by the first and second respondents, </w:t>
      </w:r>
      <w:r w:rsidR="00EF040D">
        <w:rPr>
          <w:rFonts w:ascii="Times New Roman" w:hAnsi="Times New Roman" w:cs="Times New Roman"/>
          <w:sz w:val="24"/>
          <w:szCs w:val="24"/>
        </w:rPr>
        <w:t>their case was that the first respondent's father Okumu Lagwee acquired the land in 1935 as vacant land under customary tenure. During 1967, the first respondent's elder brother, Martino Oyugi began paying ground rent for the land to Gulu Town Council under a Temporary Occupation Licence. The first respondent continued with those payments until the year 1995 when they were abolished. During December, 2009 the appellant approached him with a proposal to exchange that plot for one in Atiak Trading Centre, which the first respondent rejected.</w:t>
      </w:r>
    </w:p>
    <w:p w:rsidR="00EF040D" w:rsidRDefault="00EF040D" w:rsidP="00793CF1">
      <w:pPr>
        <w:spacing w:after="0" w:line="360" w:lineRule="auto"/>
        <w:jc w:val="both"/>
        <w:rPr>
          <w:rFonts w:ascii="Times New Roman" w:hAnsi="Times New Roman" w:cs="Times New Roman"/>
          <w:sz w:val="24"/>
          <w:szCs w:val="24"/>
        </w:rPr>
      </w:pPr>
    </w:p>
    <w:p w:rsidR="00EF040D" w:rsidRDefault="00EF040D" w:rsidP="00793C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appellant refuted that claim and stated that </w:t>
      </w:r>
      <w:r w:rsidR="00EE3FA2">
        <w:rPr>
          <w:rFonts w:ascii="Times New Roman" w:hAnsi="Times New Roman" w:cs="Times New Roman"/>
          <w:sz w:val="24"/>
          <w:szCs w:val="24"/>
        </w:rPr>
        <w:t>his father, Okumu Lazaro, bought the land in dispute</w:t>
      </w:r>
      <w:r w:rsidR="00EE3FA2" w:rsidRPr="00BE246A">
        <w:rPr>
          <w:rFonts w:ascii="Times New Roman" w:hAnsi="Times New Roman" w:cs="Times New Roman"/>
          <w:sz w:val="24"/>
          <w:szCs w:val="24"/>
        </w:rPr>
        <w:t xml:space="preserve"> </w:t>
      </w:r>
      <w:r w:rsidR="00EE3FA2">
        <w:rPr>
          <w:rFonts w:ascii="Times New Roman" w:hAnsi="Times New Roman" w:cs="Times New Roman"/>
          <w:sz w:val="24"/>
          <w:szCs w:val="24"/>
        </w:rPr>
        <w:t>in 1954</w:t>
      </w:r>
      <w:r w:rsidR="002A7735" w:rsidRPr="002A7735">
        <w:rPr>
          <w:rFonts w:ascii="Times New Roman" w:hAnsi="Times New Roman" w:cs="Times New Roman"/>
          <w:sz w:val="24"/>
          <w:szCs w:val="24"/>
        </w:rPr>
        <w:t xml:space="preserve"> </w:t>
      </w:r>
      <w:r w:rsidR="002A7735">
        <w:rPr>
          <w:rFonts w:ascii="Times New Roman" w:hAnsi="Times New Roman" w:cs="Times New Roman"/>
          <w:sz w:val="24"/>
          <w:szCs w:val="24"/>
        </w:rPr>
        <w:t>from his maternal uncle Lodu Yohana</w:t>
      </w:r>
      <w:r w:rsidR="00EE3FA2">
        <w:rPr>
          <w:rFonts w:ascii="Times New Roman" w:hAnsi="Times New Roman" w:cs="Times New Roman"/>
          <w:sz w:val="24"/>
          <w:szCs w:val="24"/>
        </w:rPr>
        <w:t xml:space="preserve">. He was born on the land in dispute and had five grass thatched houses on it. </w:t>
      </w:r>
      <w:r w:rsidR="000144D9">
        <w:rPr>
          <w:rFonts w:ascii="Times New Roman" w:hAnsi="Times New Roman" w:cs="Times New Roman"/>
          <w:sz w:val="24"/>
          <w:szCs w:val="24"/>
        </w:rPr>
        <w:t>The land was eventually assigned plot No. 117 during the year 1967 by the then Gulu Town Council. His father paid ground tax for the plot from then until its abolition in 1995.</w:t>
      </w:r>
      <w:r w:rsidR="0090465A">
        <w:rPr>
          <w:rFonts w:ascii="Times New Roman" w:hAnsi="Times New Roman" w:cs="Times New Roman"/>
          <w:sz w:val="24"/>
          <w:szCs w:val="24"/>
        </w:rPr>
        <w:t xml:space="preserve"> </w:t>
      </w:r>
      <w:r w:rsidR="00EE3FA2">
        <w:rPr>
          <w:rFonts w:ascii="Times New Roman" w:hAnsi="Times New Roman" w:cs="Times New Roman"/>
          <w:sz w:val="24"/>
          <w:szCs w:val="24"/>
        </w:rPr>
        <w:t>It is during the year 2009 that the first respondent brought the rest of the respondents onto the land in order to force the appellant and his family off the land.</w:t>
      </w:r>
    </w:p>
    <w:p w:rsidR="000144D9" w:rsidRDefault="000144D9" w:rsidP="00793CF1">
      <w:pPr>
        <w:spacing w:after="0" w:line="360" w:lineRule="auto"/>
        <w:jc w:val="both"/>
        <w:rPr>
          <w:rFonts w:ascii="Times New Roman" w:hAnsi="Times New Roman" w:cs="Times New Roman"/>
          <w:sz w:val="24"/>
          <w:szCs w:val="24"/>
        </w:rPr>
      </w:pPr>
    </w:p>
    <w:p w:rsidR="00856CB8" w:rsidRDefault="00F438FD" w:rsidP="00AC1B1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While the respondents claimed the land in dispute was plot 91/65 and the appellant on the other hand claimed it was plot 117, a</w:t>
      </w:r>
      <w:r w:rsidR="000B1CE8">
        <w:rPr>
          <w:rFonts w:ascii="Times New Roman" w:hAnsi="Times New Roman" w:cs="Times New Roman"/>
          <w:sz w:val="24"/>
          <w:szCs w:val="24"/>
        </w:rPr>
        <w:t xml:space="preserve">t the </w:t>
      </w:r>
      <w:r w:rsidR="000B1CE8" w:rsidRPr="00AC1B1A">
        <w:rPr>
          <w:rFonts w:ascii="Times New Roman" w:hAnsi="Times New Roman" w:cs="Times New Roman"/>
          <w:i/>
          <w:sz w:val="24"/>
          <w:szCs w:val="24"/>
        </w:rPr>
        <w:t>locus</w:t>
      </w:r>
      <w:r w:rsidR="00AC1B1A" w:rsidRPr="00AC1B1A">
        <w:rPr>
          <w:rFonts w:ascii="Times New Roman" w:hAnsi="Times New Roman" w:cs="Times New Roman"/>
          <w:i/>
          <w:sz w:val="24"/>
          <w:szCs w:val="24"/>
        </w:rPr>
        <w:t xml:space="preserve"> in quo</w:t>
      </w:r>
      <w:r w:rsidR="000B1CE8">
        <w:rPr>
          <w:rFonts w:ascii="Times New Roman" w:hAnsi="Times New Roman" w:cs="Times New Roman"/>
          <w:sz w:val="24"/>
          <w:szCs w:val="24"/>
        </w:rPr>
        <w:t xml:space="preserve">, both parties </w:t>
      </w:r>
      <w:r>
        <w:rPr>
          <w:rFonts w:ascii="Times New Roman" w:hAnsi="Times New Roman" w:cs="Times New Roman"/>
          <w:sz w:val="24"/>
          <w:szCs w:val="24"/>
        </w:rPr>
        <w:t xml:space="preserve">showed court </w:t>
      </w:r>
      <w:r w:rsidR="000B1CE8">
        <w:rPr>
          <w:rFonts w:ascii="Times New Roman" w:hAnsi="Times New Roman" w:cs="Times New Roman"/>
          <w:sz w:val="24"/>
          <w:szCs w:val="24"/>
        </w:rPr>
        <w:t xml:space="preserve">the same </w:t>
      </w:r>
      <w:r w:rsidR="009430C3">
        <w:rPr>
          <w:rFonts w:ascii="Times New Roman" w:hAnsi="Times New Roman" w:cs="Times New Roman"/>
          <w:sz w:val="24"/>
          <w:szCs w:val="24"/>
        </w:rPr>
        <w:t>piece</w:t>
      </w:r>
      <w:r w:rsidR="000B1CE8">
        <w:rPr>
          <w:rFonts w:ascii="Times New Roman" w:hAnsi="Times New Roman" w:cs="Times New Roman"/>
          <w:sz w:val="24"/>
          <w:szCs w:val="24"/>
        </w:rPr>
        <w:t xml:space="preserve"> of land. </w:t>
      </w:r>
      <w:r w:rsidR="00FC4269">
        <w:rPr>
          <w:rFonts w:ascii="Times New Roman" w:hAnsi="Times New Roman" w:cs="Times New Roman"/>
          <w:sz w:val="24"/>
          <w:szCs w:val="24"/>
        </w:rPr>
        <w:t xml:space="preserve">While P.W.1 Oola Peter stated that plot 91/65 measured approximately 2.5 acres, the appellant stated that plot 117 measures approximately 2.8 acres. </w:t>
      </w:r>
      <w:r>
        <w:rPr>
          <w:rFonts w:ascii="Times New Roman" w:hAnsi="Times New Roman" w:cs="Times New Roman"/>
          <w:sz w:val="24"/>
          <w:szCs w:val="24"/>
        </w:rPr>
        <w:t>Considering that</w:t>
      </w:r>
      <w:r w:rsidR="00AC1B1A">
        <w:rPr>
          <w:rFonts w:ascii="Times New Roman" w:hAnsi="Times New Roman" w:cs="Times New Roman"/>
          <w:sz w:val="24"/>
          <w:szCs w:val="24"/>
        </w:rPr>
        <w:t xml:space="preserve"> P.W.1 Oola Peter testified that the plot numbers have been changing over the years</w:t>
      </w:r>
      <w:r>
        <w:rPr>
          <w:rFonts w:ascii="Times New Roman" w:hAnsi="Times New Roman" w:cs="Times New Roman"/>
          <w:sz w:val="24"/>
          <w:szCs w:val="24"/>
        </w:rPr>
        <w:t xml:space="preserve">, </w:t>
      </w:r>
      <w:r w:rsidR="000B1CE8">
        <w:rPr>
          <w:rFonts w:ascii="Times New Roman" w:hAnsi="Times New Roman" w:cs="Times New Roman"/>
          <w:sz w:val="24"/>
          <w:szCs w:val="24"/>
        </w:rPr>
        <w:t>I</w:t>
      </w:r>
      <w:r>
        <w:rPr>
          <w:rFonts w:ascii="Times New Roman" w:hAnsi="Times New Roman" w:cs="Times New Roman"/>
          <w:sz w:val="24"/>
          <w:szCs w:val="24"/>
        </w:rPr>
        <w:t xml:space="preserve"> am inclined to believe and</w:t>
      </w:r>
      <w:r w:rsidR="000B1CE8">
        <w:rPr>
          <w:rFonts w:ascii="Times New Roman" w:hAnsi="Times New Roman" w:cs="Times New Roman"/>
          <w:sz w:val="24"/>
          <w:szCs w:val="24"/>
        </w:rPr>
        <w:t xml:space="preserve"> therefore find that plot 91/65 and plot 117 are one and the same. </w:t>
      </w:r>
      <w:r w:rsidR="00BC2FA3">
        <w:rPr>
          <w:rFonts w:ascii="Times New Roman" w:hAnsi="Times New Roman" w:cs="Times New Roman"/>
          <w:sz w:val="24"/>
          <w:szCs w:val="24"/>
        </w:rPr>
        <w:t xml:space="preserve">Although the respondents claimed that the first respondent's elder brother, Martino Oyugi paid ground rent for </w:t>
      </w:r>
      <w:r w:rsidR="00FC4269">
        <w:rPr>
          <w:rFonts w:ascii="Times New Roman" w:hAnsi="Times New Roman" w:cs="Times New Roman"/>
          <w:sz w:val="24"/>
          <w:szCs w:val="24"/>
        </w:rPr>
        <w:t xml:space="preserve">plot 91/65 </w:t>
      </w:r>
      <w:r w:rsidR="00BC2FA3">
        <w:rPr>
          <w:rFonts w:ascii="Times New Roman" w:hAnsi="Times New Roman" w:cs="Times New Roman"/>
          <w:sz w:val="24"/>
          <w:szCs w:val="24"/>
        </w:rPr>
        <w:t xml:space="preserve">to Gulu Town Council under a Temporary Occupation Licence from 1967 until the year 1995 when they were abolished, they did not produce a dingle document to back up that claim. </w:t>
      </w:r>
      <w:r w:rsidR="00FC4269">
        <w:rPr>
          <w:rFonts w:ascii="Times New Roman" w:hAnsi="Times New Roman" w:cs="Times New Roman"/>
          <w:sz w:val="24"/>
          <w:szCs w:val="24"/>
        </w:rPr>
        <w:t xml:space="preserve">There is also no evidence to show that plot 91/65 exists as such in the Municipal Council records. </w:t>
      </w:r>
      <w:r w:rsidR="00BC2FA3">
        <w:rPr>
          <w:rFonts w:ascii="Times New Roman" w:hAnsi="Times New Roman" w:cs="Times New Roman"/>
          <w:sz w:val="24"/>
          <w:szCs w:val="24"/>
        </w:rPr>
        <w:t xml:space="preserve">To the contrary, the appellant adduced evidence (D.ID 34) indicating that for purposes of Municipal Council rates, plot 117 is </w:t>
      </w:r>
      <w:r w:rsidR="00A6746E">
        <w:rPr>
          <w:rFonts w:ascii="Times New Roman" w:hAnsi="Times New Roman" w:cs="Times New Roman"/>
          <w:sz w:val="24"/>
          <w:szCs w:val="24"/>
        </w:rPr>
        <w:t>registered</w:t>
      </w:r>
      <w:r w:rsidR="00BC2FA3">
        <w:rPr>
          <w:rFonts w:ascii="Times New Roman" w:hAnsi="Times New Roman" w:cs="Times New Roman"/>
          <w:sz w:val="24"/>
          <w:szCs w:val="24"/>
        </w:rPr>
        <w:t xml:space="preserve"> in the name of Okum</w:t>
      </w:r>
      <w:r w:rsidR="00896A64">
        <w:rPr>
          <w:rFonts w:ascii="Times New Roman" w:hAnsi="Times New Roman" w:cs="Times New Roman"/>
          <w:sz w:val="24"/>
          <w:szCs w:val="24"/>
        </w:rPr>
        <w:t xml:space="preserve"> Lazaro. The respondents </w:t>
      </w:r>
      <w:r w:rsidR="00A6746E">
        <w:rPr>
          <w:rFonts w:ascii="Times New Roman" w:hAnsi="Times New Roman" w:cs="Times New Roman"/>
          <w:sz w:val="24"/>
          <w:szCs w:val="24"/>
        </w:rPr>
        <w:t>disputed</w:t>
      </w:r>
      <w:r w:rsidR="00896A64">
        <w:rPr>
          <w:rFonts w:ascii="Times New Roman" w:hAnsi="Times New Roman" w:cs="Times New Roman"/>
          <w:sz w:val="24"/>
          <w:szCs w:val="24"/>
        </w:rPr>
        <w:t xml:space="preserve"> that </w:t>
      </w:r>
      <w:r w:rsidR="00FC4269">
        <w:rPr>
          <w:rFonts w:ascii="Times New Roman" w:hAnsi="Times New Roman" w:cs="Times New Roman"/>
          <w:sz w:val="24"/>
          <w:szCs w:val="24"/>
        </w:rPr>
        <w:t>to be the</w:t>
      </w:r>
      <w:r w:rsidR="00896A64">
        <w:rPr>
          <w:rFonts w:ascii="Times New Roman" w:hAnsi="Times New Roman" w:cs="Times New Roman"/>
          <w:sz w:val="24"/>
          <w:szCs w:val="24"/>
        </w:rPr>
        <w:t xml:space="preserve"> name of the </w:t>
      </w:r>
      <w:r w:rsidR="00A6746E">
        <w:rPr>
          <w:rFonts w:ascii="Times New Roman" w:hAnsi="Times New Roman" w:cs="Times New Roman"/>
          <w:sz w:val="24"/>
          <w:szCs w:val="24"/>
        </w:rPr>
        <w:t>appellant's</w:t>
      </w:r>
      <w:r w:rsidR="00896A64">
        <w:rPr>
          <w:rFonts w:ascii="Times New Roman" w:hAnsi="Times New Roman" w:cs="Times New Roman"/>
          <w:sz w:val="24"/>
          <w:szCs w:val="24"/>
        </w:rPr>
        <w:t xml:space="preserve"> father since to the</w:t>
      </w:r>
      <w:r w:rsidR="00E51AB9">
        <w:rPr>
          <w:rFonts w:ascii="Times New Roman" w:hAnsi="Times New Roman" w:cs="Times New Roman"/>
          <w:sz w:val="24"/>
          <w:szCs w:val="24"/>
        </w:rPr>
        <w:t>m</w:t>
      </w:r>
      <w:r w:rsidR="00896A64">
        <w:rPr>
          <w:rFonts w:ascii="Times New Roman" w:hAnsi="Times New Roman" w:cs="Times New Roman"/>
          <w:sz w:val="24"/>
          <w:szCs w:val="24"/>
        </w:rPr>
        <w:t xml:space="preserve"> the </w:t>
      </w:r>
      <w:r w:rsidR="00A6746E">
        <w:rPr>
          <w:rFonts w:ascii="Times New Roman" w:hAnsi="Times New Roman" w:cs="Times New Roman"/>
          <w:sz w:val="24"/>
          <w:szCs w:val="24"/>
        </w:rPr>
        <w:t>appellant's</w:t>
      </w:r>
      <w:r w:rsidR="00896A64">
        <w:rPr>
          <w:rFonts w:ascii="Times New Roman" w:hAnsi="Times New Roman" w:cs="Times New Roman"/>
          <w:sz w:val="24"/>
          <w:szCs w:val="24"/>
        </w:rPr>
        <w:t xml:space="preserve"> father is "Okumu Lazaro" (</w:t>
      </w:r>
      <w:r w:rsidR="00A6746E">
        <w:rPr>
          <w:rFonts w:ascii="Times New Roman" w:hAnsi="Times New Roman" w:cs="Times New Roman"/>
          <w:sz w:val="24"/>
          <w:szCs w:val="24"/>
        </w:rPr>
        <w:t xml:space="preserve">i.e. </w:t>
      </w:r>
      <w:r w:rsidR="00896A64">
        <w:rPr>
          <w:rFonts w:ascii="Times New Roman" w:hAnsi="Times New Roman" w:cs="Times New Roman"/>
          <w:sz w:val="24"/>
          <w:szCs w:val="24"/>
        </w:rPr>
        <w:t>with a "u" at the end</w:t>
      </w:r>
      <w:r w:rsidR="00FC4269">
        <w:rPr>
          <w:rFonts w:ascii="Times New Roman" w:hAnsi="Times New Roman" w:cs="Times New Roman"/>
          <w:sz w:val="24"/>
          <w:szCs w:val="24"/>
        </w:rPr>
        <w:t xml:space="preserve"> as known in Acholi as opposed to one without a "u" at the end as known in Alur tradition</w:t>
      </w:r>
      <w:r w:rsidR="00896A64">
        <w:rPr>
          <w:rFonts w:ascii="Times New Roman" w:hAnsi="Times New Roman" w:cs="Times New Roman"/>
          <w:sz w:val="24"/>
          <w:szCs w:val="24"/>
        </w:rPr>
        <w:t>).</w:t>
      </w:r>
    </w:p>
    <w:p w:rsidR="00E51AB9" w:rsidRDefault="00E51AB9" w:rsidP="004E0709">
      <w:pPr>
        <w:spacing w:after="0" w:line="360" w:lineRule="auto"/>
        <w:jc w:val="both"/>
        <w:rPr>
          <w:rFonts w:ascii="Times New Roman" w:hAnsi="Times New Roman" w:cs="Times New Roman"/>
          <w:sz w:val="24"/>
          <w:szCs w:val="24"/>
        </w:rPr>
      </w:pPr>
    </w:p>
    <w:p w:rsidR="00A1100F" w:rsidRDefault="00D17ACF" w:rsidP="004E0709">
      <w:pPr>
        <w:spacing w:after="0" w:line="360" w:lineRule="auto"/>
        <w:jc w:val="both"/>
        <w:rPr>
          <w:rFonts w:ascii="Times New Roman" w:hAnsi="Times New Roman" w:cs="Times New Roman"/>
          <w:sz w:val="24"/>
          <w:szCs w:val="24"/>
        </w:rPr>
      </w:pPr>
      <w:r w:rsidRPr="00D17ACF">
        <w:rPr>
          <w:rFonts w:ascii="Times New Roman" w:hAnsi="Times New Roman" w:cs="Times New Roman"/>
          <w:sz w:val="24"/>
          <w:szCs w:val="24"/>
        </w:rPr>
        <w:lastRenderedPageBreak/>
        <w:t xml:space="preserve">The misnomer principle </w:t>
      </w:r>
      <w:r>
        <w:rPr>
          <w:rFonts w:ascii="Times New Roman" w:hAnsi="Times New Roman" w:cs="Times New Roman"/>
          <w:sz w:val="24"/>
          <w:szCs w:val="24"/>
        </w:rPr>
        <w:t>would apply</w:t>
      </w:r>
      <w:r w:rsidR="00E51AB9">
        <w:rPr>
          <w:rFonts w:ascii="Times New Roman" w:hAnsi="Times New Roman" w:cs="Times New Roman"/>
          <w:sz w:val="24"/>
          <w:szCs w:val="24"/>
        </w:rPr>
        <w:t xml:space="preserve"> to this case</w:t>
      </w:r>
      <w:r w:rsidR="00D43580">
        <w:rPr>
          <w:rFonts w:ascii="Times New Roman" w:hAnsi="Times New Roman" w:cs="Times New Roman"/>
          <w:sz w:val="24"/>
          <w:szCs w:val="24"/>
        </w:rPr>
        <w:t>,</w:t>
      </w:r>
      <w:r>
        <w:rPr>
          <w:rFonts w:ascii="Times New Roman" w:hAnsi="Times New Roman" w:cs="Times New Roman"/>
          <w:sz w:val="24"/>
          <w:szCs w:val="24"/>
        </w:rPr>
        <w:t xml:space="preserve"> being</w:t>
      </w:r>
      <w:r w:rsidRPr="00D17ACF">
        <w:rPr>
          <w:rFonts w:ascii="Times New Roman" w:hAnsi="Times New Roman" w:cs="Times New Roman"/>
          <w:sz w:val="24"/>
          <w:szCs w:val="24"/>
        </w:rPr>
        <w:t xml:space="preserve"> the process by which a court determines the </w:t>
      </w:r>
      <w:r w:rsidR="00D43580">
        <w:rPr>
          <w:rFonts w:ascii="Times New Roman" w:hAnsi="Times New Roman" w:cs="Times New Roman"/>
          <w:sz w:val="24"/>
          <w:szCs w:val="24"/>
        </w:rPr>
        <w:t>attribution of a</w:t>
      </w:r>
      <w:r w:rsidRPr="00D17ACF">
        <w:rPr>
          <w:rFonts w:ascii="Times New Roman" w:hAnsi="Times New Roman" w:cs="Times New Roman"/>
          <w:sz w:val="24"/>
          <w:szCs w:val="24"/>
        </w:rPr>
        <w:t xml:space="preserve"> </w:t>
      </w:r>
      <w:r>
        <w:rPr>
          <w:rFonts w:ascii="Times New Roman" w:hAnsi="Times New Roman" w:cs="Times New Roman"/>
          <w:sz w:val="24"/>
          <w:szCs w:val="24"/>
        </w:rPr>
        <w:t>name.</w:t>
      </w:r>
      <w:r w:rsidRPr="00D17ACF">
        <w:rPr>
          <w:rFonts w:ascii="Times New Roman" w:hAnsi="Times New Roman" w:cs="Times New Roman"/>
          <w:sz w:val="24"/>
          <w:szCs w:val="24"/>
        </w:rPr>
        <w:t xml:space="preserve"> Generally, </w:t>
      </w:r>
      <w:r>
        <w:rPr>
          <w:rFonts w:ascii="Times New Roman" w:hAnsi="Times New Roman" w:cs="Times New Roman"/>
          <w:sz w:val="24"/>
          <w:szCs w:val="24"/>
        </w:rPr>
        <w:t>expressions of names</w:t>
      </w:r>
      <w:r w:rsidRPr="00D17ACF">
        <w:rPr>
          <w:rFonts w:ascii="Times New Roman" w:hAnsi="Times New Roman" w:cs="Times New Roman"/>
          <w:sz w:val="24"/>
          <w:szCs w:val="24"/>
        </w:rPr>
        <w:t xml:space="preserve"> s</w:t>
      </w:r>
      <w:r>
        <w:rPr>
          <w:rFonts w:ascii="Times New Roman" w:hAnsi="Times New Roman" w:cs="Times New Roman"/>
          <w:sz w:val="24"/>
          <w:szCs w:val="24"/>
        </w:rPr>
        <w:t xml:space="preserve">hould be construed objectively </w:t>
      </w:r>
      <w:r w:rsidRPr="00D17ACF">
        <w:rPr>
          <w:rFonts w:ascii="Times New Roman" w:hAnsi="Times New Roman" w:cs="Times New Roman"/>
          <w:sz w:val="24"/>
          <w:szCs w:val="24"/>
        </w:rPr>
        <w:t xml:space="preserve">to ascertain what a reasonable person with all of the background knowledge that would reasonably have been available to the </w:t>
      </w:r>
      <w:r w:rsidR="000F5ECF">
        <w:rPr>
          <w:rFonts w:ascii="Times New Roman" w:hAnsi="Times New Roman" w:cs="Times New Roman"/>
          <w:sz w:val="24"/>
          <w:szCs w:val="24"/>
        </w:rPr>
        <w:t>author</w:t>
      </w:r>
      <w:r w:rsidRPr="00D17ACF">
        <w:rPr>
          <w:rFonts w:ascii="Times New Roman" w:hAnsi="Times New Roman" w:cs="Times New Roman"/>
          <w:sz w:val="24"/>
          <w:szCs w:val="24"/>
        </w:rPr>
        <w:t xml:space="preserve">, would </w:t>
      </w:r>
      <w:r w:rsidR="000F5ECF">
        <w:rPr>
          <w:rFonts w:ascii="Times New Roman" w:hAnsi="Times New Roman" w:cs="Times New Roman"/>
          <w:sz w:val="24"/>
          <w:szCs w:val="24"/>
        </w:rPr>
        <w:t>attribute</w:t>
      </w:r>
      <w:r w:rsidRPr="00D17ACF">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0F5ECF">
        <w:rPr>
          <w:rFonts w:ascii="Times New Roman" w:hAnsi="Times New Roman" w:cs="Times New Roman"/>
          <w:sz w:val="24"/>
          <w:szCs w:val="24"/>
        </w:rPr>
        <w:t xml:space="preserve">name to the </w:t>
      </w:r>
      <w:r>
        <w:rPr>
          <w:rFonts w:ascii="Times New Roman" w:hAnsi="Times New Roman" w:cs="Times New Roman"/>
          <w:sz w:val="24"/>
          <w:szCs w:val="24"/>
        </w:rPr>
        <w:t xml:space="preserve">individual to whom </w:t>
      </w:r>
      <w:r w:rsidR="000F5ECF">
        <w:rPr>
          <w:rFonts w:ascii="Times New Roman" w:hAnsi="Times New Roman" w:cs="Times New Roman"/>
          <w:sz w:val="24"/>
          <w:szCs w:val="24"/>
        </w:rPr>
        <w:t>it is sought to be</w:t>
      </w:r>
      <w:r>
        <w:rPr>
          <w:rFonts w:ascii="Times New Roman" w:hAnsi="Times New Roman" w:cs="Times New Roman"/>
          <w:sz w:val="24"/>
          <w:szCs w:val="24"/>
        </w:rPr>
        <w:t xml:space="preserve"> attributed. The</w:t>
      </w:r>
      <w:r w:rsidR="00856CB8" w:rsidRPr="00856CB8">
        <w:rPr>
          <w:rFonts w:ascii="Times New Roman" w:hAnsi="Times New Roman" w:cs="Times New Roman"/>
          <w:sz w:val="24"/>
          <w:szCs w:val="24"/>
        </w:rPr>
        <w:t xml:space="preserve"> relevant question is</w:t>
      </w:r>
      <w:r w:rsidR="000F5ECF">
        <w:rPr>
          <w:rFonts w:ascii="Times New Roman" w:hAnsi="Times New Roman" w:cs="Times New Roman"/>
          <w:sz w:val="24"/>
          <w:szCs w:val="24"/>
        </w:rPr>
        <w:t>;</w:t>
      </w:r>
      <w:r w:rsidR="00856CB8" w:rsidRPr="00856CB8">
        <w:rPr>
          <w:rFonts w:ascii="Times New Roman" w:hAnsi="Times New Roman" w:cs="Times New Roman"/>
          <w:sz w:val="24"/>
          <w:szCs w:val="24"/>
        </w:rPr>
        <w:t xml:space="preserve"> </w:t>
      </w:r>
      <w:r>
        <w:rPr>
          <w:rFonts w:ascii="Times New Roman" w:hAnsi="Times New Roman" w:cs="Times New Roman"/>
          <w:sz w:val="24"/>
          <w:szCs w:val="24"/>
        </w:rPr>
        <w:t>to which individual</w:t>
      </w:r>
      <w:r w:rsidR="00856CB8" w:rsidRPr="00856CB8">
        <w:rPr>
          <w:rFonts w:ascii="Times New Roman" w:hAnsi="Times New Roman" w:cs="Times New Roman"/>
          <w:sz w:val="24"/>
          <w:szCs w:val="24"/>
        </w:rPr>
        <w:t xml:space="preserve"> </w:t>
      </w:r>
      <w:r w:rsidR="000223D0">
        <w:rPr>
          <w:rFonts w:ascii="Times New Roman" w:hAnsi="Times New Roman" w:cs="Times New Roman"/>
          <w:sz w:val="24"/>
          <w:szCs w:val="24"/>
        </w:rPr>
        <w:t>would</w:t>
      </w:r>
      <w:r w:rsidR="00856CB8" w:rsidRPr="00856CB8">
        <w:rPr>
          <w:rFonts w:ascii="Times New Roman" w:hAnsi="Times New Roman" w:cs="Times New Roman"/>
          <w:sz w:val="24"/>
          <w:szCs w:val="24"/>
        </w:rPr>
        <w:t xml:space="preserve"> </w:t>
      </w:r>
      <w:r w:rsidR="000223D0">
        <w:rPr>
          <w:rFonts w:ascii="Times New Roman" w:hAnsi="Times New Roman" w:cs="Times New Roman"/>
          <w:sz w:val="24"/>
          <w:szCs w:val="24"/>
        </w:rPr>
        <w:t xml:space="preserve">a </w:t>
      </w:r>
      <w:r w:rsidR="00856CB8" w:rsidRPr="00856CB8">
        <w:rPr>
          <w:rFonts w:ascii="Times New Roman" w:hAnsi="Times New Roman" w:cs="Times New Roman"/>
          <w:sz w:val="24"/>
          <w:szCs w:val="24"/>
        </w:rPr>
        <w:t xml:space="preserve">reasonable person </w:t>
      </w:r>
      <w:r>
        <w:rPr>
          <w:rFonts w:ascii="Times New Roman" w:hAnsi="Times New Roman" w:cs="Times New Roman"/>
          <w:sz w:val="24"/>
          <w:szCs w:val="24"/>
        </w:rPr>
        <w:t xml:space="preserve">attribute </w:t>
      </w:r>
      <w:r w:rsidR="00856CB8" w:rsidRPr="00856CB8">
        <w:rPr>
          <w:rFonts w:ascii="Times New Roman" w:hAnsi="Times New Roman" w:cs="Times New Roman"/>
          <w:sz w:val="24"/>
          <w:szCs w:val="24"/>
        </w:rPr>
        <w:t>the name</w:t>
      </w:r>
      <w:r w:rsidR="000223D0">
        <w:rPr>
          <w:rFonts w:ascii="Times New Roman" w:hAnsi="Times New Roman" w:cs="Times New Roman"/>
          <w:sz w:val="24"/>
          <w:szCs w:val="24"/>
        </w:rPr>
        <w:t>?</w:t>
      </w:r>
      <w:r>
        <w:rPr>
          <w:rFonts w:ascii="Times New Roman" w:hAnsi="Times New Roman" w:cs="Times New Roman"/>
          <w:sz w:val="24"/>
          <w:szCs w:val="24"/>
        </w:rPr>
        <w:t xml:space="preserve"> </w:t>
      </w:r>
      <w:r w:rsidR="000223D0">
        <w:rPr>
          <w:rFonts w:ascii="Times New Roman" w:hAnsi="Times New Roman" w:cs="Times New Roman"/>
          <w:sz w:val="24"/>
          <w:szCs w:val="24"/>
        </w:rPr>
        <w:t>That</w:t>
      </w:r>
      <w:r w:rsidR="00856CB8" w:rsidRPr="00856CB8">
        <w:rPr>
          <w:rFonts w:ascii="Times New Roman" w:hAnsi="Times New Roman" w:cs="Times New Roman"/>
          <w:sz w:val="24"/>
          <w:szCs w:val="24"/>
        </w:rPr>
        <w:t xml:space="preserve"> </w:t>
      </w:r>
      <w:r w:rsidRPr="004C7E30">
        <w:rPr>
          <w:rFonts w:ascii="Times New Roman" w:hAnsi="Times New Roman" w:cs="Times New Roman"/>
          <w:sz w:val="24"/>
          <w:szCs w:val="24"/>
        </w:rPr>
        <w:t xml:space="preserve">attribution </w:t>
      </w:r>
      <w:r w:rsidR="00856CB8" w:rsidRPr="004C7E30">
        <w:rPr>
          <w:rFonts w:ascii="Times New Roman" w:hAnsi="Times New Roman" w:cs="Times New Roman"/>
          <w:sz w:val="24"/>
          <w:szCs w:val="24"/>
        </w:rPr>
        <w:t xml:space="preserve">must generally be construed by reference to the </w:t>
      </w:r>
      <w:r w:rsidR="000F5ECF">
        <w:rPr>
          <w:rFonts w:ascii="Times New Roman" w:hAnsi="Times New Roman" w:cs="Times New Roman"/>
          <w:sz w:val="24"/>
          <w:szCs w:val="24"/>
        </w:rPr>
        <w:t xml:space="preserve">known </w:t>
      </w:r>
      <w:r w:rsidR="00856CB8" w:rsidRPr="004C7E30">
        <w:rPr>
          <w:rFonts w:ascii="Times New Roman" w:hAnsi="Times New Roman" w:cs="Times New Roman"/>
          <w:sz w:val="24"/>
          <w:szCs w:val="24"/>
        </w:rPr>
        <w:t xml:space="preserve">background </w:t>
      </w:r>
      <w:r w:rsidRPr="004C7E30">
        <w:rPr>
          <w:rFonts w:ascii="Times New Roman" w:hAnsi="Times New Roman" w:cs="Times New Roman"/>
          <w:sz w:val="24"/>
          <w:szCs w:val="24"/>
        </w:rPr>
        <w:t>facts</w:t>
      </w:r>
      <w:r w:rsidR="00D43580" w:rsidRPr="004C7E30">
        <w:rPr>
          <w:rFonts w:ascii="Times New Roman" w:hAnsi="Times New Roman" w:cs="Times New Roman"/>
          <w:sz w:val="24"/>
          <w:szCs w:val="24"/>
        </w:rPr>
        <w:t>.</w:t>
      </w:r>
      <w:r w:rsidR="004C7E30" w:rsidRPr="004C7E30">
        <w:rPr>
          <w:rFonts w:ascii="Times New Roman" w:hAnsi="Times New Roman" w:cs="Times New Roman"/>
          <w:sz w:val="24"/>
          <w:szCs w:val="24"/>
        </w:rPr>
        <w:t xml:space="preserve"> The test i</w:t>
      </w:r>
      <w:r w:rsidR="004C7E30">
        <w:rPr>
          <w:rFonts w:ascii="Times New Roman" w:hAnsi="Times New Roman" w:cs="Times New Roman"/>
          <w:sz w:val="24"/>
          <w:szCs w:val="24"/>
        </w:rPr>
        <w:t>s</w:t>
      </w:r>
      <w:r w:rsidR="004C7E30" w:rsidRPr="004C7E30">
        <w:rPr>
          <w:rFonts w:ascii="Times New Roman" w:hAnsi="Times New Roman" w:cs="Times New Roman"/>
          <w:sz w:val="24"/>
          <w:szCs w:val="24"/>
        </w:rPr>
        <w:t xml:space="preserve"> w</w:t>
      </w:r>
      <w:r w:rsidR="004C7E30">
        <w:rPr>
          <w:rFonts w:ascii="Times New Roman" w:hAnsi="Times New Roman" w:cs="Times New Roman"/>
          <w:sz w:val="24"/>
          <w:szCs w:val="24"/>
        </w:rPr>
        <w:t>he</w:t>
      </w:r>
      <w:r w:rsidR="004C7E30" w:rsidRPr="004C7E30">
        <w:rPr>
          <w:rFonts w:ascii="Times New Roman" w:hAnsi="Times New Roman" w:cs="Times New Roman"/>
          <w:sz w:val="24"/>
          <w:szCs w:val="24"/>
        </w:rPr>
        <w:t xml:space="preserve">ther or not </w:t>
      </w:r>
      <w:r w:rsidR="000F5ECF">
        <w:rPr>
          <w:rFonts w:ascii="Times New Roman" w:hAnsi="Times New Roman" w:cs="Times New Roman"/>
          <w:sz w:val="24"/>
          <w:szCs w:val="24"/>
        </w:rPr>
        <w:t xml:space="preserve">a </w:t>
      </w:r>
      <w:r w:rsidR="004C7E30" w:rsidRPr="004C7E30">
        <w:rPr>
          <w:rFonts w:ascii="Times New Roman" w:hAnsi="Times New Roman" w:cs="Times New Roman"/>
          <w:sz w:val="24"/>
          <w:szCs w:val="24"/>
        </w:rPr>
        <w:t xml:space="preserve">reasonable person </w:t>
      </w:r>
      <w:r w:rsidR="004C7E30">
        <w:rPr>
          <w:rFonts w:ascii="Times New Roman" w:hAnsi="Times New Roman" w:cs="Times New Roman"/>
          <w:sz w:val="24"/>
          <w:szCs w:val="24"/>
        </w:rPr>
        <w:t>reading the name</w:t>
      </w:r>
      <w:r w:rsidR="004C7E30" w:rsidRPr="004C7E30">
        <w:rPr>
          <w:rFonts w:ascii="Times New Roman" w:hAnsi="Times New Roman" w:cs="Times New Roman"/>
          <w:sz w:val="24"/>
          <w:szCs w:val="24"/>
        </w:rPr>
        <w:t xml:space="preserve">, in all the circumstances of the case, and looking at it as a whole, </w:t>
      </w:r>
      <w:r w:rsidR="000223D0">
        <w:rPr>
          <w:rFonts w:ascii="Times New Roman" w:hAnsi="Times New Roman" w:cs="Times New Roman"/>
          <w:sz w:val="24"/>
          <w:szCs w:val="24"/>
        </w:rPr>
        <w:t xml:space="preserve">may </w:t>
      </w:r>
      <w:r w:rsidR="004C7E30" w:rsidRPr="004C7E30">
        <w:rPr>
          <w:rFonts w:ascii="Times New Roman" w:hAnsi="Times New Roman" w:cs="Times New Roman"/>
          <w:sz w:val="24"/>
          <w:szCs w:val="24"/>
        </w:rPr>
        <w:t>say to himself or herself</w:t>
      </w:r>
      <w:r w:rsidR="000223D0">
        <w:rPr>
          <w:rFonts w:ascii="Times New Roman" w:hAnsi="Times New Roman" w:cs="Times New Roman"/>
          <w:sz w:val="24"/>
          <w:szCs w:val="24"/>
        </w:rPr>
        <w:t>,</w:t>
      </w:r>
      <w:r w:rsidR="004C7E30" w:rsidRPr="004C7E30">
        <w:rPr>
          <w:rFonts w:ascii="Times New Roman" w:hAnsi="Times New Roman" w:cs="Times New Roman"/>
          <w:sz w:val="24"/>
          <w:szCs w:val="24"/>
        </w:rPr>
        <w:t xml:space="preserve"> “of course it must mean </w:t>
      </w:r>
      <w:r w:rsidR="004C7E30">
        <w:rPr>
          <w:rFonts w:ascii="Times New Roman" w:hAnsi="Times New Roman" w:cs="Times New Roman"/>
          <w:sz w:val="24"/>
          <w:szCs w:val="24"/>
        </w:rPr>
        <w:t>so and so</w:t>
      </w:r>
      <w:r w:rsidR="004C7E30" w:rsidRPr="004C7E30">
        <w:rPr>
          <w:rFonts w:ascii="Times New Roman" w:hAnsi="Times New Roman" w:cs="Times New Roman"/>
          <w:sz w:val="24"/>
          <w:szCs w:val="24"/>
        </w:rPr>
        <w:t xml:space="preserve">, but they </w:t>
      </w:r>
      <w:r w:rsidR="004C7E30" w:rsidRPr="00212FA1">
        <w:rPr>
          <w:rFonts w:ascii="Times New Roman" w:hAnsi="Times New Roman" w:cs="Times New Roman"/>
          <w:sz w:val="24"/>
          <w:szCs w:val="24"/>
        </w:rPr>
        <w:t xml:space="preserve">have got </w:t>
      </w:r>
      <w:r w:rsidR="000223D0" w:rsidRPr="00212FA1">
        <w:rPr>
          <w:rFonts w:ascii="Times New Roman" w:hAnsi="Times New Roman" w:cs="Times New Roman"/>
          <w:sz w:val="24"/>
          <w:szCs w:val="24"/>
        </w:rPr>
        <w:t>his or her</w:t>
      </w:r>
      <w:r w:rsidR="004C7E30" w:rsidRPr="00212FA1">
        <w:rPr>
          <w:rFonts w:ascii="Times New Roman" w:hAnsi="Times New Roman" w:cs="Times New Roman"/>
          <w:sz w:val="24"/>
          <w:szCs w:val="24"/>
        </w:rPr>
        <w:t xml:space="preserve"> name wrong.”</w:t>
      </w:r>
      <w:r w:rsidR="004154C6" w:rsidRPr="00212FA1">
        <w:rPr>
          <w:rFonts w:ascii="Times New Roman" w:hAnsi="Times New Roman" w:cs="Times New Roman"/>
          <w:sz w:val="24"/>
          <w:szCs w:val="24"/>
        </w:rPr>
        <w:t xml:space="preserve"> </w:t>
      </w:r>
    </w:p>
    <w:p w:rsidR="00A1100F" w:rsidRDefault="00A1100F" w:rsidP="004E0709">
      <w:pPr>
        <w:spacing w:after="0" w:line="360" w:lineRule="auto"/>
        <w:jc w:val="both"/>
        <w:rPr>
          <w:rFonts w:ascii="Times New Roman" w:hAnsi="Times New Roman" w:cs="Times New Roman"/>
          <w:sz w:val="24"/>
          <w:szCs w:val="24"/>
        </w:rPr>
      </w:pPr>
    </w:p>
    <w:p w:rsidR="00AC1B1A" w:rsidRDefault="000754E4" w:rsidP="004E07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Pr="000754E4">
        <w:rPr>
          <w:rFonts w:ascii="Times New Roman" w:hAnsi="Times New Roman" w:cs="Times New Roman"/>
          <w:sz w:val="24"/>
          <w:szCs w:val="24"/>
        </w:rPr>
        <w:t>he misnomer doctrine applies to correct inconsequential deficiencies or</w:t>
      </w:r>
      <w:r>
        <w:rPr>
          <w:rFonts w:ascii="Times New Roman" w:hAnsi="Times New Roman" w:cs="Times New Roman"/>
          <w:sz w:val="24"/>
          <w:szCs w:val="24"/>
        </w:rPr>
        <w:t xml:space="preserve"> technicalities in names. </w:t>
      </w:r>
      <w:r w:rsidR="000F5ECF">
        <w:rPr>
          <w:rFonts w:ascii="Times New Roman" w:hAnsi="Times New Roman" w:cs="Times New Roman"/>
          <w:sz w:val="24"/>
          <w:szCs w:val="24"/>
        </w:rPr>
        <w:t xml:space="preserve">It has also </w:t>
      </w:r>
      <w:r w:rsidR="000F5ECF" w:rsidRPr="000F5ECF">
        <w:rPr>
          <w:rFonts w:ascii="Times New Roman" w:hAnsi="Times New Roman" w:cs="Times New Roman"/>
          <w:sz w:val="24"/>
          <w:szCs w:val="24"/>
        </w:rPr>
        <w:t>been applied</w:t>
      </w:r>
      <w:r w:rsidR="000F5ECF">
        <w:rPr>
          <w:rFonts w:ascii="Times New Roman" w:hAnsi="Times New Roman" w:cs="Times New Roman"/>
          <w:sz w:val="24"/>
          <w:szCs w:val="24"/>
        </w:rPr>
        <w:t xml:space="preserve"> more </w:t>
      </w:r>
      <w:r w:rsidR="00A1100F">
        <w:rPr>
          <w:rFonts w:ascii="Times New Roman" w:hAnsi="Times New Roman" w:cs="Times New Roman"/>
          <w:sz w:val="24"/>
          <w:szCs w:val="24"/>
        </w:rPr>
        <w:t xml:space="preserve">broadly, </w:t>
      </w:r>
      <w:r w:rsidR="000F5ECF">
        <w:rPr>
          <w:rFonts w:ascii="Times New Roman" w:hAnsi="Times New Roman" w:cs="Times New Roman"/>
          <w:sz w:val="24"/>
          <w:szCs w:val="24"/>
        </w:rPr>
        <w:t xml:space="preserve">for example, to complaints that what was named was a corporation instead of </w:t>
      </w:r>
      <w:r w:rsidR="000F5ECF" w:rsidRPr="000F5ECF">
        <w:rPr>
          <w:rFonts w:ascii="Times New Roman" w:hAnsi="Times New Roman" w:cs="Times New Roman"/>
          <w:sz w:val="24"/>
          <w:szCs w:val="24"/>
        </w:rPr>
        <w:t>a</w:t>
      </w:r>
      <w:r w:rsidR="000F5ECF">
        <w:rPr>
          <w:rFonts w:ascii="Times New Roman" w:hAnsi="Times New Roman" w:cs="Times New Roman"/>
          <w:sz w:val="24"/>
          <w:szCs w:val="24"/>
        </w:rPr>
        <w:t xml:space="preserve"> partnership, </w:t>
      </w:r>
      <w:r w:rsidR="00A1100F">
        <w:rPr>
          <w:rFonts w:ascii="Times New Roman" w:hAnsi="Times New Roman" w:cs="Times New Roman"/>
          <w:sz w:val="24"/>
          <w:szCs w:val="24"/>
        </w:rPr>
        <w:t xml:space="preserve">a </w:t>
      </w:r>
      <w:r w:rsidR="000F5ECF">
        <w:rPr>
          <w:rFonts w:ascii="Times New Roman" w:hAnsi="Times New Roman" w:cs="Times New Roman"/>
          <w:sz w:val="24"/>
          <w:szCs w:val="24"/>
        </w:rPr>
        <w:t xml:space="preserve">parent corporation </w:t>
      </w:r>
      <w:r w:rsidR="00A1100F">
        <w:rPr>
          <w:rFonts w:ascii="Times New Roman" w:hAnsi="Times New Roman" w:cs="Times New Roman"/>
          <w:sz w:val="24"/>
          <w:szCs w:val="24"/>
        </w:rPr>
        <w:t xml:space="preserve">instead </w:t>
      </w:r>
      <w:r w:rsidR="000F5ECF">
        <w:rPr>
          <w:rFonts w:ascii="Times New Roman" w:hAnsi="Times New Roman" w:cs="Times New Roman"/>
          <w:sz w:val="24"/>
          <w:szCs w:val="24"/>
        </w:rPr>
        <w:t xml:space="preserve">of a subsidiary, a building instead of </w:t>
      </w:r>
      <w:r w:rsidR="000F5ECF" w:rsidRPr="000F5ECF">
        <w:rPr>
          <w:rFonts w:ascii="Times New Roman" w:hAnsi="Times New Roman" w:cs="Times New Roman"/>
          <w:sz w:val="24"/>
          <w:szCs w:val="24"/>
        </w:rPr>
        <w:t>its</w:t>
      </w:r>
      <w:r w:rsidR="000F5ECF">
        <w:rPr>
          <w:rFonts w:ascii="Times New Roman" w:hAnsi="Times New Roman" w:cs="Times New Roman"/>
          <w:sz w:val="24"/>
          <w:szCs w:val="24"/>
        </w:rPr>
        <w:t xml:space="preserve"> </w:t>
      </w:r>
      <w:r w:rsidR="000F5ECF" w:rsidRPr="000F5ECF">
        <w:rPr>
          <w:rFonts w:ascii="Times New Roman" w:hAnsi="Times New Roman" w:cs="Times New Roman"/>
          <w:sz w:val="24"/>
          <w:szCs w:val="24"/>
        </w:rPr>
        <w:t>corporate owner, and a corporation in liquidation instead of its successor</w:t>
      </w:r>
      <w:r w:rsidR="000F5ECF">
        <w:rPr>
          <w:rFonts w:ascii="Times New Roman" w:hAnsi="Times New Roman" w:cs="Times New Roman"/>
          <w:sz w:val="24"/>
          <w:szCs w:val="24"/>
        </w:rPr>
        <w:t xml:space="preserve"> (see</w:t>
      </w:r>
      <w:r w:rsidR="00EC658C" w:rsidRPr="00EC658C">
        <w:t xml:space="preserve"> </w:t>
      </w:r>
      <w:r w:rsidR="00EC658C" w:rsidRPr="00EC658C">
        <w:rPr>
          <w:rFonts w:ascii="Times New Roman" w:hAnsi="Times New Roman" w:cs="Times New Roman"/>
          <w:sz w:val="24"/>
          <w:szCs w:val="24"/>
        </w:rPr>
        <w:t>See</w:t>
      </w:r>
      <w:r w:rsidR="00EC658C">
        <w:rPr>
          <w:rFonts w:ascii="Times New Roman" w:hAnsi="Times New Roman" w:cs="Times New Roman"/>
          <w:sz w:val="24"/>
          <w:szCs w:val="24"/>
        </w:rPr>
        <w:t xml:space="preserve"> </w:t>
      </w:r>
      <w:r w:rsidR="00EC658C" w:rsidRPr="00A1100F">
        <w:rPr>
          <w:rFonts w:ascii="Times New Roman" w:hAnsi="Times New Roman" w:cs="Times New Roman"/>
          <w:i/>
          <w:sz w:val="24"/>
          <w:szCs w:val="24"/>
        </w:rPr>
        <w:t xml:space="preserve">Datskow v. Teledyne, Inc., 899 F.2d  1298, 1301-02 </w:t>
      </w:r>
      <w:r w:rsidR="00A1100F">
        <w:rPr>
          <w:rFonts w:ascii="Times New Roman" w:hAnsi="Times New Roman" w:cs="Times New Roman"/>
          <w:i/>
          <w:sz w:val="24"/>
          <w:szCs w:val="24"/>
        </w:rPr>
        <w:t xml:space="preserve">(2d </w:t>
      </w:r>
      <w:r w:rsidR="00EC658C" w:rsidRPr="00A1100F">
        <w:rPr>
          <w:rFonts w:ascii="Times New Roman" w:hAnsi="Times New Roman" w:cs="Times New Roman"/>
          <w:i/>
          <w:sz w:val="24"/>
          <w:szCs w:val="24"/>
        </w:rPr>
        <w:t>Cir.)</w:t>
      </w:r>
      <w:r w:rsidR="00EC658C">
        <w:rPr>
          <w:rFonts w:ascii="Times New Roman" w:hAnsi="Times New Roman" w:cs="Times New Roman"/>
          <w:sz w:val="24"/>
          <w:szCs w:val="24"/>
        </w:rPr>
        <w:t xml:space="preserve"> </w:t>
      </w:r>
      <w:r w:rsidR="00EC658C" w:rsidRPr="00EC658C">
        <w:rPr>
          <w:rFonts w:ascii="Times New Roman" w:hAnsi="Times New Roman" w:cs="Times New Roman"/>
          <w:sz w:val="24"/>
          <w:szCs w:val="24"/>
        </w:rPr>
        <w:t>(parent-subsidiary),</w:t>
      </w:r>
      <w:r w:rsidR="00A1100F">
        <w:rPr>
          <w:rFonts w:ascii="Times New Roman" w:hAnsi="Times New Roman" w:cs="Times New Roman"/>
          <w:sz w:val="24"/>
          <w:szCs w:val="24"/>
        </w:rPr>
        <w:t xml:space="preserve"> cert. </w:t>
      </w:r>
      <w:r w:rsidR="00EC658C" w:rsidRPr="00EC658C">
        <w:rPr>
          <w:rFonts w:ascii="Times New Roman" w:hAnsi="Times New Roman" w:cs="Times New Roman"/>
          <w:sz w:val="24"/>
          <w:szCs w:val="24"/>
        </w:rPr>
        <w:t xml:space="preserve">denied, </w:t>
      </w:r>
      <w:r w:rsidR="00EC658C" w:rsidRPr="00A1100F">
        <w:rPr>
          <w:rFonts w:ascii="Times New Roman" w:hAnsi="Times New Roman" w:cs="Times New Roman"/>
          <w:i/>
          <w:sz w:val="24"/>
          <w:szCs w:val="24"/>
        </w:rPr>
        <w:t>498 U.S. 854 (1990)</w:t>
      </w:r>
      <w:r w:rsidR="00EC658C" w:rsidRPr="00EC658C">
        <w:rPr>
          <w:rFonts w:ascii="Times New Roman" w:hAnsi="Times New Roman" w:cs="Times New Roman"/>
          <w:sz w:val="24"/>
          <w:szCs w:val="24"/>
        </w:rPr>
        <w:t xml:space="preserve">; </w:t>
      </w:r>
      <w:r w:rsidR="00EC658C" w:rsidRPr="00A1100F">
        <w:rPr>
          <w:rFonts w:ascii="Times New Roman" w:hAnsi="Times New Roman" w:cs="Times New Roman"/>
          <w:i/>
          <w:sz w:val="24"/>
          <w:szCs w:val="24"/>
        </w:rPr>
        <w:t>Montalvo v. Tower L</w:t>
      </w:r>
      <w:r w:rsidR="004049C7">
        <w:rPr>
          <w:rFonts w:ascii="Times New Roman" w:hAnsi="Times New Roman" w:cs="Times New Roman"/>
          <w:i/>
          <w:sz w:val="24"/>
          <w:szCs w:val="24"/>
        </w:rPr>
        <w:t xml:space="preserve">ife Bldg, 426 F.2d1135, 1146-47 </w:t>
      </w:r>
      <w:r w:rsidR="00EC658C" w:rsidRPr="00A1100F">
        <w:rPr>
          <w:rFonts w:ascii="Times New Roman" w:hAnsi="Times New Roman" w:cs="Times New Roman"/>
          <w:i/>
          <w:sz w:val="24"/>
          <w:szCs w:val="24"/>
        </w:rPr>
        <w:t>(5</w:t>
      </w:r>
      <w:r w:rsidR="00EC658C" w:rsidRPr="00A1100F">
        <w:rPr>
          <w:rFonts w:ascii="Times New Roman" w:hAnsi="Times New Roman" w:cs="Times New Roman"/>
          <w:i/>
          <w:sz w:val="24"/>
          <w:szCs w:val="24"/>
          <w:vertAlign w:val="superscript"/>
        </w:rPr>
        <w:t>th</w:t>
      </w:r>
      <w:r w:rsidR="00EC658C" w:rsidRPr="00A1100F">
        <w:rPr>
          <w:rFonts w:ascii="Times New Roman" w:hAnsi="Times New Roman" w:cs="Times New Roman"/>
          <w:i/>
          <w:sz w:val="24"/>
          <w:szCs w:val="24"/>
        </w:rPr>
        <w:t xml:space="preserve"> Cir. 1970)</w:t>
      </w:r>
      <w:r w:rsidR="00EC658C" w:rsidRPr="00EC658C">
        <w:rPr>
          <w:rFonts w:ascii="Times New Roman" w:hAnsi="Times New Roman" w:cs="Times New Roman"/>
          <w:sz w:val="24"/>
          <w:szCs w:val="24"/>
        </w:rPr>
        <w:t xml:space="preserve"> (building-corporate owner);</w:t>
      </w:r>
      <w:r w:rsidR="004049C7">
        <w:rPr>
          <w:rFonts w:ascii="Times New Roman" w:hAnsi="Times New Roman" w:cs="Times New Roman"/>
          <w:sz w:val="24"/>
          <w:szCs w:val="24"/>
        </w:rPr>
        <w:t xml:space="preserve"> </w:t>
      </w:r>
      <w:r w:rsidR="00A1100F" w:rsidRPr="00A1100F">
        <w:rPr>
          <w:rFonts w:ascii="Times New Roman" w:hAnsi="Times New Roman" w:cs="Times New Roman"/>
          <w:i/>
          <w:sz w:val="24"/>
          <w:szCs w:val="24"/>
        </w:rPr>
        <w:t>Travellers</w:t>
      </w:r>
      <w:r w:rsidR="004049C7">
        <w:rPr>
          <w:rFonts w:ascii="Times New Roman" w:hAnsi="Times New Roman" w:cs="Times New Roman"/>
          <w:i/>
          <w:sz w:val="24"/>
          <w:szCs w:val="24"/>
        </w:rPr>
        <w:t xml:space="preserve"> Indem. </w:t>
      </w:r>
      <w:r w:rsidR="00EC658C" w:rsidRPr="00A1100F">
        <w:rPr>
          <w:rFonts w:ascii="Times New Roman" w:hAnsi="Times New Roman" w:cs="Times New Roman"/>
          <w:i/>
          <w:sz w:val="24"/>
          <w:szCs w:val="24"/>
        </w:rPr>
        <w:t>Co. v.</w:t>
      </w:r>
      <w:r w:rsidR="004049C7">
        <w:rPr>
          <w:rFonts w:ascii="Times New Roman" w:hAnsi="Times New Roman" w:cs="Times New Roman"/>
          <w:i/>
          <w:sz w:val="24"/>
          <w:szCs w:val="24"/>
        </w:rPr>
        <w:t xml:space="preserve"> United States ex rel. </w:t>
      </w:r>
      <w:r w:rsidR="00A1100F" w:rsidRPr="00A1100F">
        <w:rPr>
          <w:rFonts w:ascii="Times New Roman" w:hAnsi="Times New Roman" w:cs="Times New Roman"/>
          <w:i/>
          <w:sz w:val="24"/>
          <w:szCs w:val="24"/>
        </w:rPr>
        <w:t xml:space="preserve">Construction Specialties </w:t>
      </w:r>
      <w:r w:rsidR="00EC658C" w:rsidRPr="00A1100F">
        <w:rPr>
          <w:rFonts w:ascii="Times New Roman" w:hAnsi="Times New Roman" w:cs="Times New Roman"/>
          <w:i/>
          <w:sz w:val="24"/>
          <w:szCs w:val="24"/>
        </w:rPr>
        <w:t>Co.,  382  F.2d  103  (10</w:t>
      </w:r>
      <w:r w:rsidR="00EC658C" w:rsidRPr="00A1100F">
        <w:rPr>
          <w:rFonts w:ascii="Times New Roman" w:hAnsi="Times New Roman" w:cs="Times New Roman"/>
          <w:i/>
          <w:sz w:val="24"/>
          <w:szCs w:val="24"/>
          <w:vertAlign w:val="superscript"/>
        </w:rPr>
        <w:t>th</w:t>
      </w:r>
      <w:r w:rsidR="00A1100F">
        <w:rPr>
          <w:rFonts w:ascii="Times New Roman" w:hAnsi="Times New Roman" w:cs="Times New Roman"/>
          <w:i/>
          <w:sz w:val="24"/>
          <w:szCs w:val="24"/>
        </w:rPr>
        <w:t xml:space="preserve"> </w:t>
      </w:r>
      <w:r w:rsidR="00EC658C" w:rsidRPr="00A1100F">
        <w:rPr>
          <w:rFonts w:ascii="Times New Roman" w:hAnsi="Times New Roman" w:cs="Times New Roman"/>
          <w:i/>
          <w:sz w:val="24"/>
          <w:szCs w:val="24"/>
        </w:rPr>
        <w:t>Cir.  1967)</w:t>
      </w:r>
      <w:r w:rsidR="00A1100F">
        <w:rPr>
          <w:rFonts w:ascii="Times New Roman" w:hAnsi="Times New Roman" w:cs="Times New Roman"/>
          <w:sz w:val="24"/>
          <w:szCs w:val="24"/>
        </w:rPr>
        <w:t xml:space="preserve"> (parent-subsidiary); </w:t>
      </w:r>
      <w:r w:rsidR="00A1100F" w:rsidRPr="00A1100F">
        <w:rPr>
          <w:rFonts w:ascii="Times New Roman" w:hAnsi="Times New Roman" w:cs="Times New Roman"/>
          <w:i/>
          <w:sz w:val="24"/>
          <w:szCs w:val="24"/>
        </w:rPr>
        <w:t xml:space="preserve">Shoap v. Kiwi S.A., 149 F.R.D. 509 (M.D. Pa. </w:t>
      </w:r>
      <w:r w:rsidR="00EC658C" w:rsidRPr="00A1100F">
        <w:rPr>
          <w:rFonts w:ascii="Times New Roman" w:hAnsi="Times New Roman" w:cs="Times New Roman"/>
          <w:i/>
          <w:sz w:val="24"/>
          <w:szCs w:val="24"/>
        </w:rPr>
        <w:t>1993</w:t>
      </w:r>
      <w:r w:rsidR="00EC658C" w:rsidRPr="00EC658C">
        <w:rPr>
          <w:rFonts w:ascii="Times New Roman" w:hAnsi="Times New Roman" w:cs="Times New Roman"/>
          <w:sz w:val="24"/>
          <w:szCs w:val="24"/>
        </w:rPr>
        <w:t>) (successor</w:t>
      </w:r>
      <w:r w:rsidR="00A1100F">
        <w:rPr>
          <w:rFonts w:ascii="Times New Roman" w:hAnsi="Times New Roman" w:cs="Times New Roman"/>
          <w:sz w:val="24"/>
          <w:szCs w:val="24"/>
        </w:rPr>
        <w:t xml:space="preserve"> </w:t>
      </w:r>
      <w:r w:rsidR="00EC658C" w:rsidRPr="00EC658C">
        <w:rPr>
          <w:rFonts w:ascii="Times New Roman" w:hAnsi="Times New Roman" w:cs="Times New Roman"/>
          <w:sz w:val="24"/>
          <w:szCs w:val="24"/>
        </w:rPr>
        <w:t>corporation);</w:t>
      </w:r>
      <w:r w:rsidR="00A1100F">
        <w:rPr>
          <w:rFonts w:ascii="Times New Roman" w:hAnsi="Times New Roman" w:cs="Times New Roman"/>
          <w:sz w:val="24"/>
          <w:szCs w:val="24"/>
        </w:rPr>
        <w:t xml:space="preserve"> </w:t>
      </w:r>
      <w:r w:rsidR="00A1100F" w:rsidRPr="00A1100F">
        <w:rPr>
          <w:rFonts w:ascii="Times New Roman" w:hAnsi="Times New Roman" w:cs="Times New Roman"/>
          <w:i/>
          <w:sz w:val="24"/>
          <w:szCs w:val="24"/>
        </w:rPr>
        <w:t>Dunham v. Innerst, 50 F.R.D. 372 (M.D. Pa. 1970)</w:t>
      </w:r>
      <w:r w:rsidR="00A1100F">
        <w:rPr>
          <w:rFonts w:ascii="Times New Roman" w:hAnsi="Times New Roman" w:cs="Times New Roman"/>
          <w:sz w:val="24"/>
          <w:szCs w:val="24"/>
        </w:rPr>
        <w:t xml:space="preserve"> </w:t>
      </w:r>
      <w:r w:rsidR="00EC658C" w:rsidRPr="00EC658C">
        <w:rPr>
          <w:rFonts w:ascii="Times New Roman" w:hAnsi="Times New Roman" w:cs="Times New Roman"/>
          <w:sz w:val="24"/>
          <w:szCs w:val="24"/>
        </w:rPr>
        <w:t>(corporation-partnership);</w:t>
      </w:r>
      <w:r w:rsidR="00A1100F">
        <w:rPr>
          <w:rFonts w:ascii="Times New Roman" w:hAnsi="Times New Roman" w:cs="Times New Roman"/>
          <w:sz w:val="24"/>
          <w:szCs w:val="24"/>
        </w:rPr>
        <w:t xml:space="preserve"> </w:t>
      </w:r>
      <w:r w:rsidR="00A1100F" w:rsidRPr="00A1100F">
        <w:rPr>
          <w:rFonts w:ascii="Times New Roman" w:hAnsi="Times New Roman" w:cs="Times New Roman"/>
          <w:i/>
          <w:sz w:val="24"/>
          <w:szCs w:val="24"/>
        </w:rPr>
        <w:t xml:space="preserve">Adams v. Beland Realty Corp., 187 F. Supp. 680 </w:t>
      </w:r>
      <w:r w:rsidR="00A1100F">
        <w:rPr>
          <w:rFonts w:ascii="Times New Roman" w:hAnsi="Times New Roman" w:cs="Times New Roman"/>
          <w:i/>
          <w:sz w:val="24"/>
          <w:szCs w:val="24"/>
        </w:rPr>
        <w:t xml:space="preserve">(E.D.N.Y. </w:t>
      </w:r>
      <w:r w:rsidR="00EC658C" w:rsidRPr="00A1100F">
        <w:rPr>
          <w:rFonts w:ascii="Times New Roman" w:hAnsi="Times New Roman" w:cs="Times New Roman"/>
          <w:i/>
          <w:sz w:val="24"/>
          <w:szCs w:val="24"/>
        </w:rPr>
        <w:t>1960)</w:t>
      </w:r>
      <w:r w:rsidR="00A1100F">
        <w:rPr>
          <w:rFonts w:ascii="Times New Roman" w:hAnsi="Times New Roman" w:cs="Times New Roman"/>
          <w:sz w:val="24"/>
          <w:szCs w:val="24"/>
        </w:rPr>
        <w:t xml:space="preserve"> </w:t>
      </w:r>
      <w:r w:rsidR="00EC658C" w:rsidRPr="00EC658C">
        <w:rPr>
          <w:rFonts w:ascii="Times New Roman" w:hAnsi="Times New Roman" w:cs="Times New Roman"/>
          <w:sz w:val="24"/>
          <w:szCs w:val="24"/>
        </w:rPr>
        <w:t>(same)</w:t>
      </w:r>
      <w:r w:rsidR="00EC658C">
        <w:rPr>
          <w:rFonts w:ascii="Times New Roman" w:hAnsi="Times New Roman" w:cs="Times New Roman"/>
          <w:sz w:val="24"/>
          <w:szCs w:val="24"/>
        </w:rPr>
        <w:t>.</w:t>
      </w:r>
      <w:r w:rsidR="000F5ECF" w:rsidRPr="000F5ECF">
        <w:rPr>
          <w:rFonts w:ascii="Times New Roman" w:hAnsi="Times New Roman" w:cs="Times New Roman"/>
          <w:sz w:val="24"/>
          <w:szCs w:val="24"/>
        </w:rPr>
        <w:t xml:space="preserve"> </w:t>
      </w:r>
      <w:r w:rsidR="00212FA1">
        <w:rPr>
          <w:rFonts w:ascii="Times New Roman" w:hAnsi="Times New Roman" w:cs="Times New Roman"/>
          <w:sz w:val="24"/>
          <w:szCs w:val="24"/>
        </w:rPr>
        <w:t xml:space="preserve">A </w:t>
      </w:r>
      <w:r w:rsidR="00212FA1" w:rsidRPr="00212FA1">
        <w:rPr>
          <w:rFonts w:ascii="Times New Roman" w:hAnsi="Times New Roman" w:cs="Times New Roman"/>
          <w:sz w:val="24"/>
          <w:szCs w:val="24"/>
        </w:rPr>
        <w:t>classic</w:t>
      </w:r>
      <w:r w:rsidR="00212FA1">
        <w:rPr>
          <w:rFonts w:ascii="Times New Roman" w:hAnsi="Times New Roman" w:cs="Times New Roman"/>
          <w:sz w:val="24"/>
          <w:szCs w:val="24"/>
        </w:rPr>
        <w:t xml:space="preserve"> misnomer is</w:t>
      </w:r>
      <w:r w:rsidR="00212FA1" w:rsidRPr="00212FA1">
        <w:rPr>
          <w:rFonts w:ascii="Times New Roman" w:hAnsi="Times New Roman" w:cs="Times New Roman"/>
          <w:sz w:val="24"/>
          <w:szCs w:val="24"/>
        </w:rPr>
        <w:t xml:space="preserve"> one in which the </w:t>
      </w:r>
      <w:r w:rsidR="00212FA1">
        <w:rPr>
          <w:rFonts w:ascii="Times New Roman" w:hAnsi="Times New Roman" w:cs="Times New Roman"/>
          <w:sz w:val="24"/>
          <w:szCs w:val="24"/>
        </w:rPr>
        <w:t>name</w:t>
      </w:r>
      <w:r w:rsidR="00212FA1" w:rsidRPr="00212FA1">
        <w:rPr>
          <w:rFonts w:ascii="Times New Roman" w:hAnsi="Times New Roman" w:cs="Times New Roman"/>
          <w:sz w:val="24"/>
          <w:szCs w:val="24"/>
        </w:rPr>
        <w:t xml:space="preserve"> contains a minor spelling error of the </w:t>
      </w:r>
      <w:r>
        <w:rPr>
          <w:rFonts w:ascii="Times New Roman" w:hAnsi="Times New Roman" w:cs="Times New Roman"/>
          <w:sz w:val="24"/>
          <w:szCs w:val="24"/>
        </w:rPr>
        <w:t>subject'</w:t>
      </w:r>
      <w:r w:rsidRPr="00212FA1">
        <w:rPr>
          <w:rFonts w:ascii="Times New Roman" w:hAnsi="Times New Roman" w:cs="Times New Roman"/>
          <w:sz w:val="24"/>
          <w:szCs w:val="24"/>
        </w:rPr>
        <w:t>s</w:t>
      </w:r>
      <w:r w:rsidR="00212FA1" w:rsidRPr="00212FA1">
        <w:rPr>
          <w:rFonts w:ascii="Times New Roman" w:hAnsi="Times New Roman" w:cs="Times New Roman"/>
          <w:sz w:val="24"/>
          <w:szCs w:val="24"/>
        </w:rPr>
        <w:t xml:space="preserve"> name</w:t>
      </w:r>
      <w:r w:rsidR="00A01137">
        <w:rPr>
          <w:rFonts w:ascii="Times New Roman" w:hAnsi="Times New Roman" w:cs="Times New Roman"/>
          <w:sz w:val="24"/>
          <w:szCs w:val="24"/>
        </w:rPr>
        <w:t>, or inclusion of</w:t>
      </w:r>
      <w:r w:rsidR="00A01137" w:rsidRPr="00A01137">
        <w:rPr>
          <w:rFonts w:ascii="Times New Roman" w:hAnsi="Times New Roman" w:cs="Times New Roman"/>
          <w:sz w:val="24"/>
          <w:szCs w:val="24"/>
        </w:rPr>
        <w:t xml:space="preserve"> </w:t>
      </w:r>
      <w:r w:rsidR="00A01137">
        <w:rPr>
          <w:rFonts w:ascii="Times New Roman" w:hAnsi="Times New Roman" w:cs="Times New Roman"/>
          <w:sz w:val="24"/>
          <w:szCs w:val="24"/>
        </w:rPr>
        <w:t>a</w:t>
      </w:r>
      <w:r w:rsidR="00A01137" w:rsidRPr="00A01137">
        <w:rPr>
          <w:rFonts w:ascii="Times New Roman" w:hAnsi="Times New Roman" w:cs="Times New Roman"/>
          <w:sz w:val="24"/>
          <w:szCs w:val="24"/>
        </w:rPr>
        <w:t xml:space="preserve"> full middle name rather than merely a middle initial</w:t>
      </w:r>
      <w:r w:rsidR="00212FA1" w:rsidRPr="00212FA1">
        <w:rPr>
          <w:rFonts w:ascii="Times New Roman" w:hAnsi="Times New Roman" w:cs="Times New Roman"/>
          <w:sz w:val="24"/>
          <w:szCs w:val="24"/>
        </w:rPr>
        <w:t xml:space="preserve">. </w:t>
      </w:r>
      <w:r w:rsidR="004154C6" w:rsidRPr="00212FA1">
        <w:rPr>
          <w:rFonts w:ascii="Times New Roman" w:hAnsi="Times New Roman" w:cs="Times New Roman"/>
          <w:sz w:val="24"/>
          <w:szCs w:val="24"/>
        </w:rPr>
        <w:t>If it is a case of misnomer, the name could be corrected by replacing the</w:t>
      </w:r>
      <w:r w:rsidR="004154C6" w:rsidRPr="004154C6">
        <w:rPr>
          <w:rFonts w:ascii="Times New Roman" w:hAnsi="Times New Roman" w:cs="Times New Roman"/>
          <w:sz w:val="24"/>
          <w:szCs w:val="24"/>
        </w:rPr>
        <w:t xml:space="preserve"> </w:t>
      </w:r>
      <w:r w:rsidR="004154C6">
        <w:rPr>
          <w:rFonts w:ascii="Times New Roman" w:hAnsi="Times New Roman" w:cs="Times New Roman"/>
          <w:sz w:val="24"/>
          <w:szCs w:val="24"/>
        </w:rPr>
        <w:t>erroneous</w:t>
      </w:r>
      <w:r w:rsidR="004154C6" w:rsidRPr="004154C6">
        <w:rPr>
          <w:rFonts w:ascii="Times New Roman" w:hAnsi="Times New Roman" w:cs="Times New Roman"/>
          <w:sz w:val="24"/>
          <w:szCs w:val="24"/>
        </w:rPr>
        <w:t xml:space="preserve"> name for the correct name</w:t>
      </w:r>
      <w:r w:rsidR="004154C6">
        <w:rPr>
          <w:rFonts w:ascii="Times New Roman" w:hAnsi="Times New Roman" w:cs="Times New Roman"/>
          <w:sz w:val="24"/>
          <w:szCs w:val="24"/>
        </w:rPr>
        <w:t xml:space="preserve">. </w:t>
      </w:r>
    </w:p>
    <w:p w:rsidR="0090465A" w:rsidRDefault="0090465A" w:rsidP="004E0709">
      <w:pPr>
        <w:spacing w:after="0" w:line="360" w:lineRule="auto"/>
        <w:jc w:val="both"/>
        <w:rPr>
          <w:rFonts w:ascii="Times New Roman" w:hAnsi="Times New Roman" w:cs="Times New Roman"/>
          <w:sz w:val="24"/>
          <w:szCs w:val="24"/>
        </w:rPr>
      </w:pPr>
    </w:p>
    <w:p w:rsidR="00FC23C1" w:rsidRDefault="0090465A" w:rsidP="004E07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known background facts </w:t>
      </w:r>
      <w:r w:rsidR="000F5ECF">
        <w:rPr>
          <w:rFonts w:ascii="Times New Roman" w:hAnsi="Times New Roman" w:cs="Times New Roman"/>
          <w:sz w:val="24"/>
          <w:szCs w:val="24"/>
        </w:rPr>
        <w:t xml:space="preserve">in the instant case </w:t>
      </w:r>
      <w:r>
        <w:rPr>
          <w:rFonts w:ascii="Times New Roman" w:hAnsi="Times New Roman" w:cs="Times New Roman"/>
          <w:sz w:val="24"/>
          <w:szCs w:val="24"/>
        </w:rPr>
        <w:t>are that</w:t>
      </w:r>
      <w:r w:rsidR="00133F7E">
        <w:rPr>
          <w:rFonts w:ascii="Times New Roman" w:hAnsi="Times New Roman" w:cs="Times New Roman"/>
          <w:sz w:val="24"/>
          <w:szCs w:val="24"/>
        </w:rPr>
        <w:t>; (i)</w:t>
      </w:r>
      <w:r>
        <w:rPr>
          <w:rFonts w:ascii="Times New Roman" w:hAnsi="Times New Roman" w:cs="Times New Roman"/>
          <w:sz w:val="24"/>
          <w:szCs w:val="24"/>
        </w:rPr>
        <w:t xml:space="preserve"> there is no evidence to show that there was more than one person by the name of Okumu Lazar</w:t>
      </w:r>
      <w:r w:rsidR="000F5ECF">
        <w:rPr>
          <w:rFonts w:ascii="Times New Roman" w:hAnsi="Times New Roman" w:cs="Times New Roman"/>
          <w:sz w:val="24"/>
          <w:szCs w:val="24"/>
        </w:rPr>
        <w:t>o resident in Kanyagoga "A" sub-</w:t>
      </w:r>
      <w:r>
        <w:rPr>
          <w:rFonts w:ascii="Times New Roman" w:hAnsi="Times New Roman" w:cs="Times New Roman"/>
          <w:sz w:val="24"/>
          <w:szCs w:val="24"/>
        </w:rPr>
        <w:t xml:space="preserve">ward; </w:t>
      </w:r>
      <w:r w:rsidR="00133F7E">
        <w:rPr>
          <w:rFonts w:ascii="Times New Roman" w:hAnsi="Times New Roman" w:cs="Times New Roman"/>
          <w:sz w:val="24"/>
          <w:szCs w:val="24"/>
        </w:rPr>
        <w:t xml:space="preserve">(ii) </w:t>
      </w:r>
      <w:r>
        <w:rPr>
          <w:rFonts w:ascii="Times New Roman" w:hAnsi="Times New Roman" w:cs="Times New Roman"/>
          <w:sz w:val="24"/>
          <w:szCs w:val="24"/>
        </w:rPr>
        <w:t xml:space="preserve">plot 117 is located in  Kanyagoga "A" </w:t>
      </w:r>
      <w:r w:rsidR="000F5ECF">
        <w:rPr>
          <w:rFonts w:ascii="Times New Roman" w:hAnsi="Times New Roman" w:cs="Times New Roman"/>
          <w:sz w:val="24"/>
          <w:szCs w:val="24"/>
        </w:rPr>
        <w:t>sub-</w:t>
      </w:r>
      <w:r>
        <w:rPr>
          <w:rFonts w:ascii="Times New Roman" w:hAnsi="Times New Roman" w:cs="Times New Roman"/>
          <w:sz w:val="24"/>
          <w:szCs w:val="24"/>
        </w:rPr>
        <w:t xml:space="preserve">ward; </w:t>
      </w:r>
      <w:r w:rsidR="00133F7E">
        <w:rPr>
          <w:rFonts w:ascii="Times New Roman" w:hAnsi="Times New Roman" w:cs="Times New Roman"/>
          <w:sz w:val="24"/>
          <w:szCs w:val="24"/>
        </w:rPr>
        <w:t xml:space="preserve">(iii) </w:t>
      </w:r>
      <w:r>
        <w:rPr>
          <w:rFonts w:ascii="Times New Roman" w:hAnsi="Times New Roman" w:cs="Times New Roman"/>
          <w:sz w:val="24"/>
          <w:szCs w:val="24"/>
        </w:rPr>
        <w:t xml:space="preserve">in the official Municipal Council records, plot 117 is </w:t>
      </w:r>
      <w:r w:rsidR="000F5ECF">
        <w:rPr>
          <w:rFonts w:ascii="Times New Roman" w:hAnsi="Times New Roman" w:cs="Times New Roman"/>
          <w:sz w:val="24"/>
          <w:szCs w:val="24"/>
        </w:rPr>
        <w:t>registered</w:t>
      </w:r>
      <w:r>
        <w:rPr>
          <w:rFonts w:ascii="Times New Roman" w:hAnsi="Times New Roman" w:cs="Times New Roman"/>
          <w:sz w:val="24"/>
          <w:szCs w:val="24"/>
        </w:rPr>
        <w:t xml:space="preserve"> to a one "Okum Lazaro"; </w:t>
      </w:r>
      <w:r w:rsidR="00133F7E">
        <w:rPr>
          <w:rFonts w:ascii="Times New Roman" w:hAnsi="Times New Roman" w:cs="Times New Roman"/>
          <w:sz w:val="24"/>
          <w:szCs w:val="24"/>
        </w:rPr>
        <w:t xml:space="preserve">(iv) </w:t>
      </w:r>
      <w:r>
        <w:rPr>
          <w:rFonts w:ascii="Times New Roman" w:hAnsi="Times New Roman" w:cs="Times New Roman"/>
          <w:sz w:val="24"/>
          <w:szCs w:val="24"/>
        </w:rPr>
        <w:t xml:space="preserve">it is the person named </w:t>
      </w:r>
      <w:r w:rsidR="00133F7E">
        <w:rPr>
          <w:rFonts w:ascii="Times New Roman" w:hAnsi="Times New Roman" w:cs="Times New Roman"/>
          <w:sz w:val="24"/>
          <w:szCs w:val="24"/>
        </w:rPr>
        <w:t xml:space="preserve">as </w:t>
      </w:r>
      <w:r>
        <w:rPr>
          <w:rFonts w:ascii="Times New Roman" w:hAnsi="Times New Roman" w:cs="Times New Roman"/>
          <w:sz w:val="24"/>
          <w:szCs w:val="24"/>
        </w:rPr>
        <w:t>Okumu Lazaro who used to pay municipal rates due for plot 117</w:t>
      </w:r>
      <w:r w:rsidR="003723B5">
        <w:rPr>
          <w:rFonts w:ascii="Times New Roman" w:hAnsi="Times New Roman" w:cs="Times New Roman"/>
          <w:sz w:val="24"/>
          <w:szCs w:val="24"/>
        </w:rPr>
        <w:t xml:space="preserve"> unt</w:t>
      </w:r>
      <w:r w:rsidR="00133F7E">
        <w:rPr>
          <w:rFonts w:ascii="Times New Roman" w:hAnsi="Times New Roman" w:cs="Times New Roman"/>
          <w:sz w:val="24"/>
          <w:szCs w:val="24"/>
        </w:rPr>
        <w:t>il the a</w:t>
      </w:r>
      <w:r w:rsidR="00FC23C1">
        <w:rPr>
          <w:rFonts w:ascii="Times New Roman" w:hAnsi="Times New Roman" w:cs="Times New Roman"/>
          <w:sz w:val="24"/>
          <w:szCs w:val="24"/>
        </w:rPr>
        <w:t xml:space="preserve">bolition of those rates in 1995; </w:t>
      </w:r>
      <w:r w:rsidR="00781ACB">
        <w:rPr>
          <w:rFonts w:ascii="Times New Roman" w:hAnsi="Times New Roman" w:cs="Times New Roman"/>
          <w:sz w:val="24"/>
          <w:szCs w:val="24"/>
        </w:rPr>
        <w:t xml:space="preserve">(v) </w:t>
      </w:r>
      <w:r w:rsidR="00FC23C1">
        <w:rPr>
          <w:rFonts w:ascii="Times New Roman" w:hAnsi="Times New Roman" w:cs="Times New Roman"/>
          <w:sz w:val="24"/>
          <w:szCs w:val="24"/>
        </w:rPr>
        <w:t>Okumu Lazaro is the appellant's father</w:t>
      </w:r>
      <w:r w:rsidR="00781ACB">
        <w:rPr>
          <w:rFonts w:ascii="Times New Roman" w:hAnsi="Times New Roman" w:cs="Times New Roman"/>
          <w:sz w:val="24"/>
          <w:szCs w:val="24"/>
        </w:rPr>
        <w:t>;</w:t>
      </w:r>
      <w:r w:rsidR="00FC23C1">
        <w:rPr>
          <w:rFonts w:ascii="Times New Roman" w:hAnsi="Times New Roman" w:cs="Times New Roman"/>
          <w:sz w:val="24"/>
          <w:szCs w:val="24"/>
        </w:rPr>
        <w:t xml:space="preserve"> </w:t>
      </w:r>
      <w:r w:rsidR="00781ACB">
        <w:rPr>
          <w:rFonts w:ascii="Times New Roman" w:hAnsi="Times New Roman" w:cs="Times New Roman"/>
          <w:sz w:val="24"/>
          <w:szCs w:val="24"/>
        </w:rPr>
        <w:t xml:space="preserve">(vi) the name Okum when spelt with a "u" at </w:t>
      </w:r>
      <w:r w:rsidR="00781ACB">
        <w:rPr>
          <w:rFonts w:ascii="Times New Roman" w:hAnsi="Times New Roman" w:cs="Times New Roman"/>
          <w:sz w:val="24"/>
          <w:szCs w:val="24"/>
        </w:rPr>
        <w:lastRenderedPageBreak/>
        <w:t xml:space="preserve">the end is the Acholi version while when it is spelt without a "u" at the end is the Alur version; (vii) the appellant and his father Okumu Lazaro are Acholi. </w:t>
      </w:r>
      <w:r w:rsidR="00213B10">
        <w:rPr>
          <w:rFonts w:ascii="Times New Roman" w:hAnsi="Times New Roman" w:cs="Times New Roman"/>
          <w:sz w:val="24"/>
          <w:szCs w:val="24"/>
        </w:rPr>
        <w:t xml:space="preserve">The question then is whether with those known </w:t>
      </w:r>
      <w:r w:rsidR="00FC23C1">
        <w:rPr>
          <w:rFonts w:ascii="Times New Roman" w:hAnsi="Times New Roman" w:cs="Times New Roman"/>
          <w:sz w:val="24"/>
          <w:szCs w:val="24"/>
        </w:rPr>
        <w:t xml:space="preserve">background </w:t>
      </w:r>
      <w:r w:rsidR="00213B10">
        <w:rPr>
          <w:rFonts w:ascii="Times New Roman" w:hAnsi="Times New Roman" w:cs="Times New Roman"/>
          <w:sz w:val="24"/>
          <w:szCs w:val="24"/>
        </w:rPr>
        <w:t>facts, the name "Okum Lazaro" reflected i</w:t>
      </w:r>
      <w:r w:rsidR="00FC23C1">
        <w:rPr>
          <w:rFonts w:ascii="Times New Roman" w:hAnsi="Times New Roman" w:cs="Times New Roman"/>
          <w:sz w:val="24"/>
          <w:szCs w:val="24"/>
        </w:rPr>
        <w:t>n the Municipal Council record in respect to</w:t>
      </w:r>
      <w:r w:rsidR="00213B10">
        <w:rPr>
          <w:rFonts w:ascii="Times New Roman" w:hAnsi="Times New Roman" w:cs="Times New Roman"/>
          <w:sz w:val="24"/>
          <w:szCs w:val="24"/>
        </w:rPr>
        <w:t xml:space="preserve"> </w:t>
      </w:r>
      <w:r w:rsidR="00213B10" w:rsidRPr="001C3147">
        <w:rPr>
          <w:rFonts w:ascii="Times New Roman" w:hAnsi="Times New Roman" w:cs="Times New Roman"/>
          <w:sz w:val="24"/>
          <w:szCs w:val="24"/>
        </w:rPr>
        <w:t>plot 117</w:t>
      </w:r>
      <w:r w:rsidR="00FC23C1">
        <w:rPr>
          <w:rFonts w:ascii="Times New Roman" w:hAnsi="Times New Roman" w:cs="Times New Roman"/>
          <w:sz w:val="24"/>
          <w:szCs w:val="24"/>
        </w:rPr>
        <w:t>,</w:t>
      </w:r>
      <w:r w:rsidR="00213B10" w:rsidRPr="001C3147">
        <w:rPr>
          <w:rFonts w:ascii="Times New Roman" w:hAnsi="Times New Roman" w:cs="Times New Roman"/>
          <w:sz w:val="24"/>
          <w:szCs w:val="24"/>
        </w:rPr>
        <w:t xml:space="preserve"> </w:t>
      </w:r>
      <w:r w:rsidR="00FC23C1">
        <w:rPr>
          <w:rFonts w:ascii="Times New Roman" w:hAnsi="Times New Roman" w:cs="Times New Roman"/>
          <w:sz w:val="24"/>
          <w:szCs w:val="24"/>
        </w:rPr>
        <w:t>can be attributed</w:t>
      </w:r>
      <w:r w:rsidR="00213B10" w:rsidRPr="001C3147">
        <w:rPr>
          <w:rFonts w:ascii="Times New Roman" w:hAnsi="Times New Roman" w:cs="Times New Roman"/>
          <w:sz w:val="24"/>
          <w:szCs w:val="24"/>
        </w:rPr>
        <w:t xml:space="preserve"> to Okumu Lazaro</w:t>
      </w:r>
      <w:r w:rsidR="00A470AE">
        <w:rPr>
          <w:rFonts w:ascii="Times New Roman" w:hAnsi="Times New Roman" w:cs="Times New Roman"/>
          <w:sz w:val="24"/>
          <w:szCs w:val="24"/>
        </w:rPr>
        <w:t>,</w:t>
      </w:r>
      <w:r w:rsidR="00213B10" w:rsidRPr="001C3147">
        <w:rPr>
          <w:rFonts w:ascii="Times New Roman" w:hAnsi="Times New Roman" w:cs="Times New Roman"/>
          <w:sz w:val="24"/>
          <w:szCs w:val="24"/>
        </w:rPr>
        <w:t xml:space="preserve"> the father of the appellant or to someone else unconnected thereto</w:t>
      </w:r>
      <w:r w:rsidR="00FC23C1">
        <w:rPr>
          <w:rFonts w:ascii="Times New Roman" w:hAnsi="Times New Roman" w:cs="Times New Roman"/>
          <w:sz w:val="24"/>
          <w:szCs w:val="24"/>
        </w:rPr>
        <w:t xml:space="preserve"> since m</w:t>
      </w:r>
      <w:r w:rsidR="001C3147" w:rsidRPr="001C3147">
        <w:rPr>
          <w:rFonts w:ascii="Times New Roman" w:hAnsi="Times New Roman" w:cs="Times New Roman"/>
          <w:sz w:val="24"/>
          <w:szCs w:val="24"/>
        </w:rPr>
        <w:t xml:space="preserve">isidentification is distinct from misnomer. </w:t>
      </w:r>
    </w:p>
    <w:p w:rsidR="00781ACB" w:rsidRDefault="00781ACB" w:rsidP="004E0709">
      <w:pPr>
        <w:spacing w:after="0" w:line="360" w:lineRule="auto"/>
        <w:jc w:val="both"/>
        <w:rPr>
          <w:rFonts w:ascii="Times New Roman" w:hAnsi="Times New Roman" w:cs="Times New Roman"/>
          <w:sz w:val="24"/>
          <w:szCs w:val="24"/>
        </w:rPr>
      </w:pPr>
    </w:p>
    <w:p w:rsidR="00D05771" w:rsidRDefault="00C85655" w:rsidP="004E0709">
      <w:pPr>
        <w:spacing w:after="0" w:line="360" w:lineRule="auto"/>
        <w:jc w:val="both"/>
        <w:rPr>
          <w:rFonts w:ascii="Times New Roman" w:hAnsi="Times New Roman" w:cs="Times New Roman"/>
          <w:sz w:val="24"/>
          <w:szCs w:val="24"/>
        </w:rPr>
      </w:pPr>
      <w:r w:rsidRPr="001C3147">
        <w:rPr>
          <w:rFonts w:ascii="Times New Roman" w:hAnsi="Times New Roman" w:cs="Times New Roman"/>
          <w:sz w:val="24"/>
          <w:szCs w:val="24"/>
        </w:rPr>
        <w:t xml:space="preserve">Misidentification arises when two separate </w:t>
      </w:r>
      <w:r w:rsidR="001C3147">
        <w:rPr>
          <w:rFonts w:ascii="Times New Roman" w:hAnsi="Times New Roman" w:cs="Times New Roman"/>
          <w:sz w:val="24"/>
          <w:szCs w:val="24"/>
        </w:rPr>
        <w:t>persons</w:t>
      </w:r>
      <w:r w:rsidRPr="001C3147">
        <w:rPr>
          <w:rFonts w:ascii="Times New Roman" w:hAnsi="Times New Roman" w:cs="Times New Roman"/>
          <w:sz w:val="24"/>
          <w:szCs w:val="24"/>
        </w:rPr>
        <w:t xml:space="preserve"> actually exist and a</w:t>
      </w:r>
      <w:r w:rsidR="001C3147">
        <w:rPr>
          <w:rFonts w:ascii="Times New Roman" w:hAnsi="Times New Roman" w:cs="Times New Roman"/>
          <w:sz w:val="24"/>
          <w:szCs w:val="24"/>
        </w:rPr>
        <w:t>n</w:t>
      </w:r>
      <w:r w:rsidRPr="001C3147">
        <w:rPr>
          <w:rFonts w:ascii="Times New Roman" w:hAnsi="Times New Roman" w:cs="Times New Roman"/>
          <w:sz w:val="24"/>
          <w:szCs w:val="24"/>
        </w:rPr>
        <w:t xml:space="preserve"> </w:t>
      </w:r>
      <w:r w:rsidR="001C3147">
        <w:rPr>
          <w:rFonts w:ascii="Times New Roman" w:hAnsi="Times New Roman" w:cs="Times New Roman"/>
          <w:sz w:val="24"/>
          <w:szCs w:val="24"/>
        </w:rPr>
        <w:t xml:space="preserve">author </w:t>
      </w:r>
      <w:r w:rsidRPr="001C3147">
        <w:rPr>
          <w:rFonts w:ascii="Times New Roman" w:hAnsi="Times New Roman" w:cs="Times New Roman"/>
          <w:sz w:val="24"/>
          <w:szCs w:val="24"/>
        </w:rPr>
        <w:t>mistakenly</w:t>
      </w:r>
      <w:r w:rsidRPr="00C85655">
        <w:rPr>
          <w:rFonts w:ascii="Times New Roman" w:hAnsi="Times New Roman" w:cs="Times New Roman"/>
          <w:sz w:val="24"/>
          <w:szCs w:val="24"/>
        </w:rPr>
        <w:t xml:space="preserve"> </w:t>
      </w:r>
      <w:r w:rsidR="001C3147">
        <w:rPr>
          <w:rFonts w:ascii="Times New Roman" w:hAnsi="Times New Roman" w:cs="Times New Roman"/>
          <w:sz w:val="24"/>
          <w:szCs w:val="24"/>
        </w:rPr>
        <w:t>writes a name</w:t>
      </w:r>
      <w:r w:rsidRPr="00C85655">
        <w:rPr>
          <w:rFonts w:ascii="Times New Roman" w:hAnsi="Times New Roman" w:cs="Times New Roman"/>
          <w:sz w:val="24"/>
          <w:szCs w:val="24"/>
        </w:rPr>
        <w:t xml:space="preserve"> similar </w:t>
      </w:r>
      <w:r w:rsidR="00FC23C1">
        <w:rPr>
          <w:rFonts w:ascii="Times New Roman" w:hAnsi="Times New Roman" w:cs="Times New Roman"/>
          <w:sz w:val="24"/>
          <w:szCs w:val="24"/>
        </w:rPr>
        <w:t xml:space="preserve">or identical </w:t>
      </w:r>
      <w:r w:rsidRPr="00C85655">
        <w:rPr>
          <w:rFonts w:ascii="Times New Roman" w:hAnsi="Times New Roman" w:cs="Times New Roman"/>
          <w:sz w:val="24"/>
          <w:szCs w:val="24"/>
        </w:rPr>
        <w:t xml:space="preserve">to that of the correct </w:t>
      </w:r>
      <w:r w:rsidR="001C3147">
        <w:rPr>
          <w:rFonts w:ascii="Times New Roman" w:hAnsi="Times New Roman" w:cs="Times New Roman"/>
          <w:sz w:val="24"/>
          <w:szCs w:val="24"/>
        </w:rPr>
        <w:t>person.</w:t>
      </w:r>
      <w:r w:rsidR="00FC23C1">
        <w:rPr>
          <w:rFonts w:ascii="Times New Roman" w:hAnsi="Times New Roman" w:cs="Times New Roman"/>
          <w:sz w:val="24"/>
          <w:szCs w:val="24"/>
        </w:rPr>
        <w:t xml:space="preserve"> </w:t>
      </w:r>
      <w:r w:rsidR="0090465A">
        <w:rPr>
          <w:rFonts w:ascii="Times New Roman" w:hAnsi="Times New Roman" w:cs="Times New Roman"/>
          <w:sz w:val="24"/>
          <w:szCs w:val="24"/>
        </w:rPr>
        <w:t>For t</w:t>
      </w:r>
      <w:r w:rsidR="0090465A" w:rsidRPr="0090465A">
        <w:rPr>
          <w:rFonts w:ascii="Times New Roman" w:hAnsi="Times New Roman" w:cs="Times New Roman"/>
          <w:sz w:val="24"/>
          <w:szCs w:val="24"/>
        </w:rPr>
        <w:t xml:space="preserve">he doctrine of misnomer </w:t>
      </w:r>
      <w:r w:rsidR="0090465A">
        <w:rPr>
          <w:rFonts w:ascii="Times New Roman" w:hAnsi="Times New Roman" w:cs="Times New Roman"/>
          <w:sz w:val="24"/>
          <w:szCs w:val="24"/>
        </w:rPr>
        <w:t xml:space="preserve">to apply, it is </w:t>
      </w:r>
      <w:r w:rsidR="0090465A" w:rsidRPr="0090465A">
        <w:rPr>
          <w:rFonts w:ascii="Times New Roman" w:hAnsi="Times New Roman" w:cs="Times New Roman"/>
          <w:sz w:val="24"/>
          <w:szCs w:val="24"/>
        </w:rPr>
        <w:t>require</w:t>
      </w:r>
      <w:r w:rsidR="0090465A">
        <w:rPr>
          <w:rFonts w:ascii="Times New Roman" w:hAnsi="Times New Roman" w:cs="Times New Roman"/>
          <w:sz w:val="24"/>
          <w:szCs w:val="24"/>
        </w:rPr>
        <w:t>d</w:t>
      </w:r>
      <w:r w:rsidR="0090465A" w:rsidRPr="0090465A">
        <w:rPr>
          <w:rFonts w:ascii="Times New Roman" w:hAnsi="Times New Roman" w:cs="Times New Roman"/>
          <w:sz w:val="24"/>
          <w:szCs w:val="24"/>
        </w:rPr>
        <w:t xml:space="preserve"> that: (1) the </w:t>
      </w:r>
      <w:r w:rsidR="0090465A">
        <w:rPr>
          <w:rFonts w:ascii="Times New Roman" w:hAnsi="Times New Roman" w:cs="Times New Roman"/>
          <w:sz w:val="24"/>
          <w:szCs w:val="24"/>
        </w:rPr>
        <w:t>author</w:t>
      </w:r>
      <w:r w:rsidR="0090465A" w:rsidRPr="0090465A">
        <w:rPr>
          <w:rFonts w:ascii="Times New Roman" w:hAnsi="Times New Roman" w:cs="Times New Roman"/>
          <w:sz w:val="24"/>
          <w:szCs w:val="24"/>
        </w:rPr>
        <w:t xml:space="preserve"> intended to name the </w:t>
      </w:r>
      <w:r w:rsidR="0090465A">
        <w:rPr>
          <w:rFonts w:ascii="Times New Roman" w:hAnsi="Times New Roman" w:cs="Times New Roman"/>
          <w:sz w:val="24"/>
          <w:szCs w:val="24"/>
        </w:rPr>
        <w:t>subject to whom the name is now being attributed</w:t>
      </w:r>
      <w:r w:rsidR="0090465A" w:rsidRPr="0090465A">
        <w:rPr>
          <w:rFonts w:ascii="Times New Roman" w:hAnsi="Times New Roman" w:cs="Times New Roman"/>
          <w:sz w:val="24"/>
          <w:szCs w:val="24"/>
        </w:rPr>
        <w:t xml:space="preserve">; and (2) </w:t>
      </w:r>
      <w:r w:rsidR="0090465A">
        <w:rPr>
          <w:rFonts w:ascii="Times New Roman" w:hAnsi="Times New Roman" w:cs="Times New Roman"/>
          <w:sz w:val="24"/>
          <w:szCs w:val="24"/>
        </w:rPr>
        <w:t>a reasonable person</w:t>
      </w:r>
      <w:r w:rsidR="0090465A" w:rsidRPr="0090465A">
        <w:rPr>
          <w:rFonts w:ascii="Times New Roman" w:hAnsi="Times New Roman" w:cs="Times New Roman"/>
          <w:sz w:val="24"/>
          <w:szCs w:val="24"/>
        </w:rPr>
        <w:t xml:space="preserve"> </w:t>
      </w:r>
      <w:r w:rsidR="0090465A">
        <w:rPr>
          <w:rFonts w:ascii="Times New Roman" w:hAnsi="Times New Roman" w:cs="Times New Roman"/>
          <w:sz w:val="24"/>
          <w:szCs w:val="24"/>
        </w:rPr>
        <w:t>would attribute the name to the person to whom it is now intended to be attributed</w:t>
      </w:r>
      <w:r w:rsidR="0090465A" w:rsidRPr="0090465A">
        <w:rPr>
          <w:rFonts w:ascii="Times New Roman" w:hAnsi="Times New Roman" w:cs="Times New Roman"/>
          <w:sz w:val="24"/>
          <w:szCs w:val="24"/>
        </w:rPr>
        <w:t xml:space="preserve">. </w:t>
      </w:r>
      <w:r w:rsidR="00D05771" w:rsidRPr="00D05771">
        <w:rPr>
          <w:rFonts w:ascii="Times New Roman" w:hAnsi="Times New Roman" w:cs="Times New Roman"/>
          <w:sz w:val="24"/>
          <w:szCs w:val="24"/>
        </w:rPr>
        <w:t xml:space="preserve">Misnomer arises when the </w:t>
      </w:r>
      <w:r w:rsidR="00D05771">
        <w:rPr>
          <w:rFonts w:ascii="Times New Roman" w:hAnsi="Times New Roman" w:cs="Times New Roman"/>
          <w:sz w:val="24"/>
          <w:szCs w:val="24"/>
        </w:rPr>
        <w:t>author</w:t>
      </w:r>
      <w:r w:rsidR="00D05771" w:rsidRPr="00D05771">
        <w:rPr>
          <w:rFonts w:ascii="Times New Roman" w:hAnsi="Times New Roman" w:cs="Times New Roman"/>
          <w:sz w:val="24"/>
          <w:szCs w:val="24"/>
        </w:rPr>
        <w:t xml:space="preserve"> merely misnames the correct </w:t>
      </w:r>
      <w:r w:rsidR="00D05771">
        <w:rPr>
          <w:rFonts w:ascii="Times New Roman" w:hAnsi="Times New Roman" w:cs="Times New Roman"/>
          <w:sz w:val="24"/>
          <w:szCs w:val="24"/>
        </w:rPr>
        <w:t>person</w:t>
      </w:r>
      <w:r w:rsidR="004660F4">
        <w:rPr>
          <w:rFonts w:ascii="Times New Roman" w:hAnsi="Times New Roman" w:cs="Times New Roman"/>
          <w:sz w:val="24"/>
          <w:szCs w:val="24"/>
        </w:rPr>
        <w:t xml:space="preserve"> as opposed to </w:t>
      </w:r>
      <w:r w:rsidR="004660F4" w:rsidRPr="004660F4">
        <w:rPr>
          <w:rFonts w:ascii="Times New Roman" w:hAnsi="Times New Roman" w:cs="Times New Roman"/>
          <w:sz w:val="24"/>
          <w:szCs w:val="24"/>
        </w:rPr>
        <w:t xml:space="preserve">not being able to identify </w:t>
      </w:r>
      <w:r w:rsidR="004660F4">
        <w:rPr>
          <w:rFonts w:ascii="Times New Roman" w:hAnsi="Times New Roman" w:cs="Times New Roman"/>
          <w:sz w:val="24"/>
          <w:szCs w:val="24"/>
        </w:rPr>
        <w:t>the correct person</w:t>
      </w:r>
      <w:r w:rsidR="00D05771" w:rsidRPr="00D05771">
        <w:rPr>
          <w:rFonts w:ascii="Times New Roman" w:hAnsi="Times New Roman" w:cs="Times New Roman"/>
          <w:sz w:val="24"/>
          <w:szCs w:val="24"/>
        </w:rPr>
        <w:t xml:space="preserve">. </w:t>
      </w:r>
      <w:r w:rsidR="00FC4269">
        <w:rPr>
          <w:rFonts w:ascii="Times New Roman" w:hAnsi="Times New Roman" w:cs="Times New Roman"/>
          <w:sz w:val="24"/>
          <w:szCs w:val="24"/>
        </w:rPr>
        <w:t xml:space="preserve">Cases of a </w:t>
      </w:r>
      <w:r w:rsidR="00FC4269" w:rsidRPr="00FC4269">
        <w:rPr>
          <w:rFonts w:ascii="Times New Roman" w:hAnsi="Times New Roman" w:cs="Times New Roman"/>
          <w:sz w:val="24"/>
          <w:szCs w:val="24"/>
        </w:rPr>
        <w:t xml:space="preserve">misnomer </w:t>
      </w:r>
      <w:r w:rsidR="00FC4269">
        <w:rPr>
          <w:rFonts w:ascii="Times New Roman" w:hAnsi="Times New Roman" w:cs="Times New Roman"/>
          <w:sz w:val="24"/>
          <w:szCs w:val="24"/>
        </w:rPr>
        <w:t>are such that</w:t>
      </w:r>
      <w:r w:rsidR="00FC4269" w:rsidRPr="00FC4269">
        <w:rPr>
          <w:rFonts w:ascii="Times New Roman" w:hAnsi="Times New Roman" w:cs="Times New Roman"/>
          <w:sz w:val="24"/>
          <w:szCs w:val="24"/>
        </w:rPr>
        <w:t xml:space="preserve"> the p</w:t>
      </w:r>
      <w:r w:rsidR="00FC4269">
        <w:rPr>
          <w:rFonts w:ascii="Times New Roman" w:hAnsi="Times New Roman" w:cs="Times New Roman"/>
          <w:sz w:val="24"/>
          <w:szCs w:val="24"/>
        </w:rPr>
        <w:t xml:space="preserve">erson whose name is written is known and is the one whose name is </w:t>
      </w:r>
      <w:r w:rsidR="00FC4269" w:rsidRPr="00FC4269">
        <w:rPr>
          <w:rFonts w:ascii="Times New Roman" w:hAnsi="Times New Roman" w:cs="Times New Roman"/>
          <w:sz w:val="24"/>
          <w:szCs w:val="24"/>
        </w:rPr>
        <w:t>intended to be</w:t>
      </w:r>
      <w:r w:rsidR="00FC4269">
        <w:rPr>
          <w:rFonts w:ascii="Times New Roman" w:hAnsi="Times New Roman" w:cs="Times New Roman"/>
          <w:sz w:val="24"/>
          <w:szCs w:val="24"/>
        </w:rPr>
        <w:t xml:space="preserve"> written, only that it is written incorrectly or an entirely wrong name is written. </w:t>
      </w:r>
    </w:p>
    <w:p w:rsidR="00D05771" w:rsidRDefault="00D05771" w:rsidP="004E0709">
      <w:pPr>
        <w:spacing w:after="0" w:line="360" w:lineRule="auto"/>
        <w:jc w:val="both"/>
        <w:rPr>
          <w:rFonts w:ascii="Times New Roman" w:hAnsi="Times New Roman" w:cs="Times New Roman"/>
          <w:sz w:val="24"/>
          <w:szCs w:val="24"/>
        </w:rPr>
      </w:pPr>
    </w:p>
    <w:p w:rsidR="00FC4269" w:rsidRDefault="00E45DE0" w:rsidP="00E51A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appellant was accused of forgery </w:t>
      </w:r>
      <w:r w:rsidR="00781ACB">
        <w:rPr>
          <w:rFonts w:ascii="Times New Roman" w:hAnsi="Times New Roman" w:cs="Times New Roman"/>
          <w:sz w:val="24"/>
          <w:szCs w:val="24"/>
        </w:rPr>
        <w:t>(D.ID 22 which is a charge sheet dated 17</w:t>
      </w:r>
      <w:r w:rsidR="00781ACB" w:rsidRPr="00781ACB">
        <w:rPr>
          <w:rFonts w:ascii="Times New Roman" w:hAnsi="Times New Roman" w:cs="Times New Roman"/>
          <w:sz w:val="24"/>
          <w:szCs w:val="24"/>
          <w:vertAlign w:val="superscript"/>
        </w:rPr>
        <w:t>th</w:t>
      </w:r>
      <w:r w:rsidR="00781ACB">
        <w:rPr>
          <w:rFonts w:ascii="Times New Roman" w:hAnsi="Times New Roman" w:cs="Times New Roman"/>
          <w:sz w:val="24"/>
          <w:szCs w:val="24"/>
        </w:rPr>
        <w:t xml:space="preserve"> August, 2011and D.ID 19, a police bond form dated 17</w:t>
      </w:r>
      <w:r w:rsidR="00781ACB" w:rsidRPr="00781ACB">
        <w:rPr>
          <w:rFonts w:ascii="Times New Roman" w:hAnsi="Times New Roman" w:cs="Times New Roman"/>
          <w:sz w:val="24"/>
          <w:szCs w:val="24"/>
          <w:vertAlign w:val="superscript"/>
        </w:rPr>
        <w:t>th</w:t>
      </w:r>
      <w:r w:rsidR="00781ACB">
        <w:rPr>
          <w:rFonts w:ascii="Times New Roman" w:hAnsi="Times New Roman" w:cs="Times New Roman"/>
          <w:sz w:val="24"/>
          <w:szCs w:val="24"/>
        </w:rPr>
        <w:t xml:space="preserve"> November, 2010) </w:t>
      </w:r>
      <w:r>
        <w:rPr>
          <w:rFonts w:ascii="Times New Roman" w:hAnsi="Times New Roman" w:cs="Times New Roman"/>
          <w:sz w:val="24"/>
          <w:szCs w:val="24"/>
        </w:rPr>
        <w:t>whe</w:t>
      </w:r>
      <w:r w:rsidR="00213B10">
        <w:rPr>
          <w:rFonts w:ascii="Times New Roman" w:hAnsi="Times New Roman" w:cs="Times New Roman"/>
          <w:sz w:val="24"/>
          <w:szCs w:val="24"/>
        </w:rPr>
        <w:t>re</w:t>
      </w:r>
      <w:r>
        <w:rPr>
          <w:rFonts w:ascii="Times New Roman" w:hAnsi="Times New Roman" w:cs="Times New Roman"/>
          <w:sz w:val="24"/>
          <w:szCs w:val="24"/>
        </w:rPr>
        <w:t xml:space="preserve"> it was alleged that he added a "u" to the name appearing against plot 117 for the </w:t>
      </w:r>
      <w:r w:rsidR="0090465A">
        <w:rPr>
          <w:rFonts w:ascii="Times New Roman" w:hAnsi="Times New Roman" w:cs="Times New Roman"/>
          <w:sz w:val="24"/>
          <w:szCs w:val="24"/>
        </w:rPr>
        <w:t>name</w:t>
      </w:r>
      <w:r>
        <w:rPr>
          <w:rFonts w:ascii="Times New Roman" w:hAnsi="Times New Roman" w:cs="Times New Roman"/>
          <w:sz w:val="24"/>
          <w:szCs w:val="24"/>
        </w:rPr>
        <w:t xml:space="preserve"> to read</w:t>
      </w:r>
      <w:r w:rsidR="00AB22FE">
        <w:rPr>
          <w:rFonts w:ascii="Times New Roman" w:hAnsi="Times New Roman" w:cs="Times New Roman"/>
          <w:sz w:val="24"/>
          <w:szCs w:val="24"/>
        </w:rPr>
        <w:t>;</w:t>
      </w:r>
      <w:r>
        <w:rPr>
          <w:rFonts w:ascii="Times New Roman" w:hAnsi="Times New Roman" w:cs="Times New Roman"/>
          <w:sz w:val="24"/>
          <w:szCs w:val="24"/>
        </w:rPr>
        <w:t xml:space="preserve"> "Okumu Lazaro</w:t>
      </w:r>
      <w:r w:rsidR="00AB22FE">
        <w:rPr>
          <w:rFonts w:ascii="Times New Roman" w:hAnsi="Times New Roman" w:cs="Times New Roman"/>
          <w:sz w:val="24"/>
          <w:szCs w:val="24"/>
        </w:rPr>
        <w:t>,</w:t>
      </w:r>
      <w:r>
        <w:rPr>
          <w:rFonts w:ascii="Times New Roman" w:hAnsi="Times New Roman" w:cs="Times New Roman"/>
          <w:sz w:val="24"/>
          <w:szCs w:val="24"/>
        </w:rPr>
        <w:t xml:space="preserve">" </w:t>
      </w:r>
      <w:r w:rsidR="0090465A">
        <w:rPr>
          <w:rFonts w:ascii="Times New Roman" w:hAnsi="Times New Roman" w:cs="Times New Roman"/>
          <w:sz w:val="24"/>
          <w:szCs w:val="24"/>
        </w:rPr>
        <w:t>instead of</w:t>
      </w:r>
      <w:r>
        <w:rPr>
          <w:rFonts w:ascii="Times New Roman" w:hAnsi="Times New Roman" w:cs="Times New Roman"/>
          <w:sz w:val="24"/>
          <w:szCs w:val="24"/>
        </w:rPr>
        <w:t xml:space="preserve"> "Okum Lazaro</w:t>
      </w:r>
      <w:r w:rsidR="0090465A">
        <w:rPr>
          <w:rFonts w:ascii="Times New Roman" w:hAnsi="Times New Roman" w:cs="Times New Roman"/>
          <w:sz w:val="24"/>
          <w:szCs w:val="24"/>
        </w:rPr>
        <w:t>,</w:t>
      </w:r>
      <w:r>
        <w:rPr>
          <w:rFonts w:ascii="Times New Roman" w:hAnsi="Times New Roman" w:cs="Times New Roman"/>
          <w:sz w:val="24"/>
          <w:szCs w:val="24"/>
        </w:rPr>
        <w:t>"</w:t>
      </w:r>
      <w:r w:rsidR="00AB22FE">
        <w:rPr>
          <w:rFonts w:ascii="Times New Roman" w:hAnsi="Times New Roman" w:cs="Times New Roman"/>
          <w:sz w:val="24"/>
          <w:szCs w:val="24"/>
        </w:rPr>
        <w:t xml:space="preserve"> that had been written originally.</w:t>
      </w:r>
      <w:r>
        <w:rPr>
          <w:rFonts w:ascii="Times New Roman" w:hAnsi="Times New Roman" w:cs="Times New Roman"/>
          <w:sz w:val="24"/>
          <w:szCs w:val="24"/>
        </w:rPr>
        <w:t xml:space="preserve"> </w:t>
      </w:r>
      <w:r w:rsidR="00AB22FE">
        <w:rPr>
          <w:rFonts w:ascii="Times New Roman" w:hAnsi="Times New Roman" w:cs="Times New Roman"/>
          <w:sz w:val="24"/>
          <w:szCs w:val="24"/>
        </w:rPr>
        <w:t>There</w:t>
      </w:r>
      <w:r>
        <w:rPr>
          <w:rFonts w:ascii="Times New Roman" w:hAnsi="Times New Roman" w:cs="Times New Roman"/>
          <w:sz w:val="24"/>
          <w:szCs w:val="24"/>
        </w:rPr>
        <w:t xml:space="preserve"> was no evidence to show that it was the appellant who effected that alteration</w:t>
      </w:r>
      <w:r w:rsidR="009E1549">
        <w:rPr>
          <w:rFonts w:ascii="Times New Roman" w:hAnsi="Times New Roman" w:cs="Times New Roman"/>
          <w:sz w:val="24"/>
          <w:szCs w:val="24"/>
        </w:rPr>
        <w:t xml:space="preserve"> and he was acquitted on appeal on 1</w:t>
      </w:r>
      <w:r w:rsidR="009E1549">
        <w:rPr>
          <w:rFonts w:ascii="Times New Roman" w:hAnsi="Times New Roman" w:cs="Times New Roman"/>
          <w:sz w:val="24"/>
          <w:szCs w:val="24"/>
          <w:vertAlign w:val="superscript"/>
        </w:rPr>
        <w:t>st</w:t>
      </w:r>
      <w:r w:rsidR="009E1549">
        <w:rPr>
          <w:rFonts w:ascii="Times New Roman" w:hAnsi="Times New Roman" w:cs="Times New Roman"/>
          <w:sz w:val="24"/>
          <w:szCs w:val="24"/>
        </w:rPr>
        <w:t xml:space="preserve"> August, 2014 (D.ID 26)</w:t>
      </w:r>
      <w:r>
        <w:rPr>
          <w:rFonts w:ascii="Times New Roman" w:hAnsi="Times New Roman" w:cs="Times New Roman"/>
          <w:sz w:val="24"/>
          <w:szCs w:val="24"/>
        </w:rPr>
        <w:t xml:space="preserve">. </w:t>
      </w:r>
      <w:r w:rsidR="0090465A">
        <w:rPr>
          <w:rFonts w:ascii="Times New Roman" w:hAnsi="Times New Roman" w:cs="Times New Roman"/>
          <w:sz w:val="24"/>
          <w:szCs w:val="24"/>
        </w:rPr>
        <w:t>Whatever the case may be</w:t>
      </w:r>
      <w:r>
        <w:rPr>
          <w:rFonts w:ascii="Times New Roman" w:hAnsi="Times New Roman" w:cs="Times New Roman"/>
          <w:sz w:val="24"/>
          <w:szCs w:val="24"/>
        </w:rPr>
        <w:t xml:space="preserve">, whoever made that alteration did not seek </w:t>
      </w:r>
      <w:r w:rsidRPr="00E45DE0">
        <w:rPr>
          <w:rFonts w:ascii="Times New Roman" w:hAnsi="Times New Roman" w:cs="Times New Roman"/>
          <w:sz w:val="24"/>
          <w:szCs w:val="24"/>
        </w:rPr>
        <w:t xml:space="preserve">to add or substitute a wholly new and different </w:t>
      </w:r>
      <w:r>
        <w:rPr>
          <w:rFonts w:ascii="Times New Roman" w:hAnsi="Times New Roman" w:cs="Times New Roman"/>
          <w:sz w:val="24"/>
          <w:szCs w:val="24"/>
        </w:rPr>
        <w:t>name but made a mere inconsequential</w:t>
      </w:r>
      <w:r w:rsidRPr="00E45DE0">
        <w:rPr>
          <w:rFonts w:ascii="Times New Roman" w:hAnsi="Times New Roman" w:cs="Times New Roman"/>
          <w:sz w:val="24"/>
          <w:szCs w:val="24"/>
        </w:rPr>
        <w:t xml:space="preserve"> correction</w:t>
      </w:r>
      <w:r w:rsidR="00AB22FE">
        <w:rPr>
          <w:rFonts w:ascii="Times New Roman" w:hAnsi="Times New Roman" w:cs="Times New Roman"/>
          <w:sz w:val="24"/>
          <w:szCs w:val="24"/>
        </w:rPr>
        <w:t xml:space="preserve"> since "Okum Lazaro" was </w:t>
      </w:r>
      <w:r w:rsidR="0090465A">
        <w:rPr>
          <w:rFonts w:ascii="Times New Roman" w:hAnsi="Times New Roman" w:cs="Times New Roman"/>
          <w:sz w:val="24"/>
          <w:szCs w:val="24"/>
        </w:rPr>
        <w:t xml:space="preserve">in the circumstances of the background facts of this case, </w:t>
      </w:r>
      <w:r w:rsidR="00AB22FE">
        <w:rPr>
          <w:rFonts w:ascii="Times New Roman" w:hAnsi="Times New Roman" w:cs="Times New Roman"/>
          <w:sz w:val="24"/>
          <w:szCs w:val="24"/>
        </w:rPr>
        <w:t>a misnomer of what</w:t>
      </w:r>
      <w:r w:rsidR="00F779F0">
        <w:rPr>
          <w:rFonts w:ascii="Times New Roman" w:hAnsi="Times New Roman" w:cs="Times New Roman"/>
          <w:sz w:val="24"/>
          <w:szCs w:val="24"/>
        </w:rPr>
        <w:t xml:space="preserve"> should have been "Okumu Lazaro,</w:t>
      </w:r>
      <w:r w:rsidR="00AB22FE">
        <w:rPr>
          <w:rFonts w:ascii="Times New Roman" w:hAnsi="Times New Roman" w:cs="Times New Roman"/>
          <w:sz w:val="24"/>
          <w:szCs w:val="24"/>
        </w:rPr>
        <w:t>"</w:t>
      </w:r>
      <w:r w:rsidR="00F779F0">
        <w:rPr>
          <w:rFonts w:ascii="Times New Roman" w:hAnsi="Times New Roman" w:cs="Times New Roman"/>
          <w:sz w:val="24"/>
          <w:szCs w:val="24"/>
        </w:rPr>
        <w:t xml:space="preserve"> the father of the appellant. </w:t>
      </w:r>
      <w:r w:rsidR="00A80BC9">
        <w:rPr>
          <w:rFonts w:ascii="Times New Roman" w:hAnsi="Times New Roman" w:cs="Times New Roman"/>
          <w:sz w:val="24"/>
          <w:szCs w:val="24"/>
        </w:rPr>
        <w:t xml:space="preserve">The </w:t>
      </w:r>
      <w:r w:rsidR="00A80BC9" w:rsidRPr="00A80BC9">
        <w:rPr>
          <w:rFonts w:ascii="Times New Roman" w:hAnsi="Times New Roman" w:cs="Times New Roman"/>
          <w:sz w:val="24"/>
          <w:szCs w:val="24"/>
        </w:rPr>
        <w:t xml:space="preserve">misnomer doctrine is applicable when </w:t>
      </w:r>
      <w:r w:rsidR="00A80BC9">
        <w:rPr>
          <w:rFonts w:ascii="Times New Roman" w:hAnsi="Times New Roman" w:cs="Times New Roman"/>
          <w:sz w:val="24"/>
          <w:szCs w:val="24"/>
        </w:rPr>
        <w:t>it is obvious</w:t>
      </w:r>
      <w:r w:rsidR="0079407E">
        <w:rPr>
          <w:rFonts w:ascii="Times New Roman" w:hAnsi="Times New Roman" w:cs="Times New Roman"/>
          <w:sz w:val="24"/>
          <w:szCs w:val="24"/>
        </w:rPr>
        <w:t>, as it is in this case,</w:t>
      </w:r>
      <w:r w:rsidR="00A80BC9">
        <w:rPr>
          <w:rFonts w:ascii="Times New Roman" w:hAnsi="Times New Roman" w:cs="Times New Roman"/>
          <w:sz w:val="24"/>
          <w:szCs w:val="24"/>
        </w:rPr>
        <w:t xml:space="preserve"> that the author</w:t>
      </w:r>
      <w:r w:rsidR="00A80BC9" w:rsidRPr="00A80BC9">
        <w:rPr>
          <w:rFonts w:ascii="Times New Roman" w:hAnsi="Times New Roman" w:cs="Times New Roman"/>
          <w:sz w:val="24"/>
          <w:szCs w:val="24"/>
        </w:rPr>
        <w:t xml:space="preserve"> made a mistake</w:t>
      </w:r>
      <w:r w:rsidR="00FC4269">
        <w:rPr>
          <w:rFonts w:ascii="Times New Roman" w:hAnsi="Times New Roman" w:cs="Times New Roman"/>
          <w:sz w:val="24"/>
          <w:szCs w:val="24"/>
        </w:rPr>
        <w:t xml:space="preserve"> and misspelt the name</w:t>
      </w:r>
      <w:r w:rsidR="00A80BC9">
        <w:rPr>
          <w:rFonts w:ascii="Times New Roman" w:hAnsi="Times New Roman" w:cs="Times New Roman"/>
          <w:sz w:val="24"/>
          <w:szCs w:val="24"/>
        </w:rPr>
        <w:t xml:space="preserve">. </w:t>
      </w:r>
      <w:r w:rsidR="00FC4269">
        <w:rPr>
          <w:rFonts w:ascii="Times New Roman" w:hAnsi="Times New Roman" w:cs="Times New Roman"/>
          <w:sz w:val="24"/>
          <w:szCs w:val="24"/>
        </w:rPr>
        <w:t>That aside, under cross-examination t</w:t>
      </w:r>
      <w:r w:rsidR="00E51AB9">
        <w:rPr>
          <w:rFonts w:ascii="Times New Roman" w:hAnsi="Times New Roman" w:cs="Times New Roman"/>
          <w:sz w:val="24"/>
          <w:szCs w:val="24"/>
        </w:rPr>
        <w:t>he fourth respondent,</w:t>
      </w:r>
      <w:r w:rsidR="00E51AB9" w:rsidRPr="00BD2ADF">
        <w:rPr>
          <w:rFonts w:ascii="Times New Roman" w:hAnsi="Times New Roman" w:cs="Times New Roman"/>
          <w:sz w:val="24"/>
          <w:szCs w:val="24"/>
        </w:rPr>
        <w:t xml:space="preserve"> </w:t>
      </w:r>
      <w:r w:rsidR="00E51AB9">
        <w:rPr>
          <w:rFonts w:ascii="Times New Roman" w:hAnsi="Times New Roman" w:cs="Times New Roman"/>
          <w:sz w:val="24"/>
          <w:szCs w:val="24"/>
        </w:rPr>
        <w:t xml:space="preserve">P.W.1 Oola Peter, admitted that Okumu Lazaro is the owner of plot 117 </w:t>
      </w:r>
      <w:r w:rsidR="00FC4269">
        <w:rPr>
          <w:rFonts w:ascii="Times New Roman" w:hAnsi="Times New Roman" w:cs="Times New Roman"/>
          <w:sz w:val="24"/>
          <w:szCs w:val="24"/>
        </w:rPr>
        <w:t>only that</w:t>
      </w:r>
      <w:r w:rsidR="00E51AB9">
        <w:rPr>
          <w:rFonts w:ascii="Times New Roman" w:hAnsi="Times New Roman" w:cs="Times New Roman"/>
          <w:sz w:val="24"/>
          <w:szCs w:val="24"/>
        </w:rPr>
        <w:t xml:space="preserve"> he d</w:t>
      </w:r>
      <w:r w:rsidR="00FC4269">
        <w:rPr>
          <w:rFonts w:ascii="Times New Roman" w:hAnsi="Times New Roman" w:cs="Times New Roman"/>
          <w:sz w:val="24"/>
          <w:szCs w:val="24"/>
        </w:rPr>
        <w:t>id</w:t>
      </w:r>
      <w:r w:rsidR="00E51AB9">
        <w:rPr>
          <w:rFonts w:ascii="Times New Roman" w:hAnsi="Times New Roman" w:cs="Times New Roman"/>
          <w:sz w:val="24"/>
          <w:szCs w:val="24"/>
        </w:rPr>
        <w:t xml:space="preserve"> not know him. </w:t>
      </w:r>
    </w:p>
    <w:p w:rsidR="00FC4269" w:rsidRDefault="00FC4269" w:rsidP="00E51AB9">
      <w:pPr>
        <w:spacing w:after="0" w:line="360" w:lineRule="auto"/>
        <w:jc w:val="both"/>
        <w:rPr>
          <w:rFonts w:ascii="Times New Roman" w:hAnsi="Times New Roman" w:cs="Times New Roman"/>
          <w:sz w:val="24"/>
          <w:szCs w:val="24"/>
        </w:rPr>
      </w:pPr>
    </w:p>
    <w:p w:rsidR="00170189" w:rsidRDefault="009E1549" w:rsidP="00E51A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respondents were unable to discredit that evidence. </w:t>
      </w:r>
      <w:r w:rsidR="00E51AB9">
        <w:rPr>
          <w:rFonts w:ascii="Times New Roman" w:hAnsi="Times New Roman" w:cs="Times New Roman"/>
          <w:sz w:val="24"/>
          <w:szCs w:val="24"/>
        </w:rPr>
        <w:t>P.W.3 Acaa Agnes, a neighbour, testified that the first respondent's father Okumu Lagwee lived on the land in dispute but she did not know how he acquired it.</w:t>
      </w:r>
      <w:r>
        <w:rPr>
          <w:rFonts w:ascii="Times New Roman" w:hAnsi="Times New Roman" w:cs="Times New Roman"/>
          <w:sz w:val="24"/>
          <w:szCs w:val="24"/>
        </w:rPr>
        <w:t xml:space="preserve"> </w:t>
      </w:r>
      <w:r w:rsidR="00E51AB9">
        <w:rPr>
          <w:rFonts w:ascii="Times New Roman" w:hAnsi="Times New Roman" w:cs="Times New Roman"/>
          <w:sz w:val="24"/>
          <w:szCs w:val="24"/>
        </w:rPr>
        <w:t xml:space="preserve">P.W.1 Oola Peter testified that he began constructing houses on the </w:t>
      </w:r>
      <w:r w:rsidR="00E51AB9">
        <w:rPr>
          <w:rFonts w:ascii="Times New Roman" w:hAnsi="Times New Roman" w:cs="Times New Roman"/>
          <w:sz w:val="24"/>
          <w:szCs w:val="24"/>
        </w:rPr>
        <w:lastRenderedPageBreak/>
        <w:t xml:space="preserve">land </w:t>
      </w:r>
      <w:r>
        <w:rPr>
          <w:rFonts w:ascii="Times New Roman" w:hAnsi="Times New Roman" w:cs="Times New Roman"/>
          <w:sz w:val="24"/>
          <w:szCs w:val="24"/>
        </w:rPr>
        <w:t xml:space="preserve">in dispute </w:t>
      </w:r>
      <w:r w:rsidR="00E51AB9">
        <w:rPr>
          <w:rFonts w:ascii="Times New Roman" w:hAnsi="Times New Roman" w:cs="Times New Roman"/>
          <w:sz w:val="24"/>
          <w:szCs w:val="24"/>
        </w:rPr>
        <w:t xml:space="preserve">around 2007 - 2009 and this is </w:t>
      </w:r>
      <w:r>
        <w:rPr>
          <w:rFonts w:ascii="Times New Roman" w:hAnsi="Times New Roman" w:cs="Times New Roman"/>
          <w:sz w:val="24"/>
          <w:szCs w:val="24"/>
        </w:rPr>
        <w:t>consistent</w:t>
      </w:r>
      <w:r w:rsidR="00E51AB9">
        <w:rPr>
          <w:rFonts w:ascii="Times New Roman" w:hAnsi="Times New Roman" w:cs="Times New Roman"/>
          <w:sz w:val="24"/>
          <w:szCs w:val="24"/>
        </w:rPr>
        <w:t xml:space="preserve"> with the trial court's finding that it is the first respondent who in the year 2009 invited his nephews, the 2</w:t>
      </w:r>
      <w:r w:rsidR="00E51AB9" w:rsidRPr="00667825">
        <w:rPr>
          <w:rFonts w:ascii="Times New Roman" w:hAnsi="Times New Roman" w:cs="Times New Roman"/>
          <w:sz w:val="24"/>
          <w:szCs w:val="24"/>
          <w:vertAlign w:val="superscript"/>
        </w:rPr>
        <w:t>nd</w:t>
      </w:r>
      <w:r w:rsidR="00E51AB9">
        <w:rPr>
          <w:rFonts w:ascii="Times New Roman" w:hAnsi="Times New Roman" w:cs="Times New Roman"/>
          <w:sz w:val="24"/>
          <w:szCs w:val="24"/>
        </w:rPr>
        <w:t xml:space="preserve"> to the 7</w:t>
      </w:r>
      <w:r w:rsidR="00E51AB9" w:rsidRPr="00667825">
        <w:rPr>
          <w:rFonts w:ascii="Times New Roman" w:hAnsi="Times New Roman" w:cs="Times New Roman"/>
          <w:sz w:val="24"/>
          <w:szCs w:val="24"/>
          <w:vertAlign w:val="superscript"/>
        </w:rPr>
        <w:t>th</w:t>
      </w:r>
      <w:r w:rsidR="00E51AB9">
        <w:rPr>
          <w:rFonts w:ascii="Times New Roman" w:hAnsi="Times New Roman" w:cs="Times New Roman"/>
          <w:sz w:val="24"/>
          <w:szCs w:val="24"/>
        </w:rPr>
        <w:t xml:space="preserve"> respondents, onto the land. There is no evidence though of occupancy by Okumu Lagwee prior to 2009</w:t>
      </w:r>
      <w:r>
        <w:rPr>
          <w:rFonts w:ascii="Times New Roman" w:hAnsi="Times New Roman" w:cs="Times New Roman"/>
          <w:sz w:val="24"/>
          <w:szCs w:val="24"/>
        </w:rPr>
        <w:t xml:space="preserve"> apart from general assertions. </w:t>
      </w:r>
      <w:r w:rsidR="009E1CC9">
        <w:rPr>
          <w:rFonts w:ascii="Times New Roman" w:hAnsi="Times New Roman" w:cs="Times New Roman"/>
          <w:sz w:val="24"/>
          <w:szCs w:val="24"/>
        </w:rPr>
        <w:t>The</w:t>
      </w:r>
      <w:r w:rsidR="003B212D">
        <w:rPr>
          <w:rFonts w:ascii="Times New Roman" w:hAnsi="Times New Roman" w:cs="Times New Roman"/>
          <w:sz w:val="24"/>
          <w:szCs w:val="24"/>
        </w:rPr>
        <w:t xml:space="preserve"> respondents</w:t>
      </w:r>
      <w:r w:rsidR="009E1CC9">
        <w:rPr>
          <w:rFonts w:ascii="Times New Roman" w:hAnsi="Times New Roman" w:cs="Times New Roman"/>
          <w:sz w:val="24"/>
          <w:szCs w:val="24"/>
        </w:rPr>
        <w:t xml:space="preserve"> </w:t>
      </w:r>
      <w:r w:rsidR="003B212D">
        <w:rPr>
          <w:rFonts w:ascii="Times New Roman" w:hAnsi="Times New Roman" w:cs="Times New Roman"/>
          <w:sz w:val="24"/>
          <w:szCs w:val="24"/>
        </w:rPr>
        <w:t>are</w:t>
      </w:r>
      <w:r w:rsidR="009E1CC9">
        <w:rPr>
          <w:rFonts w:ascii="Times New Roman" w:hAnsi="Times New Roman" w:cs="Times New Roman"/>
          <w:sz w:val="24"/>
          <w:szCs w:val="24"/>
        </w:rPr>
        <w:t xml:space="preserve"> trespassers on the land since 2009</w:t>
      </w:r>
      <w:r w:rsidR="003B212D">
        <w:rPr>
          <w:rFonts w:ascii="Times New Roman" w:hAnsi="Times New Roman" w:cs="Times New Roman"/>
          <w:sz w:val="24"/>
          <w:szCs w:val="24"/>
        </w:rPr>
        <w:t xml:space="preserve">, </w:t>
      </w:r>
      <w:r w:rsidR="009E1CC9">
        <w:rPr>
          <w:rFonts w:ascii="Times New Roman" w:hAnsi="Times New Roman" w:cs="Times New Roman"/>
          <w:sz w:val="24"/>
          <w:szCs w:val="24"/>
        </w:rPr>
        <w:t>entitling the appellant to general damages for trespass to lan</w:t>
      </w:r>
      <w:r w:rsidR="003B212D">
        <w:rPr>
          <w:rFonts w:ascii="Times New Roman" w:hAnsi="Times New Roman" w:cs="Times New Roman"/>
          <w:sz w:val="24"/>
          <w:szCs w:val="24"/>
        </w:rPr>
        <w:t>d,</w:t>
      </w:r>
      <w:r w:rsidR="009E1CC9">
        <w:rPr>
          <w:rFonts w:ascii="Times New Roman" w:hAnsi="Times New Roman" w:cs="Times New Roman"/>
          <w:sz w:val="24"/>
          <w:szCs w:val="24"/>
        </w:rPr>
        <w:t xml:space="preserve"> for their nearly ten years of unlawful occupancy.</w:t>
      </w:r>
    </w:p>
    <w:p w:rsidR="00170189" w:rsidRDefault="00170189" w:rsidP="00E51AB9">
      <w:pPr>
        <w:spacing w:after="0" w:line="360" w:lineRule="auto"/>
        <w:jc w:val="both"/>
        <w:rPr>
          <w:rFonts w:ascii="Times New Roman" w:hAnsi="Times New Roman" w:cs="Times New Roman"/>
          <w:sz w:val="24"/>
          <w:szCs w:val="24"/>
        </w:rPr>
      </w:pPr>
    </w:p>
    <w:p w:rsidR="00E51AB9" w:rsidRDefault="00170189" w:rsidP="00E51A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order to decide in favour of the respondents, the trial court had to be satisfied that they had furnished evidence whose level of probity was such that </w:t>
      </w:r>
      <w:r w:rsidRPr="009A4040">
        <w:rPr>
          <w:rFonts w:ascii="Times New Roman" w:hAnsi="Times New Roman" w:cs="Times New Roman"/>
          <w:sz w:val="24"/>
          <w:szCs w:val="24"/>
        </w:rPr>
        <w:t>a reasonable man</w:t>
      </w:r>
      <w:r>
        <w:rPr>
          <w:rFonts w:ascii="Times New Roman" w:hAnsi="Times New Roman" w:cs="Times New Roman"/>
          <w:sz w:val="24"/>
          <w:szCs w:val="24"/>
        </w:rPr>
        <w:t>, having considered the evidence adduced by them,</w:t>
      </w:r>
      <w:r w:rsidRPr="009A4040">
        <w:rPr>
          <w:rFonts w:ascii="Times New Roman" w:hAnsi="Times New Roman" w:cs="Times New Roman"/>
          <w:sz w:val="24"/>
          <w:szCs w:val="24"/>
        </w:rPr>
        <w:t xml:space="preserve"> might hold that the more probable conclusion </w:t>
      </w:r>
      <w:r>
        <w:rPr>
          <w:rFonts w:ascii="Times New Roman" w:hAnsi="Times New Roman" w:cs="Times New Roman"/>
          <w:sz w:val="24"/>
          <w:szCs w:val="24"/>
        </w:rPr>
        <w:t>is</w:t>
      </w:r>
      <w:r w:rsidRPr="009A4040">
        <w:rPr>
          <w:rFonts w:ascii="Times New Roman" w:hAnsi="Times New Roman" w:cs="Times New Roman"/>
          <w:sz w:val="24"/>
          <w:szCs w:val="24"/>
        </w:rPr>
        <w:t xml:space="preserve"> that for which the</w:t>
      </w:r>
      <w:r>
        <w:rPr>
          <w:rFonts w:ascii="Times New Roman" w:hAnsi="Times New Roman" w:cs="Times New Roman"/>
          <w:sz w:val="24"/>
          <w:szCs w:val="24"/>
        </w:rPr>
        <w:t xml:space="preserve"> respondents</w:t>
      </w:r>
      <w:r w:rsidRPr="009A4040">
        <w:rPr>
          <w:rFonts w:ascii="Times New Roman" w:hAnsi="Times New Roman" w:cs="Times New Roman"/>
          <w:sz w:val="24"/>
          <w:szCs w:val="24"/>
        </w:rPr>
        <w:t xml:space="preserve"> contend</w:t>
      </w:r>
      <w:r>
        <w:rPr>
          <w:rFonts w:ascii="Times New Roman" w:hAnsi="Times New Roman" w:cs="Times New Roman"/>
          <w:sz w:val="24"/>
          <w:szCs w:val="24"/>
        </w:rPr>
        <w:t xml:space="preserve">ed, since the standard of proof is on the balance of probabilities / preponderance of evidence (see </w:t>
      </w:r>
      <w:r w:rsidRPr="00171B95">
        <w:rPr>
          <w:rFonts w:ascii="Times New Roman" w:hAnsi="Times New Roman" w:cs="Times New Roman"/>
          <w:i/>
          <w:sz w:val="24"/>
          <w:szCs w:val="24"/>
        </w:rPr>
        <w:t>Lancaster v. Blackwell Colliery Co. Ltd 1918 WC Rep 345</w:t>
      </w:r>
      <w:r w:rsidRPr="00171B95">
        <w:rPr>
          <w:rFonts w:ascii="Times New Roman" w:hAnsi="Times New Roman" w:cs="Times New Roman"/>
          <w:sz w:val="24"/>
          <w:szCs w:val="24"/>
        </w:rPr>
        <w:t xml:space="preserve"> and </w:t>
      </w:r>
      <w:r w:rsidRPr="00171B95">
        <w:rPr>
          <w:rFonts w:ascii="Times New Roman" w:hAnsi="Times New Roman" w:cs="Times New Roman"/>
          <w:i/>
          <w:sz w:val="24"/>
          <w:szCs w:val="24"/>
        </w:rPr>
        <w:t>Sebuliba v. Cooperative Bank Ltd [1982] HCB 130</w:t>
      </w:r>
      <w:r>
        <w:rPr>
          <w:rFonts w:ascii="Times New Roman" w:hAnsi="Times New Roman" w:cs="Times New Roman"/>
          <w:sz w:val="24"/>
          <w:szCs w:val="24"/>
        </w:rPr>
        <w:t xml:space="preserve">). </w:t>
      </w:r>
      <w:r w:rsidR="009E1549">
        <w:rPr>
          <w:rFonts w:ascii="Times New Roman" w:hAnsi="Times New Roman" w:cs="Times New Roman"/>
          <w:sz w:val="24"/>
          <w:szCs w:val="24"/>
        </w:rPr>
        <w:t>Being the administrator of the estate of his late father</w:t>
      </w:r>
      <w:r w:rsidR="009E1549" w:rsidRPr="009E1549">
        <w:rPr>
          <w:rFonts w:ascii="Times New Roman" w:hAnsi="Times New Roman" w:cs="Times New Roman"/>
          <w:sz w:val="24"/>
          <w:szCs w:val="24"/>
        </w:rPr>
        <w:t xml:space="preserve"> </w:t>
      </w:r>
      <w:r w:rsidR="009E1549">
        <w:rPr>
          <w:rFonts w:ascii="Times New Roman" w:hAnsi="Times New Roman" w:cs="Times New Roman"/>
          <w:sz w:val="24"/>
          <w:szCs w:val="24"/>
        </w:rPr>
        <w:t>Okumu Lazaro, (D.ID 27, a grant of letters of administration dated 30</w:t>
      </w:r>
      <w:r w:rsidR="009E1549" w:rsidRPr="009E1549">
        <w:rPr>
          <w:rFonts w:ascii="Times New Roman" w:hAnsi="Times New Roman" w:cs="Times New Roman"/>
          <w:sz w:val="24"/>
          <w:szCs w:val="24"/>
          <w:vertAlign w:val="superscript"/>
        </w:rPr>
        <w:t>th</w:t>
      </w:r>
      <w:r w:rsidR="009E1549">
        <w:rPr>
          <w:rFonts w:ascii="Times New Roman" w:hAnsi="Times New Roman" w:cs="Times New Roman"/>
          <w:sz w:val="24"/>
          <w:szCs w:val="24"/>
        </w:rPr>
        <w:t xml:space="preserve"> January, 2012), and having proved his counterclaim on the balance of probabilities, the appellant was entitled to a decision in his favour on the </w:t>
      </w:r>
      <w:r w:rsidR="006F1397">
        <w:rPr>
          <w:rFonts w:ascii="Times New Roman" w:hAnsi="Times New Roman" w:cs="Times New Roman"/>
          <w:sz w:val="24"/>
          <w:szCs w:val="24"/>
        </w:rPr>
        <w:t xml:space="preserve">counterclaim. The respondents having failed to prove </w:t>
      </w:r>
      <w:r w:rsidR="00765FB5">
        <w:rPr>
          <w:rFonts w:ascii="Times New Roman" w:hAnsi="Times New Roman" w:cs="Times New Roman"/>
          <w:sz w:val="24"/>
          <w:szCs w:val="24"/>
        </w:rPr>
        <w:t>their</w:t>
      </w:r>
      <w:r w:rsidR="006F1397">
        <w:rPr>
          <w:rFonts w:ascii="Times New Roman" w:hAnsi="Times New Roman" w:cs="Times New Roman"/>
          <w:sz w:val="24"/>
          <w:szCs w:val="24"/>
        </w:rPr>
        <w:t xml:space="preserve"> case on the balance of probabilities, </w:t>
      </w:r>
      <w:r w:rsidR="00765FB5">
        <w:rPr>
          <w:rFonts w:ascii="Times New Roman" w:hAnsi="Times New Roman" w:cs="Times New Roman"/>
          <w:sz w:val="24"/>
          <w:szCs w:val="24"/>
        </w:rPr>
        <w:t>their</w:t>
      </w:r>
      <w:r w:rsidR="006F1397">
        <w:rPr>
          <w:rFonts w:ascii="Times New Roman" w:hAnsi="Times New Roman" w:cs="Times New Roman"/>
          <w:sz w:val="24"/>
          <w:szCs w:val="24"/>
        </w:rPr>
        <w:t xml:space="preserve"> suit ought to have been dismissed</w:t>
      </w:r>
      <w:r w:rsidR="00E51AB9">
        <w:rPr>
          <w:rFonts w:ascii="Times New Roman" w:hAnsi="Times New Roman" w:cs="Times New Roman"/>
          <w:sz w:val="24"/>
          <w:szCs w:val="24"/>
        </w:rPr>
        <w:t>.</w:t>
      </w:r>
    </w:p>
    <w:p w:rsidR="00483BC3" w:rsidRDefault="00483BC3" w:rsidP="00E51AB9">
      <w:pPr>
        <w:spacing w:after="0" w:line="360" w:lineRule="auto"/>
        <w:jc w:val="both"/>
        <w:rPr>
          <w:rFonts w:ascii="Times New Roman" w:hAnsi="Times New Roman" w:cs="Times New Roman"/>
          <w:sz w:val="24"/>
          <w:szCs w:val="24"/>
        </w:rPr>
      </w:pPr>
    </w:p>
    <w:p w:rsidR="00601FF1" w:rsidRPr="00012A9C" w:rsidRDefault="00601FF1" w:rsidP="00601F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Pr="00012A9C">
        <w:rPr>
          <w:rFonts w:ascii="Times New Roman" w:hAnsi="Times New Roman" w:cs="Times New Roman"/>
          <w:sz w:val="24"/>
          <w:szCs w:val="24"/>
        </w:rPr>
        <w:t xml:space="preserve">respass in all its forms is actionable </w:t>
      </w:r>
      <w:r w:rsidRPr="00012A9C">
        <w:rPr>
          <w:rFonts w:ascii="Times New Roman" w:hAnsi="Times New Roman" w:cs="Times New Roman"/>
          <w:i/>
          <w:sz w:val="24"/>
          <w:szCs w:val="24"/>
        </w:rPr>
        <w:t>per se</w:t>
      </w:r>
      <w:r w:rsidRPr="00012A9C">
        <w:rPr>
          <w:rFonts w:ascii="Times New Roman" w:hAnsi="Times New Roman" w:cs="Times New Roman"/>
          <w:sz w:val="24"/>
          <w:szCs w:val="24"/>
        </w:rPr>
        <w:t xml:space="preserve">, i.e., there is no need for the plaintiff to prove that he or she has sustained actual damage. That no damage must be shown before an action will lie is an important hallmark of trespass to land as contrasted with other torts. But without proof of actual loss or damage, courts usually award nominal damages. </w:t>
      </w:r>
      <w:r w:rsidRPr="00012A9C">
        <w:rPr>
          <w:rFonts w:ascii="Times New Roman" w:eastAsia="Times New Roman" w:hAnsi="Times New Roman" w:cs="Times New Roman"/>
          <w:sz w:val="24"/>
          <w:szCs w:val="24"/>
        </w:rPr>
        <w:t xml:space="preserve">Damages for torts actionable </w:t>
      </w:r>
      <w:r w:rsidRPr="00012A9C">
        <w:rPr>
          <w:rFonts w:ascii="Times New Roman" w:eastAsia="Times New Roman" w:hAnsi="Times New Roman" w:cs="Times New Roman"/>
          <w:i/>
          <w:sz w:val="24"/>
          <w:szCs w:val="24"/>
        </w:rPr>
        <w:t>per se</w:t>
      </w:r>
      <w:r w:rsidRPr="00012A9C">
        <w:rPr>
          <w:rFonts w:ascii="Times New Roman" w:eastAsia="Times New Roman" w:hAnsi="Times New Roman" w:cs="Times New Roman"/>
          <w:sz w:val="24"/>
          <w:szCs w:val="24"/>
        </w:rPr>
        <w:t xml:space="preserve"> are said to be “at large”, that is to say the Court, taking all the relevant circumstances into account, will reach an intuitive assessment of the loss which it considers the plaintiff has sustained.</w:t>
      </w:r>
      <w:r w:rsidRPr="00012A9C">
        <w:rPr>
          <w:rFonts w:ascii="Times New Roman" w:hAnsi="Times New Roman" w:cs="Times New Roman"/>
          <w:sz w:val="24"/>
          <w:szCs w:val="24"/>
        </w:rPr>
        <w:t xml:space="preserve"> </w:t>
      </w:r>
      <w:r w:rsidRPr="00012A9C">
        <w:rPr>
          <w:rFonts w:ascii="Times New Roman" w:eastAsia="Times New Roman" w:hAnsi="Times New Roman" w:cs="Times New Roman"/>
          <w:i/>
          <w:iCs/>
          <w:sz w:val="24"/>
          <w:szCs w:val="24"/>
        </w:rPr>
        <w:t>Halsbury’sLaws of England</w:t>
      </w:r>
      <w:r w:rsidRPr="00012A9C">
        <w:rPr>
          <w:rFonts w:ascii="Times New Roman" w:eastAsia="Times New Roman" w:hAnsi="Times New Roman" w:cs="Times New Roman"/>
          <w:sz w:val="24"/>
          <w:szCs w:val="24"/>
        </w:rPr>
        <w:t>, 4</w:t>
      </w:r>
      <w:r w:rsidRPr="00012A9C">
        <w:rPr>
          <w:rFonts w:ascii="Times New Roman" w:eastAsia="Times New Roman" w:hAnsi="Times New Roman" w:cs="Times New Roman"/>
          <w:sz w:val="24"/>
          <w:szCs w:val="24"/>
          <w:vertAlign w:val="superscript"/>
        </w:rPr>
        <w:t>th</w:t>
      </w:r>
      <w:r w:rsidRPr="00012A9C">
        <w:rPr>
          <w:rFonts w:ascii="Times New Roman" w:eastAsia="Times New Roman" w:hAnsi="Times New Roman" w:cs="Times New Roman"/>
          <w:sz w:val="24"/>
          <w:szCs w:val="24"/>
        </w:rPr>
        <w:t xml:space="preserve"> edition, vol. 45, at para 1403, explains five different levels of damages in an action of trespass to land, thus; </w:t>
      </w:r>
      <w:r>
        <w:rPr>
          <w:rFonts w:ascii="Times New Roman" w:eastAsia="Times New Roman" w:hAnsi="Times New Roman" w:cs="Times New Roman"/>
          <w:sz w:val="24"/>
          <w:szCs w:val="24"/>
        </w:rPr>
        <w:t xml:space="preserve">(a) </w:t>
      </w:r>
      <w:r w:rsidRPr="006C3046">
        <w:rPr>
          <w:rFonts w:ascii="Times New Roman" w:eastAsia="Times New Roman" w:hAnsi="Times New Roman" w:cs="Times New Roman"/>
          <w:sz w:val="24"/>
          <w:szCs w:val="24"/>
        </w:rPr>
        <w:t xml:space="preserve">If the plaintiff proves the trespass he is entitled to recover </w:t>
      </w:r>
      <w:r w:rsidRPr="006C3046">
        <w:rPr>
          <w:rFonts w:ascii="Times New Roman" w:eastAsia="Times New Roman" w:hAnsi="Times New Roman" w:cs="Times New Roman"/>
          <w:i/>
          <w:iCs/>
          <w:sz w:val="24"/>
          <w:szCs w:val="24"/>
          <w:u w:val="single"/>
        </w:rPr>
        <w:t>nominal damages</w:t>
      </w:r>
      <w:r w:rsidRPr="006C3046">
        <w:rPr>
          <w:rFonts w:ascii="Times New Roman" w:eastAsia="Times New Roman" w:hAnsi="Times New Roman" w:cs="Times New Roman"/>
          <w:sz w:val="24"/>
          <w:szCs w:val="24"/>
        </w:rPr>
        <w:t xml:space="preserve">, even if he has </w:t>
      </w:r>
      <w:r w:rsidRPr="006C3046">
        <w:rPr>
          <w:rFonts w:ascii="Times New Roman" w:eastAsia="Times New Roman" w:hAnsi="Times New Roman" w:cs="Times New Roman"/>
          <w:sz w:val="24"/>
          <w:szCs w:val="24"/>
          <w:u w:val="single"/>
        </w:rPr>
        <w:t>not suffered any actual loss</w:t>
      </w:r>
      <w:r>
        <w:rPr>
          <w:rFonts w:ascii="Times New Roman" w:eastAsia="Times New Roman" w:hAnsi="Times New Roman" w:cs="Times New Roman"/>
          <w:sz w:val="24"/>
          <w:szCs w:val="24"/>
        </w:rPr>
        <w:t>; (b) i</w:t>
      </w:r>
      <w:r w:rsidRPr="006C3046">
        <w:rPr>
          <w:rFonts w:ascii="Times New Roman" w:eastAsia="Times New Roman" w:hAnsi="Times New Roman" w:cs="Times New Roman"/>
          <w:sz w:val="24"/>
          <w:szCs w:val="24"/>
        </w:rPr>
        <w:t xml:space="preserve">f the trespass has caused the plaintiff </w:t>
      </w:r>
      <w:r w:rsidRPr="006C3046">
        <w:rPr>
          <w:rFonts w:ascii="Times New Roman" w:eastAsia="Times New Roman" w:hAnsi="Times New Roman" w:cs="Times New Roman"/>
          <w:sz w:val="24"/>
          <w:szCs w:val="24"/>
          <w:u w:val="single"/>
        </w:rPr>
        <w:t>actual damage</w:t>
      </w:r>
      <w:r w:rsidRPr="006C3046">
        <w:rPr>
          <w:rFonts w:ascii="Times New Roman" w:eastAsia="Times New Roman" w:hAnsi="Times New Roman" w:cs="Times New Roman"/>
          <w:sz w:val="24"/>
          <w:szCs w:val="24"/>
        </w:rPr>
        <w:t>, he is entitled to receive such amount as w</w:t>
      </w:r>
      <w:r>
        <w:rPr>
          <w:rFonts w:ascii="Times New Roman" w:eastAsia="Times New Roman" w:hAnsi="Times New Roman" w:cs="Times New Roman"/>
          <w:sz w:val="24"/>
          <w:szCs w:val="24"/>
        </w:rPr>
        <w:t xml:space="preserve">ill compensate him for his loss; (c) </w:t>
      </w:r>
      <w:r>
        <w:rPr>
          <w:rFonts w:ascii="Times New Roman" w:hAnsi="Times New Roman" w:cs="Times New Roman"/>
          <w:sz w:val="24"/>
          <w:szCs w:val="24"/>
        </w:rPr>
        <w:t>w</w:t>
      </w:r>
      <w:r w:rsidRPr="006C3046">
        <w:rPr>
          <w:rFonts w:ascii="Times New Roman" w:eastAsia="Times New Roman" w:hAnsi="Times New Roman" w:cs="Times New Roman"/>
          <w:sz w:val="24"/>
          <w:szCs w:val="24"/>
        </w:rPr>
        <w:t xml:space="preserve">here the defendant has </w:t>
      </w:r>
      <w:r w:rsidRPr="006C3046">
        <w:rPr>
          <w:rFonts w:ascii="Times New Roman" w:eastAsia="Times New Roman" w:hAnsi="Times New Roman" w:cs="Times New Roman"/>
          <w:sz w:val="24"/>
          <w:szCs w:val="24"/>
          <w:u w:val="single"/>
        </w:rPr>
        <w:t>made use of the plaintiff’s land</w:t>
      </w:r>
      <w:r w:rsidRPr="006C3046">
        <w:rPr>
          <w:rFonts w:ascii="Times New Roman" w:eastAsia="Times New Roman" w:hAnsi="Times New Roman" w:cs="Times New Roman"/>
          <w:sz w:val="24"/>
          <w:szCs w:val="24"/>
        </w:rPr>
        <w:t xml:space="preserve">, the plaintiff is entitled to receive by way of damages such a sum as would </w:t>
      </w:r>
      <w:r>
        <w:rPr>
          <w:rFonts w:ascii="Times New Roman" w:eastAsia="Times New Roman" w:hAnsi="Times New Roman" w:cs="Times New Roman"/>
          <w:sz w:val="24"/>
          <w:szCs w:val="24"/>
        </w:rPr>
        <w:t xml:space="preserve">reasonably be paid for that use; (d) </w:t>
      </w:r>
      <w:r>
        <w:rPr>
          <w:rFonts w:ascii="Times New Roman" w:hAnsi="Times New Roman" w:cs="Times New Roman"/>
          <w:sz w:val="24"/>
          <w:szCs w:val="24"/>
        </w:rPr>
        <w:t>w</w:t>
      </w:r>
      <w:r w:rsidRPr="006C3046">
        <w:rPr>
          <w:rFonts w:ascii="Times New Roman" w:eastAsia="Times New Roman" w:hAnsi="Times New Roman" w:cs="Times New Roman"/>
          <w:sz w:val="24"/>
          <w:szCs w:val="24"/>
        </w:rPr>
        <w:t xml:space="preserve">here there is an </w:t>
      </w:r>
      <w:r w:rsidRPr="006C3046">
        <w:rPr>
          <w:rFonts w:ascii="Times New Roman" w:eastAsia="Times New Roman" w:hAnsi="Times New Roman" w:cs="Times New Roman"/>
          <w:sz w:val="24"/>
          <w:szCs w:val="24"/>
          <w:u w:val="single"/>
        </w:rPr>
        <w:t>oppressive, arbitrary or unconstitutional trespass</w:t>
      </w:r>
      <w:r w:rsidRPr="006C3046">
        <w:rPr>
          <w:rFonts w:ascii="Times New Roman" w:eastAsia="Times New Roman" w:hAnsi="Times New Roman" w:cs="Times New Roman"/>
          <w:sz w:val="24"/>
          <w:szCs w:val="24"/>
        </w:rPr>
        <w:t xml:space="preserve"> by a government official or where the defendant </w:t>
      </w:r>
      <w:r w:rsidRPr="006C3046">
        <w:rPr>
          <w:rFonts w:ascii="Times New Roman" w:eastAsia="Times New Roman" w:hAnsi="Times New Roman" w:cs="Times New Roman"/>
          <w:sz w:val="24"/>
          <w:szCs w:val="24"/>
          <w:u w:val="single"/>
        </w:rPr>
        <w:t>cynically disregards the rights</w:t>
      </w:r>
      <w:r w:rsidRPr="006C3046">
        <w:rPr>
          <w:rFonts w:ascii="Times New Roman" w:eastAsia="Times New Roman" w:hAnsi="Times New Roman" w:cs="Times New Roman"/>
          <w:sz w:val="24"/>
          <w:szCs w:val="24"/>
        </w:rPr>
        <w:t xml:space="preserve"> of the plaintiff in the land with the </w:t>
      </w:r>
      <w:r w:rsidRPr="006C3046">
        <w:rPr>
          <w:rFonts w:ascii="Times New Roman" w:eastAsia="Times New Roman" w:hAnsi="Times New Roman" w:cs="Times New Roman"/>
          <w:sz w:val="24"/>
          <w:szCs w:val="24"/>
        </w:rPr>
        <w:lastRenderedPageBreak/>
        <w:t>object of making a gain by his unlawful conduct, exemplary damages may be awarded</w:t>
      </w:r>
      <w:r>
        <w:rPr>
          <w:rFonts w:ascii="Times New Roman" w:eastAsia="Times New Roman" w:hAnsi="Times New Roman" w:cs="Times New Roman"/>
          <w:sz w:val="24"/>
          <w:szCs w:val="24"/>
        </w:rPr>
        <w:t xml:space="preserve">; and (e) </w:t>
      </w:r>
      <w:r>
        <w:rPr>
          <w:rFonts w:ascii="Times New Roman" w:hAnsi="Times New Roman" w:cs="Times New Roman"/>
          <w:sz w:val="24"/>
          <w:szCs w:val="24"/>
        </w:rPr>
        <w:t>i</w:t>
      </w:r>
      <w:r w:rsidRPr="006C3046">
        <w:rPr>
          <w:rFonts w:ascii="Times New Roman" w:eastAsia="Times New Roman" w:hAnsi="Times New Roman" w:cs="Times New Roman"/>
          <w:sz w:val="24"/>
          <w:szCs w:val="24"/>
        </w:rPr>
        <w:t xml:space="preserve">f the trespass is accompanied by </w:t>
      </w:r>
      <w:r w:rsidRPr="006C3046">
        <w:rPr>
          <w:rFonts w:ascii="Times New Roman" w:eastAsia="Times New Roman" w:hAnsi="Times New Roman" w:cs="Times New Roman"/>
          <w:sz w:val="24"/>
          <w:szCs w:val="24"/>
          <w:u w:val="single"/>
        </w:rPr>
        <w:t>aggravating circumstances</w:t>
      </w:r>
      <w:r w:rsidRPr="006C3046">
        <w:rPr>
          <w:rFonts w:ascii="Times New Roman" w:eastAsia="Times New Roman" w:hAnsi="Times New Roman" w:cs="Times New Roman"/>
          <w:sz w:val="24"/>
          <w:szCs w:val="24"/>
        </w:rPr>
        <w:t xml:space="preserve"> which do not allow an award of exemplary damages, the general damages may be increased.</w:t>
      </w:r>
    </w:p>
    <w:p w:rsidR="00601FF1" w:rsidRDefault="00601FF1" w:rsidP="00601FF1">
      <w:pPr>
        <w:spacing w:after="0" w:line="360" w:lineRule="auto"/>
        <w:jc w:val="both"/>
        <w:rPr>
          <w:rFonts w:ascii="Times New Roman" w:eastAsia="Times New Roman" w:hAnsi="Times New Roman" w:cs="Times New Roman"/>
          <w:sz w:val="24"/>
          <w:szCs w:val="24"/>
        </w:rPr>
      </w:pPr>
    </w:p>
    <w:p w:rsidR="00601FF1" w:rsidRDefault="00601FF1" w:rsidP="00601FF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Pr="00686650">
        <w:rPr>
          <w:rFonts w:ascii="Times New Roman" w:eastAsia="Times New Roman" w:hAnsi="Times New Roman" w:cs="Times New Roman"/>
          <w:i/>
          <w:sz w:val="24"/>
          <w:szCs w:val="24"/>
        </w:rPr>
        <w:t>Halsbury’s Laws of England</w:t>
      </w:r>
      <w:r w:rsidRPr="005D48F8">
        <w:rPr>
          <w:rFonts w:ascii="Times New Roman" w:eastAsia="Times New Roman" w:hAnsi="Times New Roman" w:cs="Times New Roman"/>
          <w:sz w:val="24"/>
          <w:szCs w:val="24"/>
        </w:rPr>
        <w:t>, 4</w:t>
      </w:r>
      <w:r w:rsidRPr="00442D99">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r w:rsidRPr="005D48F8">
        <w:rPr>
          <w:rFonts w:ascii="Times New Roman" w:eastAsia="Times New Roman" w:hAnsi="Times New Roman" w:cs="Times New Roman"/>
          <w:sz w:val="24"/>
          <w:szCs w:val="24"/>
        </w:rPr>
        <w:t>Ed., Vol. 45</w:t>
      </w:r>
      <w:r>
        <w:rPr>
          <w:rFonts w:ascii="Times New Roman" w:eastAsia="Times New Roman" w:hAnsi="Times New Roman" w:cs="Times New Roman"/>
          <w:sz w:val="24"/>
          <w:szCs w:val="24"/>
        </w:rPr>
        <w:t xml:space="preserve"> </w:t>
      </w:r>
      <w:r w:rsidRPr="005D48F8">
        <w:rPr>
          <w:rFonts w:ascii="Times New Roman" w:eastAsia="Times New Roman" w:hAnsi="Times New Roman" w:cs="Times New Roman"/>
          <w:sz w:val="24"/>
          <w:szCs w:val="24"/>
        </w:rPr>
        <w:t>(2)</w:t>
      </w:r>
      <w:r>
        <w:rPr>
          <w:rFonts w:ascii="Times New Roman" w:eastAsia="Times New Roman" w:hAnsi="Times New Roman" w:cs="Times New Roman"/>
          <w:sz w:val="24"/>
          <w:szCs w:val="24"/>
        </w:rPr>
        <w:t>, (</w:t>
      </w:r>
      <w:r w:rsidRPr="00686650">
        <w:rPr>
          <w:rFonts w:ascii="Times New Roman" w:eastAsia="Times New Roman" w:hAnsi="Times New Roman" w:cs="Times New Roman"/>
          <w:sz w:val="24"/>
          <w:szCs w:val="24"/>
        </w:rPr>
        <w:t>London: Butterworth’s, 1999, at paragraph 526</w:t>
      </w:r>
      <w:r>
        <w:rPr>
          <w:rFonts w:ascii="Times New Roman" w:eastAsia="Times New Roman" w:hAnsi="Times New Roman" w:cs="Times New Roman"/>
          <w:sz w:val="24"/>
          <w:szCs w:val="24"/>
        </w:rPr>
        <w:t xml:space="preserve">), </w:t>
      </w:r>
      <w:r w:rsidRPr="005D48F8">
        <w:rPr>
          <w:rFonts w:ascii="Times New Roman" w:eastAsia="Times New Roman" w:hAnsi="Times New Roman" w:cs="Times New Roman"/>
          <w:sz w:val="24"/>
          <w:szCs w:val="24"/>
        </w:rPr>
        <w:t xml:space="preserve">the law on damages for trespass </w:t>
      </w:r>
      <w:r>
        <w:rPr>
          <w:rFonts w:ascii="Times New Roman" w:eastAsia="Times New Roman" w:hAnsi="Times New Roman" w:cs="Times New Roman"/>
          <w:sz w:val="24"/>
          <w:szCs w:val="24"/>
        </w:rPr>
        <w:t xml:space="preserve"> </w:t>
      </w:r>
      <w:r w:rsidRPr="005D48F8">
        <w:rPr>
          <w:rFonts w:ascii="Times New Roman" w:eastAsia="Times New Roman" w:hAnsi="Times New Roman" w:cs="Times New Roman"/>
          <w:sz w:val="24"/>
          <w:szCs w:val="24"/>
        </w:rPr>
        <w:t xml:space="preserve">to land is addressed thus: </w:t>
      </w:r>
      <w:r>
        <w:rPr>
          <w:rFonts w:ascii="Times New Roman" w:eastAsia="Times New Roman" w:hAnsi="Times New Roman" w:cs="Times New Roman"/>
          <w:sz w:val="24"/>
          <w:szCs w:val="24"/>
        </w:rPr>
        <w:t>"</w:t>
      </w:r>
      <w:r w:rsidRPr="005D48F8">
        <w:rPr>
          <w:rFonts w:ascii="Times New Roman" w:eastAsia="Times New Roman" w:hAnsi="Times New Roman" w:cs="Times New Roman"/>
          <w:sz w:val="24"/>
          <w:szCs w:val="24"/>
        </w:rPr>
        <w:t>a claim for trespass, if the claimant proves trespass, he is entitled to recover nominal damages, even if</w:t>
      </w:r>
      <w:r>
        <w:rPr>
          <w:rFonts w:ascii="Times New Roman" w:eastAsia="Times New Roman" w:hAnsi="Times New Roman" w:cs="Times New Roman"/>
          <w:sz w:val="24"/>
          <w:szCs w:val="24"/>
        </w:rPr>
        <w:t xml:space="preserve"> </w:t>
      </w:r>
      <w:r w:rsidRPr="005D48F8">
        <w:rPr>
          <w:rFonts w:ascii="Times New Roman" w:eastAsia="Times New Roman" w:hAnsi="Times New Roman" w:cs="Times New Roman"/>
          <w:sz w:val="24"/>
          <w:szCs w:val="24"/>
        </w:rPr>
        <w:t xml:space="preserve">he has not suffered any actual </w:t>
      </w:r>
      <w:r>
        <w:rPr>
          <w:rFonts w:ascii="Times New Roman" w:eastAsia="Times New Roman" w:hAnsi="Times New Roman" w:cs="Times New Roman"/>
          <w:sz w:val="24"/>
          <w:szCs w:val="24"/>
        </w:rPr>
        <w:t xml:space="preserve">loss. If the trespass has caused the claimant </w:t>
      </w:r>
      <w:r w:rsidRPr="005D48F8">
        <w:rPr>
          <w:rFonts w:ascii="Times New Roman" w:eastAsia="Times New Roman" w:hAnsi="Times New Roman" w:cs="Times New Roman"/>
          <w:sz w:val="24"/>
          <w:szCs w:val="24"/>
        </w:rPr>
        <w:t xml:space="preserve">actual </w:t>
      </w:r>
      <w:r>
        <w:rPr>
          <w:rFonts w:ascii="Times New Roman" w:eastAsia="Times New Roman" w:hAnsi="Times New Roman" w:cs="Times New Roman"/>
          <w:sz w:val="24"/>
          <w:szCs w:val="24"/>
        </w:rPr>
        <w:t xml:space="preserve">damage, he is </w:t>
      </w:r>
      <w:r w:rsidRPr="005D48F8">
        <w:rPr>
          <w:rFonts w:ascii="Times New Roman" w:eastAsia="Times New Roman" w:hAnsi="Times New Roman" w:cs="Times New Roman"/>
          <w:sz w:val="24"/>
          <w:szCs w:val="24"/>
        </w:rPr>
        <w:t>entit</w:t>
      </w:r>
      <w:r>
        <w:rPr>
          <w:rFonts w:ascii="Times New Roman" w:eastAsia="Times New Roman" w:hAnsi="Times New Roman" w:cs="Times New Roman"/>
          <w:sz w:val="24"/>
          <w:szCs w:val="24"/>
        </w:rPr>
        <w:t xml:space="preserve">led to </w:t>
      </w:r>
      <w:r w:rsidRPr="005D48F8">
        <w:rPr>
          <w:rFonts w:ascii="Times New Roman" w:eastAsia="Times New Roman" w:hAnsi="Times New Roman" w:cs="Times New Roman"/>
          <w:sz w:val="24"/>
          <w:szCs w:val="24"/>
        </w:rPr>
        <w:t xml:space="preserve">receive  </w:t>
      </w:r>
      <w:r>
        <w:rPr>
          <w:rFonts w:ascii="Times New Roman" w:eastAsia="Times New Roman" w:hAnsi="Times New Roman" w:cs="Times New Roman"/>
          <w:sz w:val="24"/>
          <w:szCs w:val="24"/>
        </w:rPr>
        <w:t xml:space="preserve">such an amount as will compensate </w:t>
      </w:r>
      <w:r w:rsidRPr="005D48F8">
        <w:rPr>
          <w:rFonts w:ascii="Times New Roman" w:eastAsia="Times New Roman" w:hAnsi="Times New Roman" w:cs="Times New Roman"/>
          <w:sz w:val="24"/>
          <w:szCs w:val="24"/>
        </w:rPr>
        <w:t>hi</w:t>
      </w:r>
      <w:r>
        <w:rPr>
          <w:rFonts w:ascii="Times New Roman" w:eastAsia="Times New Roman" w:hAnsi="Times New Roman" w:cs="Times New Roman"/>
          <w:sz w:val="24"/>
          <w:szCs w:val="24"/>
        </w:rPr>
        <w:t xml:space="preserve">m for </w:t>
      </w:r>
      <w:r w:rsidRPr="005D48F8">
        <w:rPr>
          <w:rFonts w:ascii="Times New Roman" w:eastAsia="Times New Roman" w:hAnsi="Times New Roman" w:cs="Times New Roman"/>
          <w:sz w:val="24"/>
          <w:szCs w:val="24"/>
        </w:rPr>
        <w:t xml:space="preserve">his  </w:t>
      </w:r>
      <w:r>
        <w:rPr>
          <w:rFonts w:ascii="Times New Roman" w:eastAsia="Times New Roman" w:hAnsi="Times New Roman" w:cs="Times New Roman"/>
          <w:sz w:val="24"/>
          <w:szCs w:val="24"/>
        </w:rPr>
        <w:t xml:space="preserve">loss. Where the defendant  has </w:t>
      </w:r>
      <w:r w:rsidRPr="005D48F8">
        <w:rPr>
          <w:rFonts w:ascii="Times New Roman" w:eastAsia="Times New Roman" w:hAnsi="Times New Roman" w:cs="Times New Roman"/>
          <w:sz w:val="24"/>
          <w:szCs w:val="24"/>
        </w:rPr>
        <w:t>made  use  o</w:t>
      </w:r>
      <w:r>
        <w:rPr>
          <w:rFonts w:ascii="Times New Roman" w:eastAsia="Times New Roman" w:hAnsi="Times New Roman" w:cs="Times New Roman"/>
          <w:sz w:val="24"/>
          <w:szCs w:val="24"/>
        </w:rPr>
        <w:t xml:space="preserve">f  the  claimant’s land, the </w:t>
      </w:r>
      <w:r w:rsidRPr="005D48F8">
        <w:rPr>
          <w:rFonts w:ascii="Times New Roman" w:eastAsia="Times New Roman" w:hAnsi="Times New Roman" w:cs="Times New Roman"/>
          <w:sz w:val="24"/>
          <w:szCs w:val="24"/>
        </w:rPr>
        <w:t>clai</w:t>
      </w:r>
      <w:r>
        <w:rPr>
          <w:rFonts w:ascii="Times New Roman" w:eastAsia="Times New Roman" w:hAnsi="Times New Roman" w:cs="Times New Roman"/>
          <w:sz w:val="24"/>
          <w:szCs w:val="24"/>
        </w:rPr>
        <w:t xml:space="preserve">mant is </w:t>
      </w:r>
      <w:r w:rsidRPr="005D48F8">
        <w:rPr>
          <w:rFonts w:ascii="Times New Roman" w:eastAsia="Times New Roman" w:hAnsi="Times New Roman" w:cs="Times New Roman"/>
          <w:sz w:val="24"/>
          <w:szCs w:val="24"/>
        </w:rPr>
        <w:t>enti</w:t>
      </w:r>
      <w:r>
        <w:rPr>
          <w:rFonts w:ascii="Times New Roman" w:eastAsia="Times New Roman" w:hAnsi="Times New Roman" w:cs="Times New Roman"/>
          <w:sz w:val="24"/>
          <w:szCs w:val="24"/>
        </w:rPr>
        <w:t xml:space="preserve">tled to receive by way of damages such a sum </w:t>
      </w:r>
      <w:r w:rsidRPr="005D48F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s </w:t>
      </w:r>
      <w:r w:rsidRPr="005D48F8">
        <w:rPr>
          <w:rFonts w:ascii="Times New Roman" w:eastAsia="Times New Roman" w:hAnsi="Times New Roman" w:cs="Times New Roman"/>
          <w:sz w:val="24"/>
          <w:szCs w:val="24"/>
        </w:rPr>
        <w:t xml:space="preserve">should  </w:t>
      </w:r>
      <w:r>
        <w:rPr>
          <w:rFonts w:ascii="Times New Roman" w:eastAsia="Times New Roman" w:hAnsi="Times New Roman" w:cs="Times New Roman"/>
          <w:sz w:val="24"/>
          <w:szCs w:val="24"/>
        </w:rPr>
        <w:t xml:space="preserve">reasonably be paid for that use....Where the </w:t>
      </w:r>
      <w:r w:rsidRPr="005D48F8">
        <w:rPr>
          <w:rFonts w:ascii="Times New Roman" w:eastAsia="Times New Roman" w:hAnsi="Times New Roman" w:cs="Times New Roman"/>
          <w:sz w:val="24"/>
          <w:szCs w:val="24"/>
        </w:rPr>
        <w:t>defendant cynically disregards the rights of the claimant in the land with the</w:t>
      </w:r>
      <w:r>
        <w:rPr>
          <w:rFonts w:ascii="Times New Roman" w:eastAsia="Times New Roman" w:hAnsi="Times New Roman" w:cs="Times New Roman"/>
          <w:sz w:val="24"/>
          <w:szCs w:val="24"/>
        </w:rPr>
        <w:t xml:space="preserve"> object of making a gain by his </w:t>
      </w:r>
      <w:r w:rsidRPr="005D48F8">
        <w:rPr>
          <w:rFonts w:ascii="Times New Roman" w:eastAsia="Times New Roman" w:hAnsi="Times New Roman" w:cs="Times New Roman"/>
          <w:sz w:val="24"/>
          <w:szCs w:val="24"/>
        </w:rPr>
        <w:t>unlawful conduct, exemplary damages</w:t>
      </w:r>
      <w:r>
        <w:rPr>
          <w:rFonts w:ascii="Times New Roman" w:eastAsia="Times New Roman" w:hAnsi="Times New Roman" w:cs="Times New Roman"/>
          <w:sz w:val="24"/>
          <w:szCs w:val="24"/>
        </w:rPr>
        <w:t xml:space="preserve"> </w:t>
      </w:r>
      <w:r w:rsidRPr="005D48F8">
        <w:rPr>
          <w:rFonts w:ascii="Times New Roman" w:eastAsia="Times New Roman" w:hAnsi="Times New Roman" w:cs="Times New Roman"/>
          <w:sz w:val="24"/>
          <w:szCs w:val="24"/>
        </w:rPr>
        <w:t>may be awarded if the trespass is accompanied by aggravating circumstances which do not allow an award of exemplary damages, the general damages may be increased.”</w:t>
      </w:r>
    </w:p>
    <w:p w:rsidR="00601FF1" w:rsidRDefault="00601FF1" w:rsidP="00601FF1">
      <w:pPr>
        <w:spacing w:after="0" w:line="360" w:lineRule="auto"/>
        <w:jc w:val="both"/>
        <w:rPr>
          <w:rFonts w:ascii="Times New Roman" w:eastAsia="Times New Roman" w:hAnsi="Times New Roman" w:cs="Times New Roman"/>
          <w:sz w:val="24"/>
          <w:szCs w:val="24"/>
        </w:rPr>
      </w:pPr>
    </w:p>
    <w:p w:rsidR="00601FF1" w:rsidRDefault="00601FF1" w:rsidP="00601FF1">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The </w:t>
      </w:r>
      <w:r w:rsidRPr="00C364B6">
        <w:rPr>
          <w:rFonts w:ascii="Times New Roman" w:eastAsia="Times New Roman" w:hAnsi="Times New Roman" w:cs="Times New Roman"/>
          <w:sz w:val="24"/>
          <w:szCs w:val="24"/>
        </w:rPr>
        <w:t>defendant’s conduct is thus key to the amount of damages awarded. If the trespass was accidental or inadvertent, damages are lower. If the trespass was willful, damages are greater. And if the trespass was in-between, i.e. the result of the defendant’s negligence or indifference, then the damages are in-between as well.</w:t>
      </w:r>
      <w:r w:rsidRPr="00C364B6">
        <w:rPr>
          <w:rFonts w:ascii="Times New Roman" w:hAnsi="Times New Roman" w:cs="Times New Roman"/>
          <w:sz w:val="24"/>
          <w:szCs w:val="24"/>
        </w:rPr>
        <w:t xml:space="preserve"> </w:t>
      </w:r>
      <w:r>
        <w:rPr>
          <w:rFonts w:ascii="Times New Roman" w:hAnsi="Times New Roman" w:cs="Times New Roman"/>
          <w:sz w:val="24"/>
          <w:szCs w:val="24"/>
        </w:rPr>
        <w:t xml:space="preserve">Considering that this was wilful trespass and </w:t>
      </w:r>
      <w:r w:rsidRPr="00C364B6">
        <w:rPr>
          <w:rFonts w:ascii="Times New Roman" w:hAnsi="Times New Roman" w:cs="Times New Roman"/>
          <w:sz w:val="24"/>
          <w:szCs w:val="24"/>
        </w:rPr>
        <w:t xml:space="preserve">guided by the </w:t>
      </w:r>
      <w:r>
        <w:rPr>
          <w:rFonts w:ascii="Times New Roman" w:hAnsi="Times New Roman" w:cs="Times New Roman"/>
          <w:sz w:val="24"/>
          <w:szCs w:val="24"/>
        </w:rPr>
        <w:t>acreage of approximately two and a half acres of land in a peri-urban setting occupied since 2009, for each acre I will award nominal damages of shs. 1,000,000/=</w:t>
      </w:r>
      <w:r w:rsidRPr="00C364B6">
        <w:rPr>
          <w:rFonts w:ascii="Times New Roman" w:hAnsi="Times New Roman" w:cs="Times New Roman"/>
          <w:sz w:val="24"/>
          <w:szCs w:val="24"/>
        </w:rPr>
        <w:t xml:space="preserve"> pe</w:t>
      </w:r>
      <w:r>
        <w:rPr>
          <w:rFonts w:ascii="Times New Roman" w:hAnsi="Times New Roman" w:cs="Times New Roman"/>
          <w:sz w:val="24"/>
          <w:szCs w:val="24"/>
        </w:rPr>
        <w:t>r</w:t>
      </w:r>
      <w:r w:rsidRPr="00C364B6">
        <w:rPr>
          <w:rFonts w:ascii="Times New Roman" w:hAnsi="Times New Roman" w:cs="Times New Roman"/>
          <w:sz w:val="24"/>
          <w:szCs w:val="24"/>
        </w:rPr>
        <w:t xml:space="preserve"> annum which translates into shs. </w:t>
      </w:r>
      <w:r>
        <w:rPr>
          <w:rFonts w:ascii="Times New Roman" w:hAnsi="Times New Roman" w:cs="Times New Roman"/>
          <w:sz w:val="24"/>
          <w:szCs w:val="24"/>
        </w:rPr>
        <w:t>2</w:t>
      </w:r>
      <w:r w:rsidRPr="00C364B6">
        <w:rPr>
          <w:rFonts w:ascii="Times New Roman" w:hAnsi="Times New Roman" w:cs="Times New Roman"/>
          <w:sz w:val="24"/>
          <w:szCs w:val="24"/>
        </w:rPr>
        <w:t>,</w:t>
      </w:r>
      <w:r>
        <w:rPr>
          <w:rFonts w:ascii="Times New Roman" w:hAnsi="Times New Roman" w:cs="Times New Roman"/>
          <w:sz w:val="24"/>
          <w:szCs w:val="24"/>
        </w:rPr>
        <w:t>5</w:t>
      </w:r>
      <w:r w:rsidRPr="00C364B6">
        <w:rPr>
          <w:rFonts w:ascii="Times New Roman" w:hAnsi="Times New Roman" w:cs="Times New Roman"/>
          <w:sz w:val="24"/>
          <w:szCs w:val="24"/>
        </w:rPr>
        <w:t>00,000/= pe</w:t>
      </w:r>
      <w:r>
        <w:rPr>
          <w:rFonts w:ascii="Times New Roman" w:hAnsi="Times New Roman" w:cs="Times New Roman"/>
          <w:sz w:val="24"/>
          <w:szCs w:val="24"/>
        </w:rPr>
        <w:t>r</w:t>
      </w:r>
      <w:r w:rsidRPr="00C364B6">
        <w:rPr>
          <w:rFonts w:ascii="Times New Roman" w:hAnsi="Times New Roman" w:cs="Times New Roman"/>
          <w:sz w:val="24"/>
          <w:szCs w:val="24"/>
        </w:rPr>
        <w:t xml:space="preserve"> annum and for the last </w:t>
      </w:r>
      <w:r>
        <w:rPr>
          <w:rFonts w:ascii="Times New Roman" w:hAnsi="Times New Roman" w:cs="Times New Roman"/>
          <w:sz w:val="24"/>
          <w:szCs w:val="24"/>
        </w:rPr>
        <w:t>nine</w:t>
      </w:r>
      <w:r w:rsidRPr="00C364B6">
        <w:rPr>
          <w:rFonts w:ascii="Times New Roman" w:hAnsi="Times New Roman" w:cs="Times New Roman"/>
          <w:sz w:val="24"/>
          <w:szCs w:val="24"/>
        </w:rPr>
        <w:t xml:space="preserve"> years, </w:t>
      </w:r>
      <w:r>
        <w:rPr>
          <w:rFonts w:ascii="Times New Roman" w:hAnsi="Times New Roman" w:cs="Times New Roman"/>
          <w:sz w:val="24"/>
          <w:szCs w:val="24"/>
        </w:rPr>
        <w:t xml:space="preserve">hence a rounded off figure of </w:t>
      </w:r>
      <w:r w:rsidRPr="00C364B6">
        <w:rPr>
          <w:rFonts w:ascii="Times New Roman" w:hAnsi="Times New Roman" w:cs="Times New Roman"/>
          <w:sz w:val="24"/>
          <w:szCs w:val="24"/>
        </w:rPr>
        <w:t xml:space="preserve">shs. </w:t>
      </w:r>
      <w:r>
        <w:rPr>
          <w:rFonts w:ascii="Times New Roman" w:hAnsi="Times New Roman" w:cs="Times New Roman"/>
          <w:sz w:val="24"/>
          <w:szCs w:val="24"/>
        </w:rPr>
        <w:t>20</w:t>
      </w:r>
      <w:r w:rsidRPr="00C364B6">
        <w:rPr>
          <w:rFonts w:ascii="Times New Roman" w:hAnsi="Times New Roman" w:cs="Times New Roman"/>
          <w:sz w:val="24"/>
          <w:szCs w:val="24"/>
        </w:rPr>
        <w:t>,000,000/= which is award</w:t>
      </w:r>
      <w:r>
        <w:rPr>
          <w:rFonts w:ascii="Times New Roman" w:hAnsi="Times New Roman" w:cs="Times New Roman"/>
          <w:sz w:val="24"/>
          <w:szCs w:val="24"/>
        </w:rPr>
        <w:t>ed</w:t>
      </w:r>
      <w:r w:rsidRPr="00C364B6">
        <w:rPr>
          <w:rFonts w:ascii="Times New Roman" w:hAnsi="Times New Roman" w:cs="Times New Roman"/>
          <w:sz w:val="24"/>
          <w:szCs w:val="24"/>
        </w:rPr>
        <w:t xml:space="preserve"> as general damages</w:t>
      </w:r>
      <w:r>
        <w:rPr>
          <w:rFonts w:ascii="Times New Roman" w:hAnsi="Times New Roman" w:cs="Times New Roman"/>
          <w:sz w:val="24"/>
          <w:szCs w:val="24"/>
        </w:rPr>
        <w:t xml:space="preserve"> to be paid jointly and severally by the respondents</w:t>
      </w:r>
      <w:r w:rsidRPr="00C364B6">
        <w:rPr>
          <w:rFonts w:ascii="Times New Roman" w:hAnsi="Times New Roman" w:cs="Times New Roman"/>
          <w:sz w:val="24"/>
          <w:szCs w:val="24"/>
        </w:rPr>
        <w:t xml:space="preserve">. </w:t>
      </w:r>
    </w:p>
    <w:p w:rsidR="00601FF1" w:rsidRDefault="00601FF1" w:rsidP="00601FF1">
      <w:pPr>
        <w:spacing w:after="0" w:line="360" w:lineRule="auto"/>
        <w:jc w:val="both"/>
        <w:rPr>
          <w:rFonts w:ascii="Times New Roman" w:hAnsi="Times New Roman" w:cs="Times New Roman"/>
          <w:sz w:val="24"/>
          <w:szCs w:val="24"/>
        </w:rPr>
      </w:pPr>
    </w:p>
    <w:p w:rsidR="00601FF1" w:rsidRPr="0054711D" w:rsidRDefault="00601FF1" w:rsidP="00601FF1">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From his plaint and testimony in court, the basis for the appellants' claim for general damages, in addition to mesne profits, is premised on the </w:t>
      </w:r>
      <w:r w:rsidRPr="004174BB">
        <w:rPr>
          <w:rFonts w:ascii="Times New Roman" w:eastAsia="Times New Roman" w:hAnsi="Times New Roman" w:cs="Times New Roman"/>
          <w:sz w:val="24"/>
          <w:szCs w:val="24"/>
        </w:rPr>
        <w:t xml:space="preserve">loss of use and enjoyment of </w:t>
      </w:r>
      <w:r>
        <w:rPr>
          <w:rFonts w:ascii="Times New Roman" w:eastAsia="Times New Roman" w:hAnsi="Times New Roman" w:cs="Times New Roman"/>
          <w:sz w:val="24"/>
          <w:szCs w:val="24"/>
        </w:rPr>
        <w:t>his</w:t>
      </w:r>
      <w:r w:rsidRPr="004174BB">
        <w:rPr>
          <w:rFonts w:ascii="Times New Roman" w:eastAsia="Times New Roman" w:hAnsi="Times New Roman" w:cs="Times New Roman"/>
          <w:sz w:val="24"/>
          <w:szCs w:val="24"/>
        </w:rPr>
        <w:t xml:space="preserve"> land.</w:t>
      </w:r>
      <w:r>
        <w:rPr>
          <w:rFonts w:ascii="Times New Roman" w:eastAsia="Times New Roman" w:hAnsi="Times New Roman" w:cs="Times New Roman"/>
          <w:sz w:val="24"/>
          <w:szCs w:val="24"/>
        </w:rPr>
        <w:t xml:space="preserve"> </w:t>
      </w:r>
      <w:r w:rsidRPr="007F5660">
        <w:rPr>
          <w:rFonts w:ascii="Times New Roman" w:eastAsia="Times New Roman" w:hAnsi="Times New Roman" w:cs="Times New Roman"/>
          <w:sz w:val="24"/>
          <w:szCs w:val="24"/>
        </w:rPr>
        <w:t xml:space="preserve">The reality is that the </w:t>
      </w:r>
      <w:r>
        <w:rPr>
          <w:rFonts w:ascii="Times New Roman" w:eastAsia="Times New Roman" w:hAnsi="Times New Roman" w:cs="Times New Roman"/>
          <w:sz w:val="24"/>
          <w:szCs w:val="24"/>
        </w:rPr>
        <w:t xml:space="preserve">appellant's rights were </w:t>
      </w:r>
      <w:r w:rsidRPr="007F5660">
        <w:rPr>
          <w:rFonts w:ascii="Times New Roman" w:eastAsia="Times New Roman" w:hAnsi="Times New Roman" w:cs="Times New Roman"/>
          <w:sz w:val="24"/>
          <w:szCs w:val="24"/>
        </w:rPr>
        <w:t>inv</w:t>
      </w:r>
      <w:r>
        <w:rPr>
          <w:rFonts w:ascii="Times New Roman" w:eastAsia="Times New Roman" w:hAnsi="Times New Roman" w:cs="Times New Roman"/>
          <w:sz w:val="24"/>
          <w:szCs w:val="24"/>
        </w:rPr>
        <w:t xml:space="preserve">aded and he has been deprived of </w:t>
      </w:r>
      <w:r w:rsidRPr="007F5660">
        <w:rPr>
          <w:rFonts w:ascii="Times New Roman" w:eastAsia="Times New Roman" w:hAnsi="Times New Roman" w:cs="Times New Roman"/>
          <w:sz w:val="24"/>
          <w:szCs w:val="24"/>
        </w:rPr>
        <w:t xml:space="preserve">the use and enjoyment of </w:t>
      </w:r>
      <w:r>
        <w:rPr>
          <w:rFonts w:ascii="Times New Roman" w:eastAsia="Times New Roman" w:hAnsi="Times New Roman" w:cs="Times New Roman"/>
          <w:sz w:val="24"/>
          <w:szCs w:val="24"/>
        </w:rPr>
        <w:t xml:space="preserve">his </w:t>
      </w:r>
      <w:r w:rsidRPr="007F5660">
        <w:rPr>
          <w:rFonts w:ascii="Times New Roman" w:eastAsia="Times New Roman" w:hAnsi="Times New Roman" w:cs="Times New Roman"/>
          <w:sz w:val="24"/>
          <w:szCs w:val="24"/>
        </w:rPr>
        <w:t xml:space="preserve">property. Nevertheless, I am not satisfied that this is a case which warrants an </w:t>
      </w:r>
      <w:r>
        <w:rPr>
          <w:rFonts w:ascii="Times New Roman" w:eastAsia="Times New Roman" w:hAnsi="Times New Roman" w:cs="Times New Roman"/>
          <w:sz w:val="24"/>
          <w:szCs w:val="24"/>
        </w:rPr>
        <w:t>additional  award  of mesne profits.</w:t>
      </w:r>
    </w:p>
    <w:p w:rsidR="00483BC3" w:rsidRDefault="00483BC3" w:rsidP="00E51AB9">
      <w:pPr>
        <w:spacing w:after="0" w:line="360" w:lineRule="auto"/>
        <w:jc w:val="both"/>
        <w:rPr>
          <w:rFonts w:ascii="Times New Roman" w:hAnsi="Times New Roman" w:cs="Times New Roman"/>
          <w:sz w:val="24"/>
          <w:szCs w:val="24"/>
        </w:rPr>
      </w:pPr>
    </w:p>
    <w:p w:rsidR="00170189" w:rsidRDefault="004E0709" w:rsidP="004E07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the final result, </w:t>
      </w:r>
      <w:r w:rsidR="00170189">
        <w:rPr>
          <w:rFonts w:ascii="Times New Roman" w:hAnsi="Times New Roman" w:cs="Times New Roman"/>
          <w:sz w:val="24"/>
          <w:szCs w:val="24"/>
        </w:rPr>
        <w:t xml:space="preserve">for all the foregoing reasons, </w:t>
      </w:r>
      <w:r>
        <w:rPr>
          <w:rFonts w:ascii="Times New Roman" w:hAnsi="Times New Roman" w:cs="Times New Roman"/>
          <w:sz w:val="24"/>
          <w:szCs w:val="24"/>
        </w:rPr>
        <w:t xml:space="preserve">the appeal is allowed. The judgment of the court below is set aside and in its place one is entered dismissing the suit with costs. </w:t>
      </w:r>
      <w:r w:rsidR="00170189">
        <w:rPr>
          <w:rFonts w:ascii="Times New Roman" w:hAnsi="Times New Roman" w:cs="Times New Roman"/>
          <w:sz w:val="24"/>
          <w:szCs w:val="24"/>
        </w:rPr>
        <w:t xml:space="preserve">Judgment is </w:t>
      </w:r>
      <w:r w:rsidR="009E1CC9">
        <w:rPr>
          <w:rFonts w:ascii="Times New Roman" w:hAnsi="Times New Roman" w:cs="Times New Roman"/>
          <w:sz w:val="24"/>
          <w:szCs w:val="24"/>
        </w:rPr>
        <w:t>entered</w:t>
      </w:r>
      <w:r w:rsidR="00170189">
        <w:rPr>
          <w:rFonts w:ascii="Times New Roman" w:hAnsi="Times New Roman" w:cs="Times New Roman"/>
          <w:sz w:val="24"/>
          <w:szCs w:val="24"/>
        </w:rPr>
        <w:t xml:space="preserve"> for the appellant </w:t>
      </w:r>
      <w:r w:rsidR="009E1CC9">
        <w:rPr>
          <w:rFonts w:ascii="Times New Roman" w:hAnsi="Times New Roman" w:cs="Times New Roman"/>
          <w:sz w:val="24"/>
          <w:szCs w:val="24"/>
        </w:rPr>
        <w:t>against</w:t>
      </w:r>
      <w:r w:rsidR="00170189">
        <w:rPr>
          <w:rFonts w:ascii="Times New Roman" w:hAnsi="Times New Roman" w:cs="Times New Roman"/>
          <w:sz w:val="24"/>
          <w:szCs w:val="24"/>
        </w:rPr>
        <w:t xml:space="preserve"> the respondents on the counterclaim</w:t>
      </w:r>
      <w:r w:rsidR="009E1CC9">
        <w:rPr>
          <w:rFonts w:ascii="Times New Roman" w:hAnsi="Times New Roman" w:cs="Times New Roman"/>
          <w:sz w:val="24"/>
          <w:szCs w:val="24"/>
        </w:rPr>
        <w:t>, in the following terms</w:t>
      </w:r>
      <w:r w:rsidR="00170189">
        <w:rPr>
          <w:rFonts w:ascii="Times New Roman" w:hAnsi="Times New Roman" w:cs="Times New Roman"/>
          <w:sz w:val="24"/>
          <w:szCs w:val="24"/>
        </w:rPr>
        <w:t>;</w:t>
      </w:r>
    </w:p>
    <w:p w:rsidR="004E0709" w:rsidRDefault="009E1CC9" w:rsidP="009E1CC9">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 declaration that he is the rightful owner of plot 117 at Kanyagoga "A" Zone</w:t>
      </w:r>
      <w:r w:rsidR="004E0709" w:rsidRPr="009E1CC9">
        <w:rPr>
          <w:rFonts w:ascii="Times New Roman" w:hAnsi="Times New Roman" w:cs="Times New Roman"/>
          <w:sz w:val="24"/>
          <w:szCs w:val="24"/>
        </w:rPr>
        <w:t xml:space="preserve">. </w:t>
      </w:r>
    </w:p>
    <w:p w:rsidR="009E1CC9" w:rsidRDefault="00563745" w:rsidP="009E1CC9">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 order of v</w:t>
      </w:r>
      <w:r w:rsidR="009E1CC9">
        <w:rPr>
          <w:rFonts w:ascii="Times New Roman" w:hAnsi="Times New Roman" w:cs="Times New Roman"/>
          <w:sz w:val="24"/>
          <w:szCs w:val="24"/>
        </w:rPr>
        <w:t>acant possession of the land.</w:t>
      </w:r>
    </w:p>
    <w:p w:rsidR="009E1CC9" w:rsidRDefault="009E1CC9" w:rsidP="009E1CC9">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 permanent injunction restraining the respondents, their agents, employees or persons claiming under them from interference with his quiet possession and enjoyment of the land.</w:t>
      </w:r>
    </w:p>
    <w:p w:rsidR="009E1CC9" w:rsidRDefault="009E1CC9" w:rsidP="009E1CC9">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General damages of shs. </w:t>
      </w:r>
      <w:r w:rsidR="00BF2A7C">
        <w:rPr>
          <w:rFonts w:ascii="Times New Roman" w:hAnsi="Times New Roman" w:cs="Times New Roman"/>
          <w:sz w:val="24"/>
          <w:szCs w:val="24"/>
        </w:rPr>
        <w:t>20</w:t>
      </w:r>
      <w:r>
        <w:rPr>
          <w:rFonts w:ascii="Times New Roman" w:hAnsi="Times New Roman" w:cs="Times New Roman"/>
          <w:sz w:val="24"/>
          <w:szCs w:val="24"/>
        </w:rPr>
        <w:t>,000,000/= with interest thereon at the rate of 8% per annum from the date of this judgment until payment in full.</w:t>
      </w:r>
    </w:p>
    <w:p w:rsidR="009E1CC9" w:rsidRDefault="009E1CC9" w:rsidP="009E1CC9">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costs of the appeal and of the court below. </w:t>
      </w:r>
    </w:p>
    <w:p w:rsidR="00601FF1" w:rsidRPr="009E1CC9" w:rsidRDefault="00601FF1" w:rsidP="00601FF1">
      <w:pPr>
        <w:pStyle w:val="ListParagraph"/>
        <w:spacing w:after="0" w:line="360" w:lineRule="auto"/>
        <w:jc w:val="both"/>
        <w:rPr>
          <w:rFonts w:ascii="Times New Roman" w:hAnsi="Times New Roman" w:cs="Times New Roman"/>
          <w:sz w:val="24"/>
          <w:szCs w:val="24"/>
        </w:rPr>
      </w:pPr>
    </w:p>
    <w:p w:rsidR="004E0709" w:rsidRDefault="004E0709" w:rsidP="004E070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Dated at Gulu this 13</w:t>
      </w:r>
      <w:r>
        <w:rPr>
          <w:rFonts w:ascii="Times New Roman" w:hAnsi="Times New Roman" w:cs="Times New Roman"/>
          <w:sz w:val="24"/>
          <w:szCs w:val="24"/>
          <w:vertAlign w:val="superscript"/>
        </w:rPr>
        <w:t>th</w:t>
      </w:r>
      <w:r>
        <w:rPr>
          <w:rFonts w:ascii="Times New Roman" w:hAnsi="Times New Roman" w:cs="Times New Roman"/>
          <w:sz w:val="24"/>
          <w:szCs w:val="24"/>
        </w:rPr>
        <w:t xml:space="preserve"> day of December, 2018</w:t>
      </w:r>
      <w:r>
        <w:rPr>
          <w:rFonts w:ascii="Times New Roman" w:hAnsi="Times New Roman" w:cs="Times New Roman"/>
          <w:sz w:val="24"/>
          <w:szCs w:val="24"/>
        </w:rPr>
        <w:tab/>
      </w:r>
      <w:r>
        <w:rPr>
          <w:rFonts w:ascii="Times New Roman" w:hAnsi="Times New Roman" w:cs="Times New Roman"/>
          <w:sz w:val="24"/>
          <w:szCs w:val="24"/>
        </w:rPr>
        <w:tab/>
        <w:t>…………………………………..</w:t>
      </w:r>
    </w:p>
    <w:p w:rsidR="004E0709" w:rsidRDefault="004E0709" w:rsidP="004E070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Stephen Mubiru</w:t>
      </w:r>
    </w:p>
    <w:p w:rsidR="004E0709" w:rsidRDefault="004E0709" w:rsidP="004E0709">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Judge, </w:t>
      </w:r>
    </w:p>
    <w:p w:rsidR="004F510B" w:rsidRDefault="004E0709" w:rsidP="009E1CC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w:t>
      </w:r>
      <w:r>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2018</w:t>
      </w:r>
      <w:r w:rsidR="00702D76">
        <w:rPr>
          <w:rFonts w:ascii="Times New Roman" w:hAnsi="Times New Roman" w:cs="Times New Roman"/>
          <w:sz w:val="24"/>
          <w:szCs w:val="24"/>
        </w:rPr>
        <w:t xml:space="preserve">. </w:t>
      </w:r>
    </w:p>
    <w:sectPr w:rsidR="004F510B" w:rsidSect="00B70790">
      <w:footerReference w:type="default" r:id="rId8"/>
      <w:pgSz w:w="12240" w:h="15840"/>
      <w:pgMar w:top="1440" w:right="1440" w:bottom="1440" w:left="1440" w:header="720" w:footer="720" w:gutter="0"/>
      <w:lnNumType w:countBy="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AB0" w:rsidRDefault="00EE2AB0" w:rsidP="007C1E6E">
      <w:pPr>
        <w:spacing w:after="0" w:line="240" w:lineRule="auto"/>
      </w:pPr>
      <w:r>
        <w:separator/>
      </w:r>
    </w:p>
  </w:endnote>
  <w:endnote w:type="continuationSeparator" w:id="0">
    <w:p w:rsidR="00EE2AB0" w:rsidRDefault="00EE2AB0" w:rsidP="007C1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122110"/>
      <w:docPartObj>
        <w:docPartGallery w:val="Page Numbers (Bottom of Page)"/>
        <w:docPartUnique/>
      </w:docPartObj>
    </w:sdtPr>
    <w:sdtEndPr/>
    <w:sdtContent>
      <w:p w:rsidR="00781ACB" w:rsidRDefault="00EE2AB0">
        <w:pPr>
          <w:pStyle w:val="Footer"/>
          <w:jc w:val="center"/>
        </w:pPr>
        <w:r>
          <w:fldChar w:fldCharType="begin"/>
        </w:r>
        <w:r>
          <w:instrText xml:space="preserve"> PAGE   \* MERGEFORMAT </w:instrText>
        </w:r>
        <w:r>
          <w:fldChar w:fldCharType="separate"/>
        </w:r>
        <w:r w:rsidR="00021F81">
          <w:rPr>
            <w:noProof/>
          </w:rPr>
          <w:t>1</w:t>
        </w:r>
        <w:r>
          <w:rPr>
            <w:noProof/>
          </w:rPr>
          <w:fldChar w:fldCharType="end"/>
        </w:r>
      </w:p>
    </w:sdtContent>
  </w:sdt>
  <w:p w:rsidR="00781ACB" w:rsidRDefault="00781A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AB0" w:rsidRDefault="00EE2AB0" w:rsidP="007C1E6E">
      <w:pPr>
        <w:spacing w:after="0" w:line="240" w:lineRule="auto"/>
      </w:pPr>
      <w:r>
        <w:separator/>
      </w:r>
    </w:p>
  </w:footnote>
  <w:footnote w:type="continuationSeparator" w:id="0">
    <w:p w:rsidR="00EE2AB0" w:rsidRDefault="00EE2AB0" w:rsidP="007C1E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90309"/>
    <w:multiLevelType w:val="hybridMultilevel"/>
    <w:tmpl w:val="FC0614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A12791"/>
    <w:multiLevelType w:val="hybridMultilevel"/>
    <w:tmpl w:val="3C6C7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853831"/>
    <w:multiLevelType w:val="hybridMultilevel"/>
    <w:tmpl w:val="AE7425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37653E0"/>
    <w:multiLevelType w:val="hybridMultilevel"/>
    <w:tmpl w:val="FB3232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1A511B"/>
    <w:multiLevelType w:val="hybridMultilevel"/>
    <w:tmpl w:val="84C4E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305A6F"/>
    <w:multiLevelType w:val="hybridMultilevel"/>
    <w:tmpl w:val="1A98C3B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1EC21FF2"/>
    <w:multiLevelType w:val="hybridMultilevel"/>
    <w:tmpl w:val="3A40FFB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24F17587"/>
    <w:multiLevelType w:val="hybridMultilevel"/>
    <w:tmpl w:val="3BAE0E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26F0109C"/>
    <w:multiLevelType w:val="hybridMultilevel"/>
    <w:tmpl w:val="AA3ADE20"/>
    <w:lvl w:ilvl="0" w:tplc="B8F291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423596"/>
    <w:multiLevelType w:val="hybridMultilevel"/>
    <w:tmpl w:val="1018EB54"/>
    <w:lvl w:ilvl="0" w:tplc="B8F291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A7373A"/>
    <w:multiLevelType w:val="hybridMultilevel"/>
    <w:tmpl w:val="EC46C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82207B"/>
    <w:multiLevelType w:val="hybridMultilevel"/>
    <w:tmpl w:val="633C8E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6B90741"/>
    <w:multiLevelType w:val="hybridMultilevel"/>
    <w:tmpl w:val="D5EC4FAA"/>
    <w:lvl w:ilvl="0" w:tplc="B8F291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D9318A"/>
    <w:multiLevelType w:val="hybridMultilevel"/>
    <w:tmpl w:val="68E0C762"/>
    <w:lvl w:ilvl="0" w:tplc="B8F291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721247"/>
    <w:multiLevelType w:val="hybridMultilevel"/>
    <w:tmpl w:val="BDD2910E"/>
    <w:lvl w:ilvl="0" w:tplc="B8F291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3B2884"/>
    <w:multiLevelType w:val="hybridMultilevel"/>
    <w:tmpl w:val="EC46C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892E2B"/>
    <w:multiLevelType w:val="hybridMultilevel"/>
    <w:tmpl w:val="C0BC63E4"/>
    <w:lvl w:ilvl="0" w:tplc="B8F291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053605"/>
    <w:multiLevelType w:val="hybridMultilevel"/>
    <w:tmpl w:val="21A06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AD028C"/>
    <w:multiLevelType w:val="hybridMultilevel"/>
    <w:tmpl w:val="6DE2FE5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409B4269"/>
    <w:multiLevelType w:val="hybridMultilevel"/>
    <w:tmpl w:val="ADCAD1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0AC3F5D"/>
    <w:multiLevelType w:val="hybridMultilevel"/>
    <w:tmpl w:val="633C8E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68A54B6"/>
    <w:multiLevelType w:val="hybridMultilevel"/>
    <w:tmpl w:val="3BAE0E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nsid w:val="481630C0"/>
    <w:multiLevelType w:val="hybridMultilevel"/>
    <w:tmpl w:val="633C8E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8F813DE"/>
    <w:multiLevelType w:val="hybridMultilevel"/>
    <w:tmpl w:val="1BF6ED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AB2452E"/>
    <w:multiLevelType w:val="hybridMultilevel"/>
    <w:tmpl w:val="821E392C"/>
    <w:lvl w:ilvl="0" w:tplc="B8F291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FD53DE"/>
    <w:multiLevelType w:val="hybridMultilevel"/>
    <w:tmpl w:val="6A8AC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C84C96"/>
    <w:multiLevelType w:val="hybridMultilevel"/>
    <w:tmpl w:val="49047B1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AFF2CED"/>
    <w:multiLevelType w:val="hybridMultilevel"/>
    <w:tmpl w:val="97C00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CBA1BC2"/>
    <w:multiLevelType w:val="hybridMultilevel"/>
    <w:tmpl w:val="37E46DF4"/>
    <w:lvl w:ilvl="0" w:tplc="B8F291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F9202C"/>
    <w:multiLevelType w:val="hybridMultilevel"/>
    <w:tmpl w:val="633C8E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00E0F02"/>
    <w:multiLevelType w:val="hybridMultilevel"/>
    <w:tmpl w:val="77E8A2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A3D4CF8"/>
    <w:multiLevelType w:val="hybridMultilevel"/>
    <w:tmpl w:val="BABE8A8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nsid w:val="7AC36C99"/>
    <w:multiLevelType w:val="hybridMultilevel"/>
    <w:tmpl w:val="0BB6932A"/>
    <w:lvl w:ilvl="0" w:tplc="B8F291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5509E1"/>
    <w:multiLevelType w:val="hybridMultilevel"/>
    <w:tmpl w:val="81F2C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2"/>
  </w:num>
  <w:num w:numId="4">
    <w:abstractNumId w:val="19"/>
  </w:num>
  <w:num w:numId="5">
    <w:abstractNumId w:val="26"/>
  </w:num>
  <w:num w:numId="6">
    <w:abstractNumId w:val="0"/>
  </w:num>
  <w:num w:numId="7">
    <w:abstractNumId w:val="30"/>
  </w:num>
  <w:num w:numId="8">
    <w:abstractNumId w:val="23"/>
  </w:num>
  <w:num w:numId="9">
    <w:abstractNumId w:val="11"/>
  </w:num>
  <w:num w:numId="10">
    <w:abstractNumId w:val="29"/>
  </w:num>
  <w:num w:numId="11">
    <w:abstractNumId w:val="10"/>
  </w:num>
  <w:num w:numId="12">
    <w:abstractNumId w:val="15"/>
  </w:num>
  <w:num w:numId="13">
    <w:abstractNumId w:val="7"/>
  </w:num>
  <w:num w:numId="14">
    <w:abstractNumId w:val="18"/>
  </w:num>
  <w:num w:numId="15">
    <w:abstractNumId w:val="31"/>
  </w:num>
  <w:num w:numId="16">
    <w:abstractNumId w:val="5"/>
  </w:num>
  <w:num w:numId="17">
    <w:abstractNumId w:val="6"/>
  </w:num>
  <w:num w:numId="18">
    <w:abstractNumId w:val="21"/>
  </w:num>
  <w:num w:numId="19">
    <w:abstractNumId w:val="1"/>
  </w:num>
  <w:num w:numId="20">
    <w:abstractNumId w:val="4"/>
  </w:num>
  <w:num w:numId="21">
    <w:abstractNumId w:val="25"/>
  </w:num>
  <w:num w:numId="22">
    <w:abstractNumId w:val="33"/>
  </w:num>
  <w:num w:numId="23">
    <w:abstractNumId w:val="9"/>
  </w:num>
  <w:num w:numId="24">
    <w:abstractNumId w:val="32"/>
  </w:num>
  <w:num w:numId="25">
    <w:abstractNumId w:val="28"/>
  </w:num>
  <w:num w:numId="26">
    <w:abstractNumId w:val="16"/>
  </w:num>
  <w:num w:numId="27">
    <w:abstractNumId w:val="12"/>
  </w:num>
  <w:num w:numId="28">
    <w:abstractNumId w:val="17"/>
  </w:num>
  <w:num w:numId="29">
    <w:abstractNumId w:val="8"/>
  </w:num>
  <w:num w:numId="30">
    <w:abstractNumId w:val="13"/>
  </w:num>
  <w:num w:numId="31">
    <w:abstractNumId w:val="24"/>
  </w:num>
  <w:num w:numId="32">
    <w:abstractNumId w:val="14"/>
  </w:num>
  <w:num w:numId="33">
    <w:abstractNumId w:val="27"/>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CF7"/>
    <w:rsid w:val="00001ADA"/>
    <w:rsid w:val="00005871"/>
    <w:rsid w:val="00007B95"/>
    <w:rsid w:val="00012C5A"/>
    <w:rsid w:val="00012E74"/>
    <w:rsid w:val="000144D9"/>
    <w:rsid w:val="00016B1C"/>
    <w:rsid w:val="00017D93"/>
    <w:rsid w:val="00021F81"/>
    <w:rsid w:val="00021FE5"/>
    <w:rsid w:val="000223D0"/>
    <w:rsid w:val="00023CE1"/>
    <w:rsid w:val="0002617F"/>
    <w:rsid w:val="00026B9B"/>
    <w:rsid w:val="00041412"/>
    <w:rsid w:val="0004200D"/>
    <w:rsid w:val="00044B46"/>
    <w:rsid w:val="00046D03"/>
    <w:rsid w:val="0005463B"/>
    <w:rsid w:val="00055BE6"/>
    <w:rsid w:val="00056C6A"/>
    <w:rsid w:val="00057F7F"/>
    <w:rsid w:val="00061CEF"/>
    <w:rsid w:val="00067585"/>
    <w:rsid w:val="0007207D"/>
    <w:rsid w:val="0007543A"/>
    <w:rsid w:val="000754E4"/>
    <w:rsid w:val="00076F04"/>
    <w:rsid w:val="00080C02"/>
    <w:rsid w:val="0008249B"/>
    <w:rsid w:val="000875CC"/>
    <w:rsid w:val="00092527"/>
    <w:rsid w:val="00097490"/>
    <w:rsid w:val="00097BE0"/>
    <w:rsid w:val="000A0806"/>
    <w:rsid w:val="000A10B9"/>
    <w:rsid w:val="000A676C"/>
    <w:rsid w:val="000A706C"/>
    <w:rsid w:val="000B0128"/>
    <w:rsid w:val="000B1CE8"/>
    <w:rsid w:val="000B3C8D"/>
    <w:rsid w:val="000B4ABF"/>
    <w:rsid w:val="000C49D2"/>
    <w:rsid w:val="000C4D0C"/>
    <w:rsid w:val="000D657E"/>
    <w:rsid w:val="000D66AD"/>
    <w:rsid w:val="000D6C86"/>
    <w:rsid w:val="000E1D0F"/>
    <w:rsid w:val="000E67C0"/>
    <w:rsid w:val="000E72A3"/>
    <w:rsid w:val="000F5ECF"/>
    <w:rsid w:val="0010066C"/>
    <w:rsid w:val="0010196B"/>
    <w:rsid w:val="00112A65"/>
    <w:rsid w:val="00113C2F"/>
    <w:rsid w:val="00116BD6"/>
    <w:rsid w:val="00123889"/>
    <w:rsid w:val="001329F8"/>
    <w:rsid w:val="00132A46"/>
    <w:rsid w:val="00132C07"/>
    <w:rsid w:val="001333E9"/>
    <w:rsid w:val="00133F7E"/>
    <w:rsid w:val="0013549D"/>
    <w:rsid w:val="00140305"/>
    <w:rsid w:val="0014312D"/>
    <w:rsid w:val="001442C7"/>
    <w:rsid w:val="001636B1"/>
    <w:rsid w:val="001675D6"/>
    <w:rsid w:val="00170189"/>
    <w:rsid w:val="001738A1"/>
    <w:rsid w:val="00181ACC"/>
    <w:rsid w:val="00186FBD"/>
    <w:rsid w:val="0019023B"/>
    <w:rsid w:val="00190536"/>
    <w:rsid w:val="0019399D"/>
    <w:rsid w:val="001955B4"/>
    <w:rsid w:val="001A0ACF"/>
    <w:rsid w:val="001A2D0F"/>
    <w:rsid w:val="001B132F"/>
    <w:rsid w:val="001B5047"/>
    <w:rsid w:val="001B754F"/>
    <w:rsid w:val="001B7B33"/>
    <w:rsid w:val="001C0809"/>
    <w:rsid w:val="001C2031"/>
    <w:rsid w:val="001C28B6"/>
    <w:rsid w:val="001C3147"/>
    <w:rsid w:val="001C6FBC"/>
    <w:rsid w:val="001D07F3"/>
    <w:rsid w:val="001D0E07"/>
    <w:rsid w:val="001E2BA3"/>
    <w:rsid w:val="001E7903"/>
    <w:rsid w:val="001F5740"/>
    <w:rsid w:val="0020270F"/>
    <w:rsid w:val="0020535E"/>
    <w:rsid w:val="002057BF"/>
    <w:rsid w:val="002059DA"/>
    <w:rsid w:val="00212922"/>
    <w:rsid w:val="00212FA1"/>
    <w:rsid w:val="00213B10"/>
    <w:rsid w:val="0021485C"/>
    <w:rsid w:val="0022784F"/>
    <w:rsid w:val="00236C23"/>
    <w:rsid w:val="00237BD7"/>
    <w:rsid w:val="00245D11"/>
    <w:rsid w:val="0024725C"/>
    <w:rsid w:val="002477E4"/>
    <w:rsid w:val="00251135"/>
    <w:rsid w:val="00251655"/>
    <w:rsid w:val="002537AC"/>
    <w:rsid w:val="002605F4"/>
    <w:rsid w:val="00272BC8"/>
    <w:rsid w:val="002776C8"/>
    <w:rsid w:val="00277EB4"/>
    <w:rsid w:val="00280E27"/>
    <w:rsid w:val="00281590"/>
    <w:rsid w:val="002851E4"/>
    <w:rsid w:val="0028629E"/>
    <w:rsid w:val="0028667F"/>
    <w:rsid w:val="00287A66"/>
    <w:rsid w:val="00287B33"/>
    <w:rsid w:val="002904FA"/>
    <w:rsid w:val="002912FE"/>
    <w:rsid w:val="00295298"/>
    <w:rsid w:val="002A7735"/>
    <w:rsid w:val="002B07E8"/>
    <w:rsid w:val="002B447A"/>
    <w:rsid w:val="002B7626"/>
    <w:rsid w:val="002C22FC"/>
    <w:rsid w:val="002D07F7"/>
    <w:rsid w:val="002D6539"/>
    <w:rsid w:val="002E0A43"/>
    <w:rsid w:val="002E3220"/>
    <w:rsid w:val="002E35E4"/>
    <w:rsid w:val="002E5F63"/>
    <w:rsid w:val="002F2A42"/>
    <w:rsid w:val="00303AA7"/>
    <w:rsid w:val="0030602F"/>
    <w:rsid w:val="00306710"/>
    <w:rsid w:val="00310D67"/>
    <w:rsid w:val="00311618"/>
    <w:rsid w:val="003154FB"/>
    <w:rsid w:val="00316AAF"/>
    <w:rsid w:val="00320EFF"/>
    <w:rsid w:val="0032100B"/>
    <w:rsid w:val="003232A1"/>
    <w:rsid w:val="00324B29"/>
    <w:rsid w:val="00326817"/>
    <w:rsid w:val="00327EF1"/>
    <w:rsid w:val="003308DB"/>
    <w:rsid w:val="00335678"/>
    <w:rsid w:val="00337974"/>
    <w:rsid w:val="003409E3"/>
    <w:rsid w:val="003421E5"/>
    <w:rsid w:val="00345000"/>
    <w:rsid w:val="00352791"/>
    <w:rsid w:val="003531C3"/>
    <w:rsid w:val="00357C2A"/>
    <w:rsid w:val="00367B7D"/>
    <w:rsid w:val="00367C2F"/>
    <w:rsid w:val="00367DE2"/>
    <w:rsid w:val="003711CB"/>
    <w:rsid w:val="003723B5"/>
    <w:rsid w:val="0037331D"/>
    <w:rsid w:val="003750D0"/>
    <w:rsid w:val="003755C8"/>
    <w:rsid w:val="00375662"/>
    <w:rsid w:val="00376017"/>
    <w:rsid w:val="003772CC"/>
    <w:rsid w:val="003808CD"/>
    <w:rsid w:val="0038791E"/>
    <w:rsid w:val="00391C54"/>
    <w:rsid w:val="00393BFD"/>
    <w:rsid w:val="00397733"/>
    <w:rsid w:val="003A7070"/>
    <w:rsid w:val="003B032D"/>
    <w:rsid w:val="003B0CA2"/>
    <w:rsid w:val="003B212D"/>
    <w:rsid w:val="003C2511"/>
    <w:rsid w:val="003C4CD7"/>
    <w:rsid w:val="003D15C0"/>
    <w:rsid w:val="003D1DDB"/>
    <w:rsid w:val="003D5542"/>
    <w:rsid w:val="003D6CF5"/>
    <w:rsid w:val="003D703E"/>
    <w:rsid w:val="003E69DE"/>
    <w:rsid w:val="00402D37"/>
    <w:rsid w:val="0040494E"/>
    <w:rsid w:val="004049C7"/>
    <w:rsid w:val="00406D21"/>
    <w:rsid w:val="00410067"/>
    <w:rsid w:val="004154C6"/>
    <w:rsid w:val="00417616"/>
    <w:rsid w:val="00421488"/>
    <w:rsid w:val="00423368"/>
    <w:rsid w:val="00424A44"/>
    <w:rsid w:val="00425204"/>
    <w:rsid w:val="00426599"/>
    <w:rsid w:val="00444E00"/>
    <w:rsid w:val="004458AF"/>
    <w:rsid w:val="004463BB"/>
    <w:rsid w:val="004507F0"/>
    <w:rsid w:val="00462AAA"/>
    <w:rsid w:val="00462C64"/>
    <w:rsid w:val="0046327F"/>
    <w:rsid w:val="00464299"/>
    <w:rsid w:val="004660F4"/>
    <w:rsid w:val="00467955"/>
    <w:rsid w:val="00472023"/>
    <w:rsid w:val="004722A7"/>
    <w:rsid w:val="00473A3F"/>
    <w:rsid w:val="004771CC"/>
    <w:rsid w:val="00483BC3"/>
    <w:rsid w:val="00486645"/>
    <w:rsid w:val="00490F7C"/>
    <w:rsid w:val="00491828"/>
    <w:rsid w:val="00497A69"/>
    <w:rsid w:val="004A0FC4"/>
    <w:rsid w:val="004A1706"/>
    <w:rsid w:val="004A427D"/>
    <w:rsid w:val="004B18FE"/>
    <w:rsid w:val="004B3C20"/>
    <w:rsid w:val="004B5196"/>
    <w:rsid w:val="004B7E89"/>
    <w:rsid w:val="004B7EC7"/>
    <w:rsid w:val="004C46EE"/>
    <w:rsid w:val="004C73FB"/>
    <w:rsid w:val="004C7E30"/>
    <w:rsid w:val="004D2F94"/>
    <w:rsid w:val="004D5A49"/>
    <w:rsid w:val="004E019C"/>
    <w:rsid w:val="004E0709"/>
    <w:rsid w:val="004E18C9"/>
    <w:rsid w:val="004E5331"/>
    <w:rsid w:val="004E70D7"/>
    <w:rsid w:val="004F0446"/>
    <w:rsid w:val="004F077F"/>
    <w:rsid w:val="004F510B"/>
    <w:rsid w:val="005107C2"/>
    <w:rsid w:val="00524A16"/>
    <w:rsid w:val="0052715E"/>
    <w:rsid w:val="00527211"/>
    <w:rsid w:val="00535112"/>
    <w:rsid w:val="00542257"/>
    <w:rsid w:val="005452A4"/>
    <w:rsid w:val="00551A5E"/>
    <w:rsid w:val="00552561"/>
    <w:rsid w:val="00554C02"/>
    <w:rsid w:val="00557874"/>
    <w:rsid w:val="005579C4"/>
    <w:rsid w:val="00563745"/>
    <w:rsid w:val="00570005"/>
    <w:rsid w:val="0057009A"/>
    <w:rsid w:val="00570D0B"/>
    <w:rsid w:val="00582163"/>
    <w:rsid w:val="005829FE"/>
    <w:rsid w:val="00583AE0"/>
    <w:rsid w:val="0058664F"/>
    <w:rsid w:val="005870E5"/>
    <w:rsid w:val="005A3231"/>
    <w:rsid w:val="005A46C4"/>
    <w:rsid w:val="005A4A11"/>
    <w:rsid w:val="005A4E07"/>
    <w:rsid w:val="005B19E1"/>
    <w:rsid w:val="005C4CD9"/>
    <w:rsid w:val="005D68E5"/>
    <w:rsid w:val="005E1450"/>
    <w:rsid w:val="005E2336"/>
    <w:rsid w:val="005E4BDA"/>
    <w:rsid w:val="005E537A"/>
    <w:rsid w:val="005F1C8B"/>
    <w:rsid w:val="00601B1B"/>
    <w:rsid w:val="00601FF1"/>
    <w:rsid w:val="00605559"/>
    <w:rsid w:val="00631F3F"/>
    <w:rsid w:val="00632F30"/>
    <w:rsid w:val="006339D8"/>
    <w:rsid w:val="00633DB2"/>
    <w:rsid w:val="00636ED6"/>
    <w:rsid w:val="006376D1"/>
    <w:rsid w:val="006420C8"/>
    <w:rsid w:val="00643933"/>
    <w:rsid w:val="00647E12"/>
    <w:rsid w:val="00651E20"/>
    <w:rsid w:val="00654DFF"/>
    <w:rsid w:val="0065666B"/>
    <w:rsid w:val="00661458"/>
    <w:rsid w:val="0066278F"/>
    <w:rsid w:val="0066648B"/>
    <w:rsid w:val="00666B62"/>
    <w:rsid w:val="00667825"/>
    <w:rsid w:val="00671393"/>
    <w:rsid w:val="0067499E"/>
    <w:rsid w:val="0067649B"/>
    <w:rsid w:val="00677793"/>
    <w:rsid w:val="00677A7B"/>
    <w:rsid w:val="00681443"/>
    <w:rsid w:val="0068559A"/>
    <w:rsid w:val="006867A0"/>
    <w:rsid w:val="006A5730"/>
    <w:rsid w:val="006A597D"/>
    <w:rsid w:val="006B2F88"/>
    <w:rsid w:val="006B57CC"/>
    <w:rsid w:val="006C37FD"/>
    <w:rsid w:val="006C4259"/>
    <w:rsid w:val="006C5CF7"/>
    <w:rsid w:val="006D2D70"/>
    <w:rsid w:val="006D3EE0"/>
    <w:rsid w:val="006D4A0D"/>
    <w:rsid w:val="006D5716"/>
    <w:rsid w:val="006E047B"/>
    <w:rsid w:val="006E11E9"/>
    <w:rsid w:val="006E124B"/>
    <w:rsid w:val="006E27C6"/>
    <w:rsid w:val="006E3220"/>
    <w:rsid w:val="006E3DA9"/>
    <w:rsid w:val="006E632A"/>
    <w:rsid w:val="006F1397"/>
    <w:rsid w:val="006F1ED5"/>
    <w:rsid w:val="006F25C7"/>
    <w:rsid w:val="006F79A5"/>
    <w:rsid w:val="0070297F"/>
    <w:rsid w:val="00702D76"/>
    <w:rsid w:val="00704434"/>
    <w:rsid w:val="00704806"/>
    <w:rsid w:val="00704C50"/>
    <w:rsid w:val="007069ED"/>
    <w:rsid w:val="00714776"/>
    <w:rsid w:val="00714D4A"/>
    <w:rsid w:val="0072354A"/>
    <w:rsid w:val="00725002"/>
    <w:rsid w:val="00730F90"/>
    <w:rsid w:val="00732B89"/>
    <w:rsid w:val="007333D3"/>
    <w:rsid w:val="00734888"/>
    <w:rsid w:val="00737B0F"/>
    <w:rsid w:val="00737CF0"/>
    <w:rsid w:val="007408E3"/>
    <w:rsid w:val="00755769"/>
    <w:rsid w:val="00765FB5"/>
    <w:rsid w:val="0076642A"/>
    <w:rsid w:val="007724BA"/>
    <w:rsid w:val="007745DC"/>
    <w:rsid w:val="00781064"/>
    <w:rsid w:val="007810DD"/>
    <w:rsid w:val="00781292"/>
    <w:rsid w:val="00781ACB"/>
    <w:rsid w:val="00782000"/>
    <w:rsid w:val="00787485"/>
    <w:rsid w:val="00790BB1"/>
    <w:rsid w:val="007914F7"/>
    <w:rsid w:val="00793CF1"/>
    <w:rsid w:val="0079407E"/>
    <w:rsid w:val="00795DEA"/>
    <w:rsid w:val="007A337E"/>
    <w:rsid w:val="007A4449"/>
    <w:rsid w:val="007B3CB8"/>
    <w:rsid w:val="007C1E6E"/>
    <w:rsid w:val="007C49A8"/>
    <w:rsid w:val="007D5379"/>
    <w:rsid w:val="007E11D8"/>
    <w:rsid w:val="007E254A"/>
    <w:rsid w:val="007E2ABD"/>
    <w:rsid w:val="007E38EE"/>
    <w:rsid w:val="007E6C82"/>
    <w:rsid w:val="0080327D"/>
    <w:rsid w:val="00804662"/>
    <w:rsid w:val="00804668"/>
    <w:rsid w:val="0080657E"/>
    <w:rsid w:val="00807745"/>
    <w:rsid w:val="00807828"/>
    <w:rsid w:val="008113A6"/>
    <w:rsid w:val="00820211"/>
    <w:rsid w:val="008209E8"/>
    <w:rsid w:val="00821BC8"/>
    <w:rsid w:val="00822C8F"/>
    <w:rsid w:val="00830178"/>
    <w:rsid w:val="00831A94"/>
    <w:rsid w:val="00831D02"/>
    <w:rsid w:val="00840D75"/>
    <w:rsid w:val="0084528C"/>
    <w:rsid w:val="0084749A"/>
    <w:rsid w:val="00856CB8"/>
    <w:rsid w:val="00857FFC"/>
    <w:rsid w:val="00864390"/>
    <w:rsid w:val="00867F62"/>
    <w:rsid w:val="008702EB"/>
    <w:rsid w:val="00871A9F"/>
    <w:rsid w:val="008735E2"/>
    <w:rsid w:val="00873948"/>
    <w:rsid w:val="008745D3"/>
    <w:rsid w:val="00874A81"/>
    <w:rsid w:val="00881834"/>
    <w:rsid w:val="008827FF"/>
    <w:rsid w:val="00885F9F"/>
    <w:rsid w:val="00887C0F"/>
    <w:rsid w:val="00893826"/>
    <w:rsid w:val="00896A64"/>
    <w:rsid w:val="008A1698"/>
    <w:rsid w:val="008A249E"/>
    <w:rsid w:val="008A4970"/>
    <w:rsid w:val="008A733D"/>
    <w:rsid w:val="008B183E"/>
    <w:rsid w:val="008B4DEA"/>
    <w:rsid w:val="008C0229"/>
    <w:rsid w:val="008C2DA1"/>
    <w:rsid w:val="008C34ED"/>
    <w:rsid w:val="008C49E1"/>
    <w:rsid w:val="008D08E2"/>
    <w:rsid w:val="008D1CEF"/>
    <w:rsid w:val="008E181E"/>
    <w:rsid w:val="008E4FCD"/>
    <w:rsid w:val="008E6044"/>
    <w:rsid w:val="008E62A0"/>
    <w:rsid w:val="008E6742"/>
    <w:rsid w:val="008E7D9A"/>
    <w:rsid w:val="00901392"/>
    <w:rsid w:val="0090144C"/>
    <w:rsid w:val="00903669"/>
    <w:rsid w:val="0090465A"/>
    <w:rsid w:val="00906ADD"/>
    <w:rsid w:val="00906E0D"/>
    <w:rsid w:val="00907957"/>
    <w:rsid w:val="00911028"/>
    <w:rsid w:val="00911058"/>
    <w:rsid w:val="0091133F"/>
    <w:rsid w:val="009113BA"/>
    <w:rsid w:val="00911C78"/>
    <w:rsid w:val="00913D99"/>
    <w:rsid w:val="0092149E"/>
    <w:rsid w:val="00926E80"/>
    <w:rsid w:val="009271BC"/>
    <w:rsid w:val="00934742"/>
    <w:rsid w:val="00935BCE"/>
    <w:rsid w:val="00937A61"/>
    <w:rsid w:val="00937DD7"/>
    <w:rsid w:val="009430C3"/>
    <w:rsid w:val="009474FC"/>
    <w:rsid w:val="00963040"/>
    <w:rsid w:val="00964751"/>
    <w:rsid w:val="00964990"/>
    <w:rsid w:val="00965294"/>
    <w:rsid w:val="009738A1"/>
    <w:rsid w:val="00977FC5"/>
    <w:rsid w:val="00982D13"/>
    <w:rsid w:val="00983ED5"/>
    <w:rsid w:val="0098467C"/>
    <w:rsid w:val="00984C6A"/>
    <w:rsid w:val="009851E9"/>
    <w:rsid w:val="00994EA0"/>
    <w:rsid w:val="00995C0A"/>
    <w:rsid w:val="009A00FE"/>
    <w:rsid w:val="009A08D3"/>
    <w:rsid w:val="009A0E0F"/>
    <w:rsid w:val="009C192F"/>
    <w:rsid w:val="009C2BF0"/>
    <w:rsid w:val="009C2E70"/>
    <w:rsid w:val="009C725A"/>
    <w:rsid w:val="009D0087"/>
    <w:rsid w:val="009D25C0"/>
    <w:rsid w:val="009E08FC"/>
    <w:rsid w:val="009E1549"/>
    <w:rsid w:val="009E1CC9"/>
    <w:rsid w:val="009E550A"/>
    <w:rsid w:val="009F09B9"/>
    <w:rsid w:val="00A01137"/>
    <w:rsid w:val="00A02EC4"/>
    <w:rsid w:val="00A0771F"/>
    <w:rsid w:val="00A1100F"/>
    <w:rsid w:val="00A1285C"/>
    <w:rsid w:val="00A12CA5"/>
    <w:rsid w:val="00A15490"/>
    <w:rsid w:val="00A16AAE"/>
    <w:rsid w:val="00A2070A"/>
    <w:rsid w:val="00A2097D"/>
    <w:rsid w:val="00A23688"/>
    <w:rsid w:val="00A239C6"/>
    <w:rsid w:val="00A2761F"/>
    <w:rsid w:val="00A351A1"/>
    <w:rsid w:val="00A408B7"/>
    <w:rsid w:val="00A41ABB"/>
    <w:rsid w:val="00A470AE"/>
    <w:rsid w:val="00A567E7"/>
    <w:rsid w:val="00A5733C"/>
    <w:rsid w:val="00A57791"/>
    <w:rsid w:val="00A6746E"/>
    <w:rsid w:val="00A70266"/>
    <w:rsid w:val="00A75940"/>
    <w:rsid w:val="00A75BDF"/>
    <w:rsid w:val="00A7687B"/>
    <w:rsid w:val="00A80BC9"/>
    <w:rsid w:val="00A83A53"/>
    <w:rsid w:val="00A83D2B"/>
    <w:rsid w:val="00A85166"/>
    <w:rsid w:val="00A854B1"/>
    <w:rsid w:val="00AA34F6"/>
    <w:rsid w:val="00AA37A9"/>
    <w:rsid w:val="00AA50F7"/>
    <w:rsid w:val="00AB22FE"/>
    <w:rsid w:val="00AB3175"/>
    <w:rsid w:val="00AB57F0"/>
    <w:rsid w:val="00AC1B1A"/>
    <w:rsid w:val="00AC1BC3"/>
    <w:rsid w:val="00AC1DF6"/>
    <w:rsid w:val="00AC67D6"/>
    <w:rsid w:val="00AD08C1"/>
    <w:rsid w:val="00AD7D01"/>
    <w:rsid w:val="00AE51D7"/>
    <w:rsid w:val="00AE5743"/>
    <w:rsid w:val="00AF3D56"/>
    <w:rsid w:val="00AF3F2C"/>
    <w:rsid w:val="00AF6076"/>
    <w:rsid w:val="00AF6E48"/>
    <w:rsid w:val="00B07398"/>
    <w:rsid w:val="00B1349C"/>
    <w:rsid w:val="00B173A3"/>
    <w:rsid w:val="00B23CB3"/>
    <w:rsid w:val="00B24634"/>
    <w:rsid w:val="00B31657"/>
    <w:rsid w:val="00B32299"/>
    <w:rsid w:val="00B33498"/>
    <w:rsid w:val="00B3715E"/>
    <w:rsid w:val="00B40B18"/>
    <w:rsid w:val="00B42186"/>
    <w:rsid w:val="00B43B89"/>
    <w:rsid w:val="00B45B91"/>
    <w:rsid w:val="00B464A3"/>
    <w:rsid w:val="00B46B54"/>
    <w:rsid w:val="00B544A1"/>
    <w:rsid w:val="00B553F2"/>
    <w:rsid w:val="00B57CE2"/>
    <w:rsid w:val="00B62787"/>
    <w:rsid w:val="00B64C6B"/>
    <w:rsid w:val="00B66055"/>
    <w:rsid w:val="00B70790"/>
    <w:rsid w:val="00B72775"/>
    <w:rsid w:val="00B72D3B"/>
    <w:rsid w:val="00B84C8D"/>
    <w:rsid w:val="00B90138"/>
    <w:rsid w:val="00B938B7"/>
    <w:rsid w:val="00B97FCB"/>
    <w:rsid w:val="00BA1EB5"/>
    <w:rsid w:val="00BA5C82"/>
    <w:rsid w:val="00BB0930"/>
    <w:rsid w:val="00BB0B9B"/>
    <w:rsid w:val="00BB0BAD"/>
    <w:rsid w:val="00BB1642"/>
    <w:rsid w:val="00BC2FA3"/>
    <w:rsid w:val="00BD2ADF"/>
    <w:rsid w:val="00BD2CE3"/>
    <w:rsid w:val="00BD4560"/>
    <w:rsid w:val="00BD6CD4"/>
    <w:rsid w:val="00BD7DFC"/>
    <w:rsid w:val="00BE1CD9"/>
    <w:rsid w:val="00BE246A"/>
    <w:rsid w:val="00BE4870"/>
    <w:rsid w:val="00BE532F"/>
    <w:rsid w:val="00BE76EF"/>
    <w:rsid w:val="00BF2A7C"/>
    <w:rsid w:val="00BF46B8"/>
    <w:rsid w:val="00BF492E"/>
    <w:rsid w:val="00BF535A"/>
    <w:rsid w:val="00BF5D78"/>
    <w:rsid w:val="00C029B1"/>
    <w:rsid w:val="00C05CB9"/>
    <w:rsid w:val="00C12DDB"/>
    <w:rsid w:val="00C138AC"/>
    <w:rsid w:val="00C2045F"/>
    <w:rsid w:val="00C2402E"/>
    <w:rsid w:val="00C30DEE"/>
    <w:rsid w:val="00C3237F"/>
    <w:rsid w:val="00C40ED7"/>
    <w:rsid w:val="00C44498"/>
    <w:rsid w:val="00C46FC6"/>
    <w:rsid w:val="00C51BB7"/>
    <w:rsid w:val="00C522C5"/>
    <w:rsid w:val="00C56F93"/>
    <w:rsid w:val="00C613E1"/>
    <w:rsid w:val="00C6202F"/>
    <w:rsid w:val="00C63C3E"/>
    <w:rsid w:val="00C654FE"/>
    <w:rsid w:val="00C65773"/>
    <w:rsid w:val="00C667BF"/>
    <w:rsid w:val="00C727C4"/>
    <w:rsid w:val="00C76385"/>
    <w:rsid w:val="00C80198"/>
    <w:rsid w:val="00C802BC"/>
    <w:rsid w:val="00C85655"/>
    <w:rsid w:val="00C90A04"/>
    <w:rsid w:val="00C92215"/>
    <w:rsid w:val="00C93FAA"/>
    <w:rsid w:val="00C953F8"/>
    <w:rsid w:val="00C972A2"/>
    <w:rsid w:val="00CA1D6A"/>
    <w:rsid w:val="00CA2249"/>
    <w:rsid w:val="00CA2E1B"/>
    <w:rsid w:val="00CA3A4B"/>
    <w:rsid w:val="00CA59D3"/>
    <w:rsid w:val="00CA5EDA"/>
    <w:rsid w:val="00CB15DE"/>
    <w:rsid w:val="00CB1A13"/>
    <w:rsid w:val="00CB438C"/>
    <w:rsid w:val="00CB483E"/>
    <w:rsid w:val="00CC020D"/>
    <w:rsid w:val="00CC1F89"/>
    <w:rsid w:val="00CC2F58"/>
    <w:rsid w:val="00CC3188"/>
    <w:rsid w:val="00CC5D34"/>
    <w:rsid w:val="00CC7A65"/>
    <w:rsid w:val="00CD23BC"/>
    <w:rsid w:val="00CD3B14"/>
    <w:rsid w:val="00CD3E41"/>
    <w:rsid w:val="00CE27E2"/>
    <w:rsid w:val="00CE469C"/>
    <w:rsid w:val="00CE4747"/>
    <w:rsid w:val="00CF292B"/>
    <w:rsid w:val="00CF3A85"/>
    <w:rsid w:val="00CF769D"/>
    <w:rsid w:val="00D041B8"/>
    <w:rsid w:val="00D05771"/>
    <w:rsid w:val="00D077F4"/>
    <w:rsid w:val="00D1124A"/>
    <w:rsid w:val="00D117D8"/>
    <w:rsid w:val="00D17ACF"/>
    <w:rsid w:val="00D214E2"/>
    <w:rsid w:val="00D25266"/>
    <w:rsid w:val="00D25870"/>
    <w:rsid w:val="00D30CAE"/>
    <w:rsid w:val="00D31893"/>
    <w:rsid w:val="00D351D8"/>
    <w:rsid w:val="00D36745"/>
    <w:rsid w:val="00D3699E"/>
    <w:rsid w:val="00D43580"/>
    <w:rsid w:val="00D4388B"/>
    <w:rsid w:val="00D5362E"/>
    <w:rsid w:val="00D53980"/>
    <w:rsid w:val="00D53D2D"/>
    <w:rsid w:val="00D54027"/>
    <w:rsid w:val="00D55A2F"/>
    <w:rsid w:val="00D62AE4"/>
    <w:rsid w:val="00D648D8"/>
    <w:rsid w:val="00D66FF1"/>
    <w:rsid w:val="00D71ABA"/>
    <w:rsid w:val="00D72432"/>
    <w:rsid w:val="00D72524"/>
    <w:rsid w:val="00D7296B"/>
    <w:rsid w:val="00D72A34"/>
    <w:rsid w:val="00D86834"/>
    <w:rsid w:val="00D908C9"/>
    <w:rsid w:val="00D935C6"/>
    <w:rsid w:val="00D9371C"/>
    <w:rsid w:val="00D970F6"/>
    <w:rsid w:val="00DB3620"/>
    <w:rsid w:val="00DB4EDD"/>
    <w:rsid w:val="00DC046B"/>
    <w:rsid w:val="00DC715A"/>
    <w:rsid w:val="00DD5D8C"/>
    <w:rsid w:val="00DD6B71"/>
    <w:rsid w:val="00DE01FE"/>
    <w:rsid w:val="00DE13ED"/>
    <w:rsid w:val="00DE59B2"/>
    <w:rsid w:val="00DF19D8"/>
    <w:rsid w:val="00DF1CC9"/>
    <w:rsid w:val="00DF682D"/>
    <w:rsid w:val="00DF6DCD"/>
    <w:rsid w:val="00E026D0"/>
    <w:rsid w:val="00E04734"/>
    <w:rsid w:val="00E1484A"/>
    <w:rsid w:val="00E14C61"/>
    <w:rsid w:val="00E16D4E"/>
    <w:rsid w:val="00E17B8A"/>
    <w:rsid w:val="00E17C4D"/>
    <w:rsid w:val="00E251A9"/>
    <w:rsid w:val="00E45DE0"/>
    <w:rsid w:val="00E51AB9"/>
    <w:rsid w:val="00E52C17"/>
    <w:rsid w:val="00E5401A"/>
    <w:rsid w:val="00E63FD1"/>
    <w:rsid w:val="00E644C2"/>
    <w:rsid w:val="00E664F6"/>
    <w:rsid w:val="00E67808"/>
    <w:rsid w:val="00E67866"/>
    <w:rsid w:val="00E70DDB"/>
    <w:rsid w:val="00E7246D"/>
    <w:rsid w:val="00E72766"/>
    <w:rsid w:val="00E72D97"/>
    <w:rsid w:val="00E755D2"/>
    <w:rsid w:val="00E76B0A"/>
    <w:rsid w:val="00E92491"/>
    <w:rsid w:val="00EA0C72"/>
    <w:rsid w:val="00EA2147"/>
    <w:rsid w:val="00EB6A3D"/>
    <w:rsid w:val="00EC0C89"/>
    <w:rsid w:val="00EC2234"/>
    <w:rsid w:val="00EC4E79"/>
    <w:rsid w:val="00EC658C"/>
    <w:rsid w:val="00EC76D4"/>
    <w:rsid w:val="00ED051E"/>
    <w:rsid w:val="00ED3B01"/>
    <w:rsid w:val="00ED3C29"/>
    <w:rsid w:val="00ED7597"/>
    <w:rsid w:val="00EE06FE"/>
    <w:rsid w:val="00EE2AB0"/>
    <w:rsid w:val="00EE2C54"/>
    <w:rsid w:val="00EE3EA3"/>
    <w:rsid w:val="00EE3FA2"/>
    <w:rsid w:val="00EE7780"/>
    <w:rsid w:val="00EF040D"/>
    <w:rsid w:val="00EF0C04"/>
    <w:rsid w:val="00EF0C8F"/>
    <w:rsid w:val="00EF4078"/>
    <w:rsid w:val="00EF78E8"/>
    <w:rsid w:val="00F036B3"/>
    <w:rsid w:val="00F05C25"/>
    <w:rsid w:val="00F05F54"/>
    <w:rsid w:val="00F06620"/>
    <w:rsid w:val="00F10723"/>
    <w:rsid w:val="00F124C3"/>
    <w:rsid w:val="00F141C8"/>
    <w:rsid w:val="00F15EDA"/>
    <w:rsid w:val="00F217DC"/>
    <w:rsid w:val="00F21A18"/>
    <w:rsid w:val="00F21E76"/>
    <w:rsid w:val="00F22570"/>
    <w:rsid w:val="00F23AE8"/>
    <w:rsid w:val="00F31C41"/>
    <w:rsid w:val="00F33701"/>
    <w:rsid w:val="00F37AD5"/>
    <w:rsid w:val="00F4124F"/>
    <w:rsid w:val="00F437B8"/>
    <w:rsid w:val="00F438FD"/>
    <w:rsid w:val="00F44BEF"/>
    <w:rsid w:val="00F44E1C"/>
    <w:rsid w:val="00F52B95"/>
    <w:rsid w:val="00F536E3"/>
    <w:rsid w:val="00F5531F"/>
    <w:rsid w:val="00F55B6E"/>
    <w:rsid w:val="00F65DC4"/>
    <w:rsid w:val="00F779F0"/>
    <w:rsid w:val="00F809BF"/>
    <w:rsid w:val="00F83A26"/>
    <w:rsid w:val="00F87B34"/>
    <w:rsid w:val="00F90264"/>
    <w:rsid w:val="00F90B35"/>
    <w:rsid w:val="00F9258E"/>
    <w:rsid w:val="00F93249"/>
    <w:rsid w:val="00F94C82"/>
    <w:rsid w:val="00FA0139"/>
    <w:rsid w:val="00FA0FE0"/>
    <w:rsid w:val="00FA2564"/>
    <w:rsid w:val="00FA41F7"/>
    <w:rsid w:val="00FA5C74"/>
    <w:rsid w:val="00FA649B"/>
    <w:rsid w:val="00FA7F8E"/>
    <w:rsid w:val="00FB1472"/>
    <w:rsid w:val="00FB1E2C"/>
    <w:rsid w:val="00FC19C0"/>
    <w:rsid w:val="00FC23C1"/>
    <w:rsid w:val="00FC2F42"/>
    <w:rsid w:val="00FC4269"/>
    <w:rsid w:val="00FC4C55"/>
    <w:rsid w:val="00FC7577"/>
    <w:rsid w:val="00FC799D"/>
    <w:rsid w:val="00FC7D91"/>
    <w:rsid w:val="00FD07CD"/>
    <w:rsid w:val="00FD5C30"/>
    <w:rsid w:val="00FD7A46"/>
    <w:rsid w:val="00FE5A7F"/>
    <w:rsid w:val="00FE5C85"/>
    <w:rsid w:val="00FF0E90"/>
    <w:rsid w:val="00FF2B99"/>
    <w:rsid w:val="00FF5056"/>
    <w:rsid w:val="00FF5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CF7"/>
    <w:pPr>
      <w:ind w:left="720"/>
      <w:contextualSpacing/>
    </w:pPr>
  </w:style>
  <w:style w:type="paragraph" w:styleId="Header">
    <w:name w:val="header"/>
    <w:basedOn w:val="Normal"/>
    <w:link w:val="HeaderChar"/>
    <w:uiPriority w:val="99"/>
    <w:semiHidden/>
    <w:unhideWhenUsed/>
    <w:rsid w:val="007C1E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1E6E"/>
    <w:rPr>
      <w:lang w:val="en-GB"/>
    </w:rPr>
  </w:style>
  <w:style w:type="paragraph" w:styleId="Footer">
    <w:name w:val="footer"/>
    <w:basedOn w:val="Normal"/>
    <w:link w:val="FooterChar"/>
    <w:uiPriority w:val="99"/>
    <w:unhideWhenUsed/>
    <w:rsid w:val="007C1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E6E"/>
    <w:rPr>
      <w:lang w:val="en-GB"/>
    </w:rPr>
  </w:style>
  <w:style w:type="character" w:styleId="LineNumber">
    <w:name w:val="line number"/>
    <w:basedOn w:val="DefaultParagraphFont"/>
    <w:uiPriority w:val="99"/>
    <w:semiHidden/>
    <w:unhideWhenUsed/>
    <w:rsid w:val="00B70790"/>
  </w:style>
  <w:style w:type="character" w:styleId="Strong">
    <w:name w:val="Strong"/>
    <w:basedOn w:val="DefaultParagraphFont"/>
    <w:uiPriority w:val="22"/>
    <w:qFormat/>
    <w:rsid w:val="004E0709"/>
    <w:rPr>
      <w:b/>
      <w:bCs/>
    </w:rPr>
  </w:style>
  <w:style w:type="character" w:styleId="Emphasis">
    <w:name w:val="Emphasis"/>
    <w:basedOn w:val="DefaultParagraphFont"/>
    <w:uiPriority w:val="20"/>
    <w:qFormat/>
    <w:rsid w:val="004E0709"/>
    <w:rPr>
      <w:i/>
      <w:iCs/>
    </w:rPr>
  </w:style>
  <w:style w:type="paragraph" w:styleId="NormalWeb">
    <w:name w:val="Normal (Web)"/>
    <w:basedOn w:val="Normal"/>
    <w:uiPriority w:val="99"/>
    <w:unhideWhenUsed/>
    <w:rsid w:val="00F9258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CF7"/>
    <w:pPr>
      <w:ind w:left="720"/>
      <w:contextualSpacing/>
    </w:pPr>
  </w:style>
  <w:style w:type="paragraph" w:styleId="Header">
    <w:name w:val="header"/>
    <w:basedOn w:val="Normal"/>
    <w:link w:val="HeaderChar"/>
    <w:uiPriority w:val="99"/>
    <w:semiHidden/>
    <w:unhideWhenUsed/>
    <w:rsid w:val="007C1E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1E6E"/>
    <w:rPr>
      <w:lang w:val="en-GB"/>
    </w:rPr>
  </w:style>
  <w:style w:type="paragraph" w:styleId="Footer">
    <w:name w:val="footer"/>
    <w:basedOn w:val="Normal"/>
    <w:link w:val="FooterChar"/>
    <w:uiPriority w:val="99"/>
    <w:unhideWhenUsed/>
    <w:rsid w:val="007C1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E6E"/>
    <w:rPr>
      <w:lang w:val="en-GB"/>
    </w:rPr>
  </w:style>
  <w:style w:type="character" w:styleId="LineNumber">
    <w:name w:val="line number"/>
    <w:basedOn w:val="DefaultParagraphFont"/>
    <w:uiPriority w:val="99"/>
    <w:semiHidden/>
    <w:unhideWhenUsed/>
    <w:rsid w:val="00B70790"/>
  </w:style>
  <w:style w:type="character" w:styleId="Strong">
    <w:name w:val="Strong"/>
    <w:basedOn w:val="DefaultParagraphFont"/>
    <w:uiPriority w:val="22"/>
    <w:qFormat/>
    <w:rsid w:val="004E0709"/>
    <w:rPr>
      <w:b/>
      <w:bCs/>
    </w:rPr>
  </w:style>
  <w:style w:type="character" w:styleId="Emphasis">
    <w:name w:val="Emphasis"/>
    <w:basedOn w:val="DefaultParagraphFont"/>
    <w:uiPriority w:val="20"/>
    <w:qFormat/>
    <w:rsid w:val="004E0709"/>
    <w:rPr>
      <w:i/>
      <w:iCs/>
    </w:rPr>
  </w:style>
  <w:style w:type="paragraph" w:styleId="NormalWeb">
    <w:name w:val="Normal (Web)"/>
    <w:basedOn w:val="Normal"/>
    <w:uiPriority w:val="99"/>
    <w:unhideWhenUsed/>
    <w:rsid w:val="00F925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8066</Words>
  <Characters>45977</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User</cp:lastModifiedBy>
  <cp:revision>2</cp:revision>
  <cp:lastPrinted>2018-09-05T08:02:00Z</cp:lastPrinted>
  <dcterms:created xsi:type="dcterms:W3CDTF">2019-02-21T09:10:00Z</dcterms:created>
  <dcterms:modified xsi:type="dcterms:W3CDTF">2019-02-21T09:10:00Z</dcterms:modified>
</cp:coreProperties>
</file>