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E28" w:rsidRPr="005C5537" w:rsidRDefault="000F7E28" w:rsidP="003A15CE">
      <w:pPr>
        <w:spacing w:after="0" w:line="240" w:lineRule="auto"/>
        <w:jc w:val="both"/>
        <w:rPr>
          <w:rFonts w:ascii="Times New Roman" w:hAnsi="Times New Roman" w:cs="Times New Roman"/>
          <w:sz w:val="24"/>
          <w:szCs w:val="24"/>
        </w:rPr>
      </w:pPr>
      <w:r w:rsidRPr="005C5537">
        <w:rPr>
          <w:rFonts w:ascii="Times New Roman" w:hAnsi="Times New Roman" w:cs="Times New Roman"/>
          <w:sz w:val="24"/>
          <w:szCs w:val="24"/>
        </w:rPr>
        <w:t xml:space="preserve">SD MINING SYNDICATE </w:t>
      </w:r>
    </w:p>
    <w:p w:rsidR="0068515E" w:rsidRPr="005C5537" w:rsidRDefault="003A15CE" w:rsidP="003A15C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w:t>
      </w:r>
      <w:r w:rsidR="0068515E" w:rsidRPr="005C5537">
        <w:rPr>
          <w:rFonts w:ascii="Times New Roman" w:hAnsi="Times New Roman" w:cs="Times New Roman"/>
          <w:sz w:val="24"/>
          <w:szCs w:val="24"/>
        </w:rPr>
        <w:t>ersus</w:t>
      </w:r>
    </w:p>
    <w:p w:rsidR="0068515E" w:rsidRPr="005C5537" w:rsidRDefault="000F7E28" w:rsidP="003A15CE">
      <w:pPr>
        <w:spacing w:after="0" w:line="240" w:lineRule="auto"/>
        <w:jc w:val="both"/>
        <w:rPr>
          <w:rFonts w:ascii="Times New Roman" w:hAnsi="Times New Roman" w:cs="Times New Roman"/>
          <w:sz w:val="24"/>
          <w:szCs w:val="24"/>
        </w:rPr>
      </w:pPr>
      <w:r w:rsidRPr="005C5537">
        <w:rPr>
          <w:rFonts w:ascii="Times New Roman" w:hAnsi="Times New Roman" w:cs="Times New Roman"/>
          <w:sz w:val="24"/>
          <w:szCs w:val="24"/>
        </w:rPr>
        <w:t>NGONIDZASHE NYEVERA</w:t>
      </w:r>
    </w:p>
    <w:p w:rsidR="0068515E" w:rsidRPr="005C5537" w:rsidRDefault="003A15CE" w:rsidP="003A15CE">
      <w:pPr>
        <w:spacing w:after="0" w:line="240" w:lineRule="auto"/>
        <w:jc w:val="both"/>
        <w:rPr>
          <w:rFonts w:ascii="Times New Roman" w:hAnsi="Times New Roman" w:cs="Times New Roman"/>
          <w:sz w:val="24"/>
          <w:szCs w:val="24"/>
        </w:rPr>
      </w:pPr>
      <w:r w:rsidRPr="005C5537">
        <w:rPr>
          <w:rFonts w:ascii="Times New Roman" w:hAnsi="Times New Roman" w:cs="Times New Roman"/>
          <w:sz w:val="24"/>
          <w:szCs w:val="24"/>
        </w:rPr>
        <w:t xml:space="preserve">and </w:t>
      </w:r>
    </w:p>
    <w:p w:rsidR="005A417E" w:rsidRDefault="000F7E28" w:rsidP="003A15CE">
      <w:pPr>
        <w:spacing w:after="0" w:line="240" w:lineRule="auto"/>
        <w:jc w:val="both"/>
        <w:rPr>
          <w:rFonts w:ascii="Times New Roman" w:hAnsi="Times New Roman" w:cs="Times New Roman"/>
          <w:sz w:val="24"/>
          <w:szCs w:val="24"/>
        </w:rPr>
      </w:pPr>
      <w:r w:rsidRPr="005C5537">
        <w:rPr>
          <w:rFonts w:ascii="Times New Roman" w:hAnsi="Times New Roman" w:cs="Times New Roman"/>
          <w:sz w:val="24"/>
          <w:szCs w:val="24"/>
        </w:rPr>
        <w:t>THE PROVINCIAL MINING DIRECTOR</w:t>
      </w:r>
    </w:p>
    <w:p w:rsidR="0068515E" w:rsidRPr="005C5537" w:rsidRDefault="005A417E" w:rsidP="003A15C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0F7E28" w:rsidRPr="005C5537">
        <w:rPr>
          <w:rFonts w:ascii="Times New Roman" w:hAnsi="Times New Roman" w:cs="Times New Roman"/>
          <w:sz w:val="24"/>
          <w:szCs w:val="24"/>
        </w:rPr>
        <w:t>MASHONALAND WEST PROVINCE</w:t>
      </w:r>
      <w:r>
        <w:rPr>
          <w:rFonts w:ascii="Times New Roman" w:hAnsi="Times New Roman" w:cs="Times New Roman"/>
          <w:sz w:val="24"/>
          <w:szCs w:val="24"/>
        </w:rPr>
        <w:t>)</w:t>
      </w:r>
      <w:r w:rsidR="000F7E28" w:rsidRPr="005C5537">
        <w:rPr>
          <w:rFonts w:ascii="Times New Roman" w:hAnsi="Times New Roman" w:cs="Times New Roman"/>
          <w:sz w:val="24"/>
          <w:szCs w:val="24"/>
        </w:rPr>
        <w:t xml:space="preserve"> N.O</w:t>
      </w:r>
    </w:p>
    <w:p w:rsidR="000F7E28" w:rsidRPr="005C5537" w:rsidRDefault="003A15CE" w:rsidP="003A15CE">
      <w:pPr>
        <w:spacing w:after="0" w:line="240" w:lineRule="auto"/>
        <w:jc w:val="both"/>
        <w:rPr>
          <w:rFonts w:ascii="Times New Roman" w:hAnsi="Times New Roman" w:cs="Times New Roman"/>
          <w:sz w:val="24"/>
          <w:szCs w:val="24"/>
        </w:rPr>
      </w:pPr>
      <w:r w:rsidRPr="005C5537">
        <w:rPr>
          <w:rFonts w:ascii="Times New Roman" w:hAnsi="Times New Roman" w:cs="Times New Roman"/>
          <w:sz w:val="24"/>
          <w:szCs w:val="24"/>
        </w:rPr>
        <w:t>and</w:t>
      </w:r>
    </w:p>
    <w:p w:rsidR="000F7E28" w:rsidRPr="005C5537" w:rsidRDefault="000F7E28" w:rsidP="003A15CE">
      <w:pPr>
        <w:spacing w:after="0" w:line="240" w:lineRule="auto"/>
        <w:jc w:val="both"/>
        <w:rPr>
          <w:rFonts w:ascii="Times New Roman" w:hAnsi="Times New Roman" w:cs="Times New Roman"/>
          <w:sz w:val="24"/>
          <w:szCs w:val="24"/>
        </w:rPr>
      </w:pPr>
      <w:r w:rsidRPr="005C5537">
        <w:rPr>
          <w:rFonts w:ascii="Times New Roman" w:hAnsi="Times New Roman" w:cs="Times New Roman"/>
          <w:sz w:val="24"/>
          <w:szCs w:val="24"/>
        </w:rPr>
        <w:t>MIN</w:t>
      </w:r>
      <w:r w:rsidR="003A15CE" w:rsidRPr="005C5537">
        <w:rPr>
          <w:rFonts w:ascii="Times New Roman" w:hAnsi="Times New Roman" w:cs="Times New Roman"/>
          <w:sz w:val="24"/>
          <w:szCs w:val="24"/>
        </w:rPr>
        <w:t>ISTER OF MINES AND MINING DEVELOPMENT N.O</w:t>
      </w:r>
    </w:p>
    <w:p w:rsidR="000F7055" w:rsidRPr="005C5537" w:rsidRDefault="003A15CE" w:rsidP="003A15CE">
      <w:pPr>
        <w:spacing w:after="0" w:line="240" w:lineRule="auto"/>
        <w:jc w:val="both"/>
        <w:rPr>
          <w:rFonts w:ascii="Times New Roman" w:hAnsi="Times New Roman" w:cs="Times New Roman"/>
          <w:sz w:val="24"/>
          <w:szCs w:val="24"/>
        </w:rPr>
      </w:pPr>
      <w:r w:rsidRPr="005C5537">
        <w:rPr>
          <w:rFonts w:ascii="Times New Roman" w:hAnsi="Times New Roman" w:cs="Times New Roman"/>
          <w:sz w:val="24"/>
          <w:szCs w:val="24"/>
        </w:rPr>
        <w:t>and</w:t>
      </w:r>
      <w:r w:rsidR="000F7E28" w:rsidRPr="005C5537">
        <w:rPr>
          <w:rFonts w:ascii="Times New Roman" w:hAnsi="Times New Roman" w:cs="Times New Roman"/>
          <w:sz w:val="24"/>
          <w:szCs w:val="24"/>
        </w:rPr>
        <w:t xml:space="preserve"> </w:t>
      </w:r>
    </w:p>
    <w:p w:rsidR="005A417E" w:rsidRDefault="000F7E28" w:rsidP="005A417E">
      <w:pPr>
        <w:spacing w:after="0" w:line="240" w:lineRule="auto"/>
        <w:jc w:val="both"/>
        <w:rPr>
          <w:rFonts w:ascii="Times New Roman" w:hAnsi="Times New Roman" w:cs="Times New Roman"/>
          <w:sz w:val="24"/>
          <w:szCs w:val="24"/>
        </w:rPr>
      </w:pPr>
      <w:r w:rsidRPr="005C5537">
        <w:rPr>
          <w:rFonts w:ascii="Times New Roman" w:hAnsi="Times New Roman" w:cs="Times New Roman"/>
          <w:sz w:val="24"/>
          <w:szCs w:val="24"/>
        </w:rPr>
        <w:t xml:space="preserve">MINISTER OF LANDS, AGRICULTURE </w:t>
      </w:r>
    </w:p>
    <w:p w:rsidR="000F7E28" w:rsidRPr="005C5537" w:rsidRDefault="000F7E28" w:rsidP="003A15CE">
      <w:pPr>
        <w:spacing w:after="0" w:line="360" w:lineRule="auto"/>
        <w:jc w:val="both"/>
        <w:rPr>
          <w:rFonts w:ascii="Times New Roman" w:hAnsi="Times New Roman" w:cs="Times New Roman"/>
          <w:sz w:val="24"/>
          <w:szCs w:val="24"/>
        </w:rPr>
      </w:pPr>
      <w:r w:rsidRPr="005C5537">
        <w:rPr>
          <w:rFonts w:ascii="Times New Roman" w:hAnsi="Times New Roman" w:cs="Times New Roman"/>
          <w:sz w:val="24"/>
          <w:szCs w:val="24"/>
        </w:rPr>
        <w:t>AND RURAL SETTLEMENT N.O</w:t>
      </w:r>
    </w:p>
    <w:p w:rsidR="0068515E" w:rsidRPr="005C5537" w:rsidRDefault="0068515E" w:rsidP="003A15CE">
      <w:pPr>
        <w:spacing w:after="0" w:line="360" w:lineRule="auto"/>
        <w:jc w:val="both"/>
        <w:rPr>
          <w:rFonts w:ascii="Times New Roman" w:hAnsi="Times New Roman" w:cs="Times New Roman"/>
          <w:sz w:val="24"/>
          <w:szCs w:val="24"/>
        </w:rPr>
      </w:pPr>
    </w:p>
    <w:p w:rsidR="0068515E" w:rsidRPr="005C5537" w:rsidRDefault="0068515E" w:rsidP="003A15CE">
      <w:pPr>
        <w:spacing w:after="0" w:line="240" w:lineRule="auto"/>
        <w:jc w:val="both"/>
        <w:rPr>
          <w:rFonts w:ascii="Times New Roman" w:hAnsi="Times New Roman" w:cs="Times New Roman"/>
          <w:sz w:val="24"/>
          <w:szCs w:val="24"/>
        </w:rPr>
      </w:pPr>
      <w:r w:rsidRPr="005C5537">
        <w:rPr>
          <w:rFonts w:ascii="Times New Roman" w:hAnsi="Times New Roman" w:cs="Times New Roman"/>
          <w:sz w:val="24"/>
          <w:szCs w:val="24"/>
        </w:rPr>
        <w:t>HIGH COURT OF ZIMBABWE</w:t>
      </w:r>
    </w:p>
    <w:p w:rsidR="0068515E" w:rsidRPr="005C5537" w:rsidRDefault="0068515E" w:rsidP="003A15CE">
      <w:pPr>
        <w:spacing w:after="0" w:line="240" w:lineRule="auto"/>
        <w:jc w:val="both"/>
        <w:rPr>
          <w:rFonts w:ascii="Times New Roman" w:hAnsi="Times New Roman" w:cs="Times New Roman"/>
          <w:sz w:val="24"/>
          <w:szCs w:val="24"/>
        </w:rPr>
      </w:pPr>
      <w:r w:rsidRPr="005C5537">
        <w:rPr>
          <w:rFonts w:ascii="Times New Roman" w:hAnsi="Times New Roman" w:cs="Times New Roman"/>
          <w:sz w:val="24"/>
          <w:szCs w:val="24"/>
        </w:rPr>
        <w:t>DEME J</w:t>
      </w:r>
    </w:p>
    <w:p w:rsidR="0068515E" w:rsidRDefault="0068515E" w:rsidP="003A15CE">
      <w:pPr>
        <w:spacing w:after="0" w:line="240" w:lineRule="auto"/>
        <w:jc w:val="both"/>
        <w:rPr>
          <w:rFonts w:ascii="Times New Roman" w:hAnsi="Times New Roman" w:cs="Times New Roman"/>
          <w:sz w:val="24"/>
          <w:szCs w:val="24"/>
        </w:rPr>
      </w:pPr>
      <w:r w:rsidRPr="005C5537">
        <w:rPr>
          <w:rFonts w:ascii="Times New Roman" w:hAnsi="Times New Roman" w:cs="Times New Roman"/>
          <w:sz w:val="24"/>
          <w:szCs w:val="24"/>
        </w:rPr>
        <w:t>HARARE, 30 December, 2021</w:t>
      </w:r>
      <w:r w:rsidR="00E27A98">
        <w:rPr>
          <w:rFonts w:ascii="Times New Roman" w:hAnsi="Times New Roman" w:cs="Times New Roman"/>
          <w:sz w:val="24"/>
          <w:szCs w:val="24"/>
        </w:rPr>
        <w:t xml:space="preserve"> and 12 January 2022</w:t>
      </w:r>
      <w:bookmarkStart w:id="0" w:name="_GoBack"/>
      <w:bookmarkEnd w:id="0"/>
    </w:p>
    <w:p w:rsidR="003A15CE" w:rsidRPr="005C5537" w:rsidRDefault="003A15CE" w:rsidP="003A15CE">
      <w:pPr>
        <w:spacing w:after="0" w:line="240" w:lineRule="auto"/>
        <w:jc w:val="both"/>
        <w:rPr>
          <w:rFonts w:ascii="Times New Roman" w:hAnsi="Times New Roman" w:cs="Times New Roman"/>
          <w:sz w:val="24"/>
          <w:szCs w:val="24"/>
        </w:rPr>
      </w:pPr>
    </w:p>
    <w:p w:rsidR="0068515E" w:rsidRPr="005C5537" w:rsidRDefault="0068515E" w:rsidP="003A15CE">
      <w:pPr>
        <w:spacing w:after="0" w:line="240" w:lineRule="auto"/>
        <w:jc w:val="both"/>
        <w:rPr>
          <w:rFonts w:ascii="Times New Roman" w:hAnsi="Times New Roman" w:cs="Times New Roman"/>
          <w:sz w:val="24"/>
          <w:szCs w:val="24"/>
        </w:rPr>
      </w:pPr>
    </w:p>
    <w:p w:rsidR="0068515E" w:rsidRPr="005C5537" w:rsidRDefault="0068515E" w:rsidP="003A15CE">
      <w:pPr>
        <w:spacing w:after="0" w:line="240" w:lineRule="auto"/>
        <w:jc w:val="both"/>
        <w:rPr>
          <w:rFonts w:ascii="Times New Roman" w:hAnsi="Times New Roman" w:cs="Times New Roman"/>
          <w:b/>
          <w:sz w:val="24"/>
          <w:szCs w:val="24"/>
        </w:rPr>
      </w:pPr>
      <w:r w:rsidRPr="005C5537">
        <w:rPr>
          <w:rFonts w:ascii="Times New Roman" w:hAnsi="Times New Roman" w:cs="Times New Roman"/>
          <w:b/>
          <w:sz w:val="24"/>
          <w:szCs w:val="24"/>
        </w:rPr>
        <w:t>Urgent Chamber Application</w:t>
      </w:r>
    </w:p>
    <w:p w:rsidR="0068515E" w:rsidRDefault="0068515E" w:rsidP="003A15CE">
      <w:pPr>
        <w:spacing w:after="0" w:line="240" w:lineRule="auto"/>
        <w:jc w:val="both"/>
        <w:rPr>
          <w:rFonts w:ascii="Times New Roman" w:hAnsi="Times New Roman" w:cs="Times New Roman"/>
          <w:b/>
          <w:sz w:val="24"/>
          <w:szCs w:val="24"/>
        </w:rPr>
      </w:pPr>
    </w:p>
    <w:p w:rsidR="003A15CE" w:rsidRPr="005C5537" w:rsidRDefault="003A15CE" w:rsidP="003A15CE">
      <w:pPr>
        <w:spacing w:after="0" w:line="240" w:lineRule="auto"/>
        <w:jc w:val="both"/>
        <w:rPr>
          <w:rFonts w:ascii="Times New Roman" w:hAnsi="Times New Roman" w:cs="Times New Roman"/>
          <w:b/>
          <w:sz w:val="24"/>
          <w:szCs w:val="24"/>
        </w:rPr>
      </w:pPr>
    </w:p>
    <w:p w:rsidR="0068515E" w:rsidRDefault="003A15CE" w:rsidP="003A15CE">
      <w:pPr>
        <w:spacing w:after="0" w:line="240" w:lineRule="auto"/>
        <w:jc w:val="both"/>
        <w:rPr>
          <w:rFonts w:ascii="Times New Roman" w:hAnsi="Times New Roman" w:cs="Times New Roman"/>
          <w:sz w:val="24"/>
          <w:szCs w:val="24"/>
        </w:rPr>
      </w:pPr>
      <w:r w:rsidRPr="003A15CE">
        <w:rPr>
          <w:rFonts w:ascii="Times New Roman" w:hAnsi="Times New Roman" w:cs="Times New Roman"/>
          <w:sz w:val="24"/>
          <w:szCs w:val="24"/>
        </w:rPr>
        <w:t>Mr</w:t>
      </w:r>
      <w:r>
        <w:rPr>
          <w:rFonts w:ascii="Times New Roman" w:hAnsi="Times New Roman" w:cs="Times New Roman"/>
          <w:i/>
          <w:sz w:val="24"/>
          <w:szCs w:val="24"/>
        </w:rPr>
        <w:t xml:space="preserve"> S.</w:t>
      </w:r>
      <w:r w:rsidR="000F7E28" w:rsidRPr="005C5537">
        <w:rPr>
          <w:rFonts w:ascii="Times New Roman" w:hAnsi="Times New Roman" w:cs="Times New Roman"/>
          <w:i/>
          <w:sz w:val="24"/>
          <w:szCs w:val="24"/>
        </w:rPr>
        <w:t xml:space="preserve"> Ushehwekunze</w:t>
      </w:r>
      <w:r w:rsidR="0068515E" w:rsidRPr="005C5537">
        <w:rPr>
          <w:rFonts w:ascii="Times New Roman" w:hAnsi="Times New Roman" w:cs="Times New Roman"/>
          <w:i/>
          <w:sz w:val="24"/>
          <w:szCs w:val="24"/>
        </w:rPr>
        <w:t xml:space="preserve">, </w:t>
      </w:r>
      <w:r w:rsidR="0068515E" w:rsidRPr="005C5537">
        <w:rPr>
          <w:rFonts w:ascii="Times New Roman" w:hAnsi="Times New Roman" w:cs="Times New Roman"/>
          <w:sz w:val="24"/>
          <w:szCs w:val="24"/>
        </w:rPr>
        <w:t>for the applicant</w:t>
      </w:r>
    </w:p>
    <w:p w:rsidR="0068515E" w:rsidRPr="005C5537" w:rsidRDefault="000F7E28" w:rsidP="003A15CE">
      <w:pPr>
        <w:spacing w:after="0" w:line="240" w:lineRule="auto"/>
        <w:jc w:val="both"/>
        <w:rPr>
          <w:rFonts w:ascii="Times New Roman" w:hAnsi="Times New Roman" w:cs="Times New Roman"/>
          <w:sz w:val="24"/>
          <w:szCs w:val="24"/>
        </w:rPr>
      </w:pPr>
      <w:r w:rsidRPr="003A15CE">
        <w:rPr>
          <w:rFonts w:ascii="Times New Roman" w:hAnsi="Times New Roman" w:cs="Times New Roman"/>
          <w:sz w:val="24"/>
          <w:szCs w:val="24"/>
        </w:rPr>
        <w:t>Mr</w:t>
      </w:r>
      <w:r w:rsidRPr="005C5537">
        <w:rPr>
          <w:rFonts w:ascii="Times New Roman" w:hAnsi="Times New Roman" w:cs="Times New Roman"/>
          <w:i/>
          <w:sz w:val="24"/>
          <w:szCs w:val="24"/>
        </w:rPr>
        <w:t xml:space="preserve"> A</w:t>
      </w:r>
      <w:r w:rsidR="003A15CE">
        <w:rPr>
          <w:rFonts w:ascii="Times New Roman" w:hAnsi="Times New Roman" w:cs="Times New Roman"/>
          <w:i/>
          <w:sz w:val="24"/>
          <w:szCs w:val="24"/>
        </w:rPr>
        <w:t>.</w:t>
      </w:r>
      <w:r w:rsidRPr="005C5537">
        <w:rPr>
          <w:rFonts w:ascii="Times New Roman" w:hAnsi="Times New Roman" w:cs="Times New Roman"/>
          <w:i/>
          <w:sz w:val="24"/>
          <w:szCs w:val="24"/>
        </w:rPr>
        <w:t xml:space="preserve"> Masango</w:t>
      </w:r>
      <w:r w:rsidR="0068515E" w:rsidRPr="005C5537">
        <w:rPr>
          <w:rFonts w:ascii="Times New Roman" w:hAnsi="Times New Roman" w:cs="Times New Roman"/>
          <w:sz w:val="24"/>
          <w:szCs w:val="24"/>
        </w:rPr>
        <w:t>, for the 1</w:t>
      </w:r>
      <w:r w:rsidR="0068515E" w:rsidRPr="005C5537">
        <w:rPr>
          <w:rFonts w:ascii="Times New Roman" w:hAnsi="Times New Roman" w:cs="Times New Roman"/>
          <w:sz w:val="24"/>
          <w:szCs w:val="24"/>
          <w:vertAlign w:val="superscript"/>
        </w:rPr>
        <w:t>st</w:t>
      </w:r>
      <w:r w:rsidR="0068515E" w:rsidRPr="005C5537">
        <w:rPr>
          <w:rFonts w:ascii="Times New Roman" w:hAnsi="Times New Roman" w:cs="Times New Roman"/>
          <w:sz w:val="24"/>
          <w:szCs w:val="24"/>
        </w:rPr>
        <w:t xml:space="preserve"> respondent</w:t>
      </w:r>
    </w:p>
    <w:p w:rsidR="000F7055" w:rsidRPr="005C5537" w:rsidRDefault="003A15CE" w:rsidP="005C5537">
      <w:pPr>
        <w:spacing w:line="360" w:lineRule="auto"/>
        <w:jc w:val="both"/>
        <w:rPr>
          <w:rFonts w:ascii="Times New Roman" w:hAnsi="Times New Roman" w:cs="Times New Roman"/>
          <w:sz w:val="24"/>
          <w:szCs w:val="24"/>
        </w:rPr>
      </w:pPr>
      <w:r w:rsidRPr="003A15CE">
        <w:rPr>
          <w:rFonts w:ascii="Times New Roman" w:hAnsi="Times New Roman" w:cs="Times New Roman"/>
          <w:sz w:val="24"/>
          <w:szCs w:val="24"/>
        </w:rPr>
        <w:t>Mr</w:t>
      </w:r>
      <w:r w:rsidR="000F7E28" w:rsidRPr="003A15CE">
        <w:rPr>
          <w:rFonts w:ascii="Times New Roman" w:hAnsi="Times New Roman" w:cs="Times New Roman"/>
          <w:i/>
          <w:sz w:val="24"/>
          <w:szCs w:val="24"/>
        </w:rPr>
        <w:t xml:space="preserve"> L.T. Muradzikwa</w:t>
      </w:r>
      <w:r w:rsidR="000F7E28" w:rsidRPr="005C5537">
        <w:rPr>
          <w:rFonts w:ascii="Times New Roman" w:hAnsi="Times New Roman" w:cs="Times New Roman"/>
          <w:sz w:val="24"/>
          <w:szCs w:val="24"/>
        </w:rPr>
        <w:t xml:space="preserve">, </w:t>
      </w:r>
      <w:r w:rsidR="0068515E" w:rsidRPr="005C5537">
        <w:rPr>
          <w:rFonts w:ascii="Times New Roman" w:hAnsi="Times New Roman" w:cs="Times New Roman"/>
          <w:sz w:val="24"/>
          <w:szCs w:val="24"/>
        </w:rPr>
        <w:t>for the 2</w:t>
      </w:r>
      <w:r w:rsidR="0068515E" w:rsidRPr="005C5537">
        <w:rPr>
          <w:rFonts w:ascii="Times New Roman" w:hAnsi="Times New Roman" w:cs="Times New Roman"/>
          <w:sz w:val="24"/>
          <w:szCs w:val="24"/>
          <w:vertAlign w:val="superscript"/>
        </w:rPr>
        <w:t>nd</w:t>
      </w:r>
      <w:r>
        <w:rPr>
          <w:rFonts w:ascii="Times New Roman" w:hAnsi="Times New Roman" w:cs="Times New Roman"/>
          <w:sz w:val="24"/>
          <w:szCs w:val="24"/>
        </w:rPr>
        <w:t>, 3</w:t>
      </w:r>
      <w:r w:rsidRPr="003A15CE">
        <w:rPr>
          <w:rFonts w:ascii="Times New Roman" w:hAnsi="Times New Roman" w:cs="Times New Roman"/>
          <w:sz w:val="24"/>
          <w:szCs w:val="24"/>
          <w:vertAlign w:val="superscript"/>
        </w:rPr>
        <w:t>rd</w:t>
      </w:r>
      <w:r>
        <w:rPr>
          <w:rFonts w:ascii="Times New Roman" w:hAnsi="Times New Roman" w:cs="Times New Roman"/>
          <w:sz w:val="24"/>
          <w:szCs w:val="24"/>
        </w:rPr>
        <w:t xml:space="preserve"> and 4</w:t>
      </w:r>
      <w:r w:rsidRPr="003A15CE">
        <w:rPr>
          <w:rFonts w:ascii="Times New Roman" w:hAnsi="Times New Roman" w:cs="Times New Roman"/>
          <w:sz w:val="24"/>
          <w:szCs w:val="24"/>
          <w:vertAlign w:val="superscript"/>
        </w:rPr>
        <w:t>th</w:t>
      </w:r>
      <w:r>
        <w:rPr>
          <w:rFonts w:ascii="Times New Roman" w:hAnsi="Times New Roman" w:cs="Times New Roman"/>
          <w:sz w:val="24"/>
          <w:szCs w:val="24"/>
        </w:rPr>
        <w:t xml:space="preserve"> res</w:t>
      </w:r>
      <w:r w:rsidR="009121C6" w:rsidRPr="005C5537">
        <w:rPr>
          <w:rFonts w:ascii="Times New Roman" w:hAnsi="Times New Roman" w:cs="Times New Roman"/>
          <w:sz w:val="24"/>
          <w:szCs w:val="24"/>
        </w:rPr>
        <w:t>pondents</w:t>
      </w:r>
      <w:r w:rsidR="0068515E" w:rsidRPr="005C5537">
        <w:rPr>
          <w:rFonts w:ascii="Times New Roman" w:hAnsi="Times New Roman" w:cs="Times New Roman"/>
          <w:sz w:val="24"/>
          <w:szCs w:val="24"/>
        </w:rPr>
        <w:t xml:space="preserve"> </w:t>
      </w:r>
    </w:p>
    <w:p w:rsidR="002771E7" w:rsidRPr="005C5537" w:rsidRDefault="0068515E" w:rsidP="00484D48">
      <w:pPr>
        <w:spacing w:after="0" w:line="360" w:lineRule="auto"/>
        <w:jc w:val="both"/>
        <w:rPr>
          <w:rFonts w:ascii="Times New Roman" w:hAnsi="Times New Roman" w:cs="Times New Roman"/>
          <w:sz w:val="24"/>
          <w:szCs w:val="24"/>
        </w:rPr>
      </w:pPr>
      <w:r w:rsidRPr="005C5537">
        <w:rPr>
          <w:rFonts w:ascii="Times New Roman" w:hAnsi="Times New Roman" w:cs="Times New Roman"/>
          <w:sz w:val="24"/>
          <w:szCs w:val="24"/>
        </w:rPr>
        <w:tab/>
        <w:t>DEME J:</w:t>
      </w:r>
      <w:r w:rsidR="00E46C31" w:rsidRPr="005C5537">
        <w:rPr>
          <w:rFonts w:ascii="Times New Roman" w:hAnsi="Times New Roman" w:cs="Times New Roman"/>
          <w:sz w:val="24"/>
          <w:szCs w:val="24"/>
        </w:rPr>
        <w:t xml:space="preserve"> </w:t>
      </w:r>
      <w:r w:rsidR="003A15CE">
        <w:rPr>
          <w:rFonts w:ascii="Times New Roman" w:hAnsi="Times New Roman" w:cs="Times New Roman"/>
          <w:sz w:val="24"/>
          <w:szCs w:val="24"/>
        </w:rPr>
        <w:t xml:space="preserve">  The applicant approached this c</w:t>
      </w:r>
      <w:r w:rsidR="00E46C31" w:rsidRPr="005C5537">
        <w:rPr>
          <w:rFonts w:ascii="Times New Roman" w:hAnsi="Times New Roman" w:cs="Times New Roman"/>
          <w:sz w:val="24"/>
          <w:szCs w:val="24"/>
        </w:rPr>
        <w:t xml:space="preserve">ourt on an urgent basis seeking the relief for leave to execute judgment pending appeal. </w:t>
      </w:r>
      <w:r w:rsidR="009965F3" w:rsidRPr="005C5537">
        <w:rPr>
          <w:rFonts w:ascii="Times New Roman" w:hAnsi="Times New Roman" w:cs="Times New Roman"/>
          <w:sz w:val="24"/>
          <w:szCs w:val="24"/>
        </w:rPr>
        <w:t>In parti</w:t>
      </w:r>
      <w:r w:rsidR="003A15CE">
        <w:rPr>
          <w:rFonts w:ascii="Times New Roman" w:hAnsi="Times New Roman" w:cs="Times New Roman"/>
          <w:sz w:val="24"/>
          <w:szCs w:val="24"/>
        </w:rPr>
        <w:t>cular, the draft order for the a</w:t>
      </w:r>
      <w:r w:rsidR="009965F3" w:rsidRPr="005C5537">
        <w:rPr>
          <w:rFonts w:ascii="Times New Roman" w:hAnsi="Times New Roman" w:cs="Times New Roman"/>
          <w:sz w:val="24"/>
          <w:szCs w:val="24"/>
        </w:rPr>
        <w:t>pplicant reads as follows:</w:t>
      </w:r>
    </w:p>
    <w:p w:rsidR="00AC1796" w:rsidRPr="003A15CE" w:rsidRDefault="00095A93" w:rsidP="00484D48">
      <w:pPr>
        <w:spacing w:after="0" w:line="240" w:lineRule="auto"/>
        <w:ind w:left="360"/>
        <w:jc w:val="both"/>
        <w:rPr>
          <w:rFonts w:ascii="Times New Roman" w:hAnsi="Times New Roman" w:cs="Times New Roman"/>
        </w:rPr>
      </w:pPr>
      <w:r w:rsidRPr="005C5537">
        <w:rPr>
          <w:rFonts w:ascii="Times New Roman" w:hAnsi="Times New Roman" w:cs="Times New Roman"/>
          <w:sz w:val="24"/>
          <w:szCs w:val="24"/>
        </w:rPr>
        <w:t>“1</w:t>
      </w:r>
      <w:r w:rsidRPr="003A15CE">
        <w:rPr>
          <w:rFonts w:ascii="Times New Roman" w:hAnsi="Times New Roman" w:cs="Times New Roman"/>
        </w:rPr>
        <w:t xml:space="preserve">. </w:t>
      </w:r>
      <w:r w:rsidR="00E02B75" w:rsidRPr="003A15CE">
        <w:rPr>
          <w:rFonts w:ascii="Times New Roman" w:hAnsi="Times New Roman" w:cs="Times New Roman"/>
        </w:rPr>
        <w:t>Application for leave to execute an order p</w:t>
      </w:r>
      <w:r w:rsidR="002F38F5" w:rsidRPr="003A15CE">
        <w:rPr>
          <w:rFonts w:ascii="Times New Roman" w:hAnsi="Times New Roman" w:cs="Times New Roman"/>
        </w:rPr>
        <w:t>ending appeal is hereby granted;</w:t>
      </w:r>
    </w:p>
    <w:p w:rsidR="002F38F5" w:rsidRPr="003A15CE" w:rsidRDefault="00484D48" w:rsidP="00484D48">
      <w:pPr>
        <w:spacing w:after="0" w:line="240" w:lineRule="auto"/>
        <w:ind w:left="720" w:hanging="294"/>
        <w:jc w:val="both"/>
        <w:rPr>
          <w:rFonts w:ascii="Times New Roman" w:hAnsi="Times New Roman" w:cs="Times New Roman"/>
        </w:rPr>
      </w:pPr>
      <w:r>
        <w:rPr>
          <w:rFonts w:ascii="Times New Roman" w:hAnsi="Times New Roman" w:cs="Times New Roman"/>
        </w:rPr>
        <w:t xml:space="preserve">2. </w:t>
      </w:r>
      <w:r w:rsidR="003A15CE" w:rsidRPr="003A15CE">
        <w:rPr>
          <w:rFonts w:ascii="Times New Roman" w:hAnsi="Times New Roman" w:cs="Times New Roman"/>
        </w:rPr>
        <w:t>The order granted in the a</w:t>
      </w:r>
      <w:r w:rsidR="00AC1796" w:rsidRPr="003A15CE">
        <w:rPr>
          <w:rFonts w:ascii="Times New Roman" w:hAnsi="Times New Roman" w:cs="Times New Roman"/>
        </w:rPr>
        <w:t>ppl</w:t>
      </w:r>
      <w:r w:rsidR="003A15CE" w:rsidRPr="003A15CE">
        <w:rPr>
          <w:rFonts w:ascii="Times New Roman" w:hAnsi="Times New Roman" w:cs="Times New Roman"/>
        </w:rPr>
        <w:t>icant’s favour under HC 6560/21</w:t>
      </w:r>
      <w:r>
        <w:rPr>
          <w:rFonts w:ascii="Times New Roman" w:hAnsi="Times New Roman" w:cs="Times New Roman"/>
        </w:rPr>
        <w:t xml:space="preserve"> shall be operational pending </w:t>
      </w:r>
      <w:r w:rsidR="002F38F5" w:rsidRPr="003A15CE">
        <w:rPr>
          <w:rFonts w:ascii="Times New Roman" w:hAnsi="Times New Roman" w:cs="Times New Roman"/>
        </w:rPr>
        <w:t>determination of 1</w:t>
      </w:r>
      <w:r w:rsidR="002F38F5" w:rsidRPr="003A15CE">
        <w:rPr>
          <w:rFonts w:ascii="Times New Roman" w:hAnsi="Times New Roman" w:cs="Times New Roman"/>
          <w:vertAlign w:val="superscript"/>
        </w:rPr>
        <w:t>st</w:t>
      </w:r>
      <w:r w:rsidR="003A15CE" w:rsidRPr="003A15CE">
        <w:rPr>
          <w:rFonts w:ascii="Times New Roman" w:hAnsi="Times New Roman" w:cs="Times New Roman"/>
        </w:rPr>
        <w:t xml:space="preserve"> r</w:t>
      </w:r>
      <w:r w:rsidR="002E3DC3">
        <w:rPr>
          <w:rFonts w:ascii="Times New Roman" w:hAnsi="Times New Roman" w:cs="Times New Roman"/>
        </w:rPr>
        <w:t>espondent’s appeal in SC 460/</w:t>
      </w:r>
      <w:r w:rsidR="002F38F5" w:rsidRPr="003A15CE">
        <w:rPr>
          <w:rFonts w:ascii="Times New Roman" w:hAnsi="Times New Roman" w:cs="Times New Roman"/>
        </w:rPr>
        <w:t xml:space="preserve">21;  </w:t>
      </w:r>
    </w:p>
    <w:p w:rsidR="002F38F5" w:rsidRPr="003A15CE" w:rsidRDefault="003A15CE" w:rsidP="00484D48">
      <w:pPr>
        <w:spacing w:after="0" w:line="240" w:lineRule="auto"/>
        <w:ind w:left="360"/>
        <w:jc w:val="both"/>
        <w:rPr>
          <w:rFonts w:ascii="Times New Roman" w:hAnsi="Times New Roman" w:cs="Times New Roman"/>
        </w:rPr>
      </w:pPr>
      <w:r w:rsidRPr="003A15CE">
        <w:rPr>
          <w:rFonts w:ascii="Times New Roman" w:hAnsi="Times New Roman" w:cs="Times New Roman"/>
        </w:rPr>
        <w:t xml:space="preserve">    </w:t>
      </w:r>
      <w:r w:rsidR="00484D48">
        <w:rPr>
          <w:rFonts w:ascii="Times New Roman" w:hAnsi="Times New Roman" w:cs="Times New Roman"/>
        </w:rPr>
        <w:t xml:space="preserve"> </w:t>
      </w:r>
      <w:r w:rsidRPr="003A15CE">
        <w:rPr>
          <w:rFonts w:ascii="Times New Roman" w:hAnsi="Times New Roman" w:cs="Times New Roman"/>
        </w:rPr>
        <w:t xml:space="preserve"> a</w:t>
      </w:r>
      <w:r w:rsidR="002F38F5" w:rsidRPr="003A15CE">
        <w:rPr>
          <w:rFonts w:ascii="Times New Roman" w:hAnsi="Times New Roman" w:cs="Times New Roman"/>
        </w:rPr>
        <w:t>nd</w:t>
      </w:r>
    </w:p>
    <w:p w:rsidR="00696A7E" w:rsidRPr="003A15CE" w:rsidRDefault="00484D48" w:rsidP="00484D48">
      <w:pPr>
        <w:spacing w:after="0" w:line="240" w:lineRule="auto"/>
        <w:ind w:left="360"/>
        <w:jc w:val="both"/>
        <w:rPr>
          <w:rFonts w:ascii="Times New Roman" w:hAnsi="Times New Roman" w:cs="Times New Roman"/>
        </w:rPr>
      </w:pPr>
      <w:r>
        <w:rPr>
          <w:rFonts w:ascii="Times New Roman" w:hAnsi="Times New Roman" w:cs="Times New Roman"/>
        </w:rPr>
        <w:t xml:space="preserve"> </w:t>
      </w:r>
      <w:r w:rsidR="003A15CE" w:rsidRPr="003A15CE">
        <w:rPr>
          <w:rFonts w:ascii="Times New Roman" w:hAnsi="Times New Roman" w:cs="Times New Roman"/>
        </w:rPr>
        <w:t xml:space="preserve">3. </w:t>
      </w:r>
      <w:r w:rsidR="00095A93" w:rsidRPr="003A15CE">
        <w:rPr>
          <w:rFonts w:ascii="Times New Roman" w:hAnsi="Times New Roman" w:cs="Times New Roman"/>
        </w:rPr>
        <w:t xml:space="preserve"> </w:t>
      </w:r>
      <w:r w:rsidR="002F38F5" w:rsidRPr="003A15CE">
        <w:rPr>
          <w:rFonts w:ascii="Times New Roman" w:hAnsi="Times New Roman" w:cs="Times New Roman"/>
        </w:rPr>
        <w:t>The 1</w:t>
      </w:r>
      <w:r w:rsidR="002F38F5" w:rsidRPr="003A15CE">
        <w:rPr>
          <w:rFonts w:ascii="Times New Roman" w:hAnsi="Times New Roman" w:cs="Times New Roman"/>
          <w:vertAlign w:val="superscript"/>
        </w:rPr>
        <w:t>st</w:t>
      </w:r>
      <w:r w:rsidR="002F38F5" w:rsidRPr="003A15CE">
        <w:rPr>
          <w:rFonts w:ascii="Times New Roman" w:hAnsi="Times New Roman" w:cs="Times New Roman"/>
        </w:rPr>
        <w:t xml:space="preserve"> </w:t>
      </w:r>
      <w:r w:rsidR="003A15CE" w:rsidRPr="003A15CE">
        <w:rPr>
          <w:rFonts w:ascii="Times New Roman" w:hAnsi="Times New Roman" w:cs="Times New Roman"/>
        </w:rPr>
        <w:t>r</w:t>
      </w:r>
      <w:r w:rsidR="002F38F5" w:rsidRPr="003A15CE">
        <w:rPr>
          <w:rFonts w:ascii="Times New Roman" w:hAnsi="Times New Roman" w:cs="Times New Roman"/>
        </w:rPr>
        <w:t>espondent shall bear costs of suit on attorney-client scale.</w:t>
      </w:r>
      <w:r w:rsidR="00095A93" w:rsidRPr="003A15CE">
        <w:rPr>
          <w:rFonts w:ascii="Times New Roman" w:hAnsi="Times New Roman" w:cs="Times New Roman"/>
        </w:rPr>
        <w:t>”</w:t>
      </w:r>
    </w:p>
    <w:p w:rsidR="00696A7E" w:rsidRPr="005C5537" w:rsidRDefault="00696A7E" w:rsidP="00484D48">
      <w:pPr>
        <w:spacing w:after="0" w:line="360" w:lineRule="auto"/>
        <w:jc w:val="both"/>
        <w:rPr>
          <w:rFonts w:ascii="Times New Roman" w:hAnsi="Times New Roman" w:cs="Times New Roman"/>
          <w:sz w:val="24"/>
          <w:szCs w:val="24"/>
        </w:rPr>
      </w:pPr>
      <w:r w:rsidRPr="005C5537">
        <w:rPr>
          <w:rFonts w:ascii="Times New Roman" w:hAnsi="Times New Roman" w:cs="Times New Roman"/>
          <w:sz w:val="24"/>
          <w:szCs w:val="24"/>
        </w:rPr>
        <w:t xml:space="preserve"> </w:t>
      </w:r>
    </w:p>
    <w:p w:rsidR="00B43086" w:rsidRPr="005C5537" w:rsidRDefault="005C5537" w:rsidP="00484D48">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will start by giving </w:t>
      </w:r>
      <w:r w:rsidR="00696A7E" w:rsidRPr="005C5537">
        <w:rPr>
          <w:rFonts w:ascii="Times New Roman" w:hAnsi="Times New Roman" w:cs="Times New Roman"/>
          <w:sz w:val="24"/>
          <w:szCs w:val="24"/>
        </w:rPr>
        <w:t xml:space="preserve">the summary of the </w:t>
      </w:r>
      <w:r w:rsidR="003A15CE">
        <w:rPr>
          <w:rFonts w:ascii="Times New Roman" w:hAnsi="Times New Roman" w:cs="Times New Roman"/>
          <w:sz w:val="24"/>
          <w:szCs w:val="24"/>
        </w:rPr>
        <w:t>case. On 24 November 2021, the applicant obtained, before this court, provisional order in its favour. The provisional o</w:t>
      </w:r>
      <w:r w:rsidR="00696A7E" w:rsidRPr="005C5537">
        <w:rPr>
          <w:rFonts w:ascii="Times New Roman" w:hAnsi="Times New Roman" w:cs="Times New Roman"/>
          <w:sz w:val="24"/>
          <w:szCs w:val="24"/>
        </w:rPr>
        <w:t>rder had the following terms of interim order:</w:t>
      </w:r>
    </w:p>
    <w:p w:rsidR="0063268E" w:rsidRPr="00484D48" w:rsidRDefault="00095A93" w:rsidP="00484D48">
      <w:pPr>
        <w:spacing w:after="0" w:line="240" w:lineRule="auto"/>
        <w:ind w:left="720"/>
        <w:jc w:val="both"/>
        <w:rPr>
          <w:rFonts w:ascii="Times New Roman" w:hAnsi="Times New Roman" w:cs="Times New Roman"/>
        </w:rPr>
      </w:pPr>
      <w:r w:rsidRPr="005C5537">
        <w:rPr>
          <w:rFonts w:ascii="Times New Roman" w:hAnsi="Times New Roman" w:cs="Times New Roman"/>
          <w:sz w:val="24"/>
          <w:szCs w:val="24"/>
        </w:rPr>
        <w:t>“</w:t>
      </w:r>
      <w:r w:rsidR="0063268E" w:rsidRPr="00484D48">
        <w:rPr>
          <w:rFonts w:ascii="Times New Roman" w:hAnsi="Times New Roman" w:cs="Times New Roman"/>
        </w:rPr>
        <w:t>1</w:t>
      </w:r>
      <w:r w:rsidR="003A15CE" w:rsidRPr="00484D48">
        <w:rPr>
          <w:rFonts w:ascii="Times New Roman" w:hAnsi="Times New Roman" w:cs="Times New Roman"/>
        </w:rPr>
        <w:t xml:space="preserve">. </w:t>
      </w:r>
      <w:r w:rsidR="009265C2" w:rsidRPr="00484D48">
        <w:rPr>
          <w:rFonts w:ascii="Times New Roman" w:hAnsi="Times New Roman" w:cs="Times New Roman"/>
        </w:rPr>
        <w:t>The 1</w:t>
      </w:r>
      <w:r w:rsidR="009265C2" w:rsidRPr="00484D48">
        <w:rPr>
          <w:rFonts w:ascii="Times New Roman" w:hAnsi="Times New Roman" w:cs="Times New Roman"/>
          <w:vertAlign w:val="superscript"/>
        </w:rPr>
        <w:t>st</w:t>
      </w:r>
      <w:r w:rsidR="005C5537" w:rsidRPr="00484D48">
        <w:rPr>
          <w:rFonts w:ascii="Times New Roman" w:hAnsi="Times New Roman" w:cs="Times New Roman"/>
        </w:rPr>
        <w:t xml:space="preserve"> </w:t>
      </w:r>
      <w:r w:rsidR="003A15CE" w:rsidRPr="00484D48">
        <w:rPr>
          <w:rFonts w:ascii="Times New Roman" w:hAnsi="Times New Roman" w:cs="Times New Roman"/>
        </w:rPr>
        <w:t>r</w:t>
      </w:r>
      <w:r w:rsidR="005C5537" w:rsidRPr="00484D48">
        <w:rPr>
          <w:rFonts w:ascii="Times New Roman" w:hAnsi="Times New Roman" w:cs="Times New Roman"/>
        </w:rPr>
        <w:t xml:space="preserve">espondent, his agents, </w:t>
      </w:r>
      <w:r w:rsidR="009265C2" w:rsidRPr="00484D48">
        <w:rPr>
          <w:rFonts w:ascii="Times New Roman" w:hAnsi="Times New Roman" w:cs="Times New Roman"/>
        </w:rPr>
        <w:t>employees and/or assignees be and are hereby</w:t>
      </w:r>
      <w:r w:rsidR="00965EA9" w:rsidRPr="00484D48">
        <w:rPr>
          <w:rFonts w:ascii="Times New Roman" w:hAnsi="Times New Roman" w:cs="Times New Roman"/>
        </w:rPr>
        <w:t xml:space="preserve"> interdicted from:</w:t>
      </w:r>
    </w:p>
    <w:p w:rsidR="00D934EA" w:rsidRPr="00484D48" w:rsidRDefault="00965EA9" w:rsidP="00484D48">
      <w:pPr>
        <w:spacing w:after="0" w:line="240" w:lineRule="auto"/>
        <w:ind w:left="720"/>
        <w:jc w:val="both"/>
        <w:rPr>
          <w:rFonts w:ascii="Times New Roman" w:hAnsi="Times New Roman" w:cs="Times New Roman"/>
        </w:rPr>
      </w:pPr>
      <w:r w:rsidRPr="00484D48">
        <w:rPr>
          <w:rFonts w:ascii="Times New Roman" w:hAnsi="Times New Roman" w:cs="Times New Roman"/>
        </w:rPr>
        <w:t>1.1</w:t>
      </w:r>
      <w:r w:rsidR="00302CFB" w:rsidRPr="00484D48">
        <w:rPr>
          <w:rFonts w:ascii="Times New Roman" w:hAnsi="Times New Roman" w:cs="Times New Roman"/>
        </w:rPr>
        <w:t xml:space="preserve"> Interfering w</w:t>
      </w:r>
      <w:r w:rsidR="0063268E" w:rsidRPr="00484D48">
        <w:rPr>
          <w:rFonts w:ascii="Times New Roman" w:hAnsi="Times New Roman" w:cs="Times New Roman"/>
        </w:rPr>
        <w:t>i</w:t>
      </w:r>
      <w:r w:rsidR="00302CFB" w:rsidRPr="00484D48">
        <w:rPr>
          <w:rFonts w:ascii="Times New Roman" w:hAnsi="Times New Roman" w:cs="Times New Roman"/>
        </w:rPr>
        <w:t xml:space="preserve">th, </w:t>
      </w:r>
      <w:r w:rsidR="00B117A1" w:rsidRPr="00484D48">
        <w:rPr>
          <w:rFonts w:ascii="Times New Roman" w:hAnsi="Times New Roman" w:cs="Times New Roman"/>
        </w:rPr>
        <w:t xml:space="preserve"> or disrupting, the applicant’s </w:t>
      </w:r>
      <w:r w:rsidR="00D934EA" w:rsidRPr="00484D48">
        <w:rPr>
          <w:rFonts w:ascii="Times New Roman" w:hAnsi="Times New Roman" w:cs="Times New Roman"/>
        </w:rPr>
        <w:t>or Applicant’s agents’ mining operations at Trafalgar “A”  mine Battlefields, Kadoma, Registered No. 2461 (hereinafter called Trafalgar Mine).</w:t>
      </w:r>
    </w:p>
    <w:p w:rsidR="00095A93" w:rsidRPr="00484D48" w:rsidRDefault="00D934EA" w:rsidP="00484D48">
      <w:pPr>
        <w:spacing w:after="0" w:line="240" w:lineRule="auto"/>
        <w:ind w:left="720"/>
        <w:jc w:val="both"/>
        <w:rPr>
          <w:rFonts w:ascii="Times New Roman" w:hAnsi="Times New Roman" w:cs="Times New Roman"/>
        </w:rPr>
      </w:pPr>
      <w:r w:rsidRPr="00484D48">
        <w:rPr>
          <w:rFonts w:ascii="Times New Roman" w:hAnsi="Times New Roman" w:cs="Times New Roman"/>
        </w:rPr>
        <w:t>1.2</w:t>
      </w:r>
      <w:r w:rsidR="008B3B2E" w:rsidRPr="00484D48">
        <w:rPr>
          <w:rFonts w:ascii="Times New Roman" w:hAnsi="Times New Roman" w:cs="Times New Roman"/>
        </w:rPr>
        <w:t xml:space="preserve"> removing or processing any gold ore from, or carrying out any mining or other act</w:t>
      </w:r>
      <w:r w:rsidR="00C60101">
        <w:rPr>
          <w:rFonts w:ascii="Times New Roman" w:hAnsi="Times New Roman" w:cs="Times New Roman"/>
        </w:rPr>
        <w:t>ivity that interferes with the a</w:t>
      </w:r>
      <w:r w:rsidR="008B3B2E" w:rsidRPr="00484D48">
        <w:rPr>
          <w:rFonts w:ascii="Times New Roman" w:hAnsi="Times New Roman" w:cs="Times New Roman"/>
        </w:rPr>
        <w:t>pplicant’s use and occupation of,  Trafalgar Mine.</w:t>
      </w:r>
    </w:p>
    <w:p w:rsidR="00484D48" w:rsidRDefault="0063268E" w:rsidP="00484D48">
      <w:pPr>
        <w:spacing w:after="0" w:line="240" w:lineRule="auto"/>
        <w:ind w:firstLine="720"/>
        <w:jc w:val="both"/>
        <w:rPr>
          <w:rFonts w:ascii="Times New Roman" w:hAnsi="Times New Roman" w:cs="Times New Roman"/>
        </w:rPr>
      </w:pPr>
      <w:r w:rsidRPr="00484D48">
        <w:rPr>
          <w:rFonts w:ascii="Times New Roman" w:hAnsi="Times New Roman" w:cs="Times New Roman"/>
        </w:rPr>
        <w:lastRenderedPageBreak/>
        <w:t>2.</w:t>
      </w:r>
      <w:r w:rsidR="005C5537" w:rsidRPr="00484D48">
        <w:rPr>
          <w:rFonts w:ascii="Times New Roman" w:hAnsi="Times New Roman" w:cs="Times New Roman"/>
        </w:rPr>
        <w:t xml:space="preserve"> Costs shall be in the </w:t>
      </w:r>
      <w:r w:rsidR="002822C7" w:rsidRPr="00484D48">
        <w:rPr>
          <w:rFonts w:ascii="Times New Roman" w:hAnsi="Times New Roman" w:cs="Times New Roman"/>
        </w:rPr>
        <w:t>cause.</w:t>
      </w:r>
      <w:r w:rsidR="00095A93" w:rsidRPr="00484D48">
        <w:rPr>
          <w:rFonts w:ascii="Times New Roman" w:hAnsi="Times New Roman" w:cs="Times New Roman"/>
        </w:rPr>
        <w:t>”</w:t>
      </w:r>
    </w:p>
    <w:p w:rsidR="00FA47CC" w:rsidRPr="00484D48" w:rsidRDefault="00FA47CC" w:rsidP="00484D48">
      <w:pPr>
        <w:spacing w:after="0" w:line="240" w:lineRule="auto"/>
        <w:ind w:firstLine="720"/>
        <w:jc w:val="both"/>
        <w:rPr>
          <w:rFonts w:ascii="Times New Roman" w:hAnsi="Times New Roman" w:cs="Times New Roman"/>
        </w:rPr>
      </w:pPr>
    </w:p>
    <w:p w:rsidR="00903415" w:rsidRPr="005C5537" w:rsidRDefault="00F00F59" w:rsidP="00484D48">
      <w:pPr>
        <w:spacing w:after="0" w:line="360" w:lineRule="auto"/>
        <w:ind w:firstLine="720"/>
        <w:jc w:val="both"/>
        <w:rPr>
          <w:rFonts w:ascii="Times New Roman" w:hAnsi="Times New Roman" w:cs="Times New Roman"/>
          <w:sz w:val="24"/>
          <w:szCs w:val="24"/>
        </w:rPr>
      </w:pPr>
      <w:r w:rsidRPr="005C5537">
        <w:rPr>
          <w:rFonts w:ascii="Times New Roman" w:hAnsi="Times New Roman" w:cs="Times New Roman"/>
          <w:sz w:val="24"/>
          <w:szCs w:val="24"/>
        </w:rPr>
        <w:t xml:space="preserve">On 26 </w:t>
      </w:r>
      <w:r w:rsidR="0033709B" w:rsidRPr="005C5537">
        <w:rPr>
          <w:rFonts w:ascii="Times New Roman" w:hAnsi="Times New Roman" w:cs="Times New Roman"/>
          <w:sz w:val="24"/>
          <w:szCs w:val="24"/>
        </w:rPr>
        <w:t>November 2021, the 1</w:t>
      </w:r>
      <w:r w:rsidR="0033709B" w:rsidRPr="005C5537">
        <w:rPr>
          <w:rFonts w:ascii="Times New Roman" w:hAnsi="Times New Roman" w:cs="Times New Roman"/>
          <w:sz w:val="24"/>
          <w:szCs w:val="24"/>
          <w:vertAlign w:val="superscript"/>
        </w:rPr>
        <w:t>st</w:t>
      </w:r>
      <w:r w:rsidR="003A15CE">
        <w:rPr>
          <w:rFonts w:ascii="Times New Roman" w:hAnsi="Times New Roman" w:cs="Times New Roman"/>
          <w:sz w:val="24"/>
          <w:szCs w:val="24"/>
        </w:rPr>
        <w:t xml:space="preserve"> r</w:t>
      </w:r>
      <w:r w:rsidR="0033709B" w:rsidRPr="005C5537">
        <w:rPr>
          <w:rFonts w:ascii="Times New Roman" w:hAnsi="Times New Roman" w:cs="Times New Roman"/>
          <w:sz w:val="24"/>
          <w:szCs w:val="24"/>
        </w:rPr>
        <w:t xml:space="preserve">espondent </w:t>
      </w:r>
      <w:r w:rsidR="00615D51" w:rsidRPr="005C5537">
        <w:rPr>
          <w:rFonts w:ascii="Times New Roman" w:hAnsi="Times New Roman" w:cs="Times New Roman"/>
          <w:sz w:val="24"/>
          <w:szCs w:val="24"/>
        </w:rPr>
        <w:t xml:space="preserve">noted an appeal against the decision of </w:t>
      </w:r>
      <w:r w:rsidR="0027016C" w:rsidRPr="005C5537">
        <w:rPr>
          <w:rFonts w:ascii="Times New Roman" w:hAnsi="Times New Roman" w:cs="Times New Roman"/>
          <w:sz w:val="24"/>
          <w:szCs w:val="24"/>
        </w:rPr>
        <w:t xml:space="preserve">24 November 2021. </w:t>
      </w:r>
      <w:r w:rsidR="00250269" w:rsidRPr="005C5537">
        <w:rPr>
          <w:rFonts w:ascii="Times New Roman" w:hAnsi="Times New Roman" w:cs="Times New Roman"/>
          <w:sz w:val="24"/>
          <w:szCs w:val="24"/>
        </w:rPr>
        <w:t xml:space="preserve">The appeal is still pending. </w:t>
      </w:r>
      <w:r w:rsidR="00B90C7B" w:rsidRPr="005C5537">
        <w:rPr>
          <w:rFonts w:ascii="Times New Roman" w:hAnsi="Times New Roman" w:cs="Times New Roman"/>
          <w:sz w:val="24"/>
          <w:szCs w:val="24"/>
        </w:rPr>
        <w:t>The 1</w:t>
      </w:r>
      <w:r w:rsidR="00B90C7B" w:rsidRPr="005C5537">
        <w:rPr>
          <w:rFonts w:ascii="Times New Roman" w:hAnsi="Times New Roman" w:cs="Times New Roman"/>
          <w:sz w:val="24"/>
          <w:szCs w:val="24"/>
          <w:vertAlign w:val="superscript"/>
        </w:rPr>
        <w:t>st</w:t>
      </w:r>
      <w:r w:rsidR="00B90C7B" w:rsidRPr="005C5537">
        <w:rPr>
          <w:rFonts w:ascii="Times New Roman" w:hAnsi="Times New Roman" w:cs="Times New Roman"/>
          <w:sz w:val="24"/>
          <w:szCs w:val="24"/>
        </w:rPr>
        <w:t xml:space="preserve"> </w:t>
      </w:r>
      <w:r w:rsidR="007369DE">
        <w:rPr>
          <w:rFonts w:ascii="Times New Roman" w:hAnsi="Times New Roman" w:cs="Times New Roman"/>
          <w:sz w:val="24"/>
          <w:szCs w:val="24"/>
        </w:rPr>
        <w:t>r</w:t>
      </w:r>
      <w:r w:rsidR="00B90C7B" w:rsidRPr="005C5537">
        <w:rPr>
          <w:rFonts w:ascii="Times New Roman" w:hAnsi="Times New Roman" w:cs="Times New Roman"/>
          <w:sz w:val="24"/>
          <w:szCs w:val="24"/>
        </w:rPr>
        <w:t>espondent’s</w:t>
      </w:r>
      <w:r w:rsidR="00903415" w:rsidRPr="005C5537">
        <w:rPr>
          <w:rFonts w:ascii="Times New Roman" w:hAnsi="Times New Roman" w:cs="Times New Roman"/>
          <w:sz w:val="24"/>
          <w:szCs w:val="24"/>
        </w:rPr>
        <w:t xml:space="preserve"> grounds of appeal are as follows:</w:t>
      </w:r>
    </w:p>
    <w:p w:rsidR="00A2283B" w:rsidRPr="007369DE" w:rsidRDefault="00095A93" w:rsidP="00484D48">
      <w:pPr>
        <w:spacing w:after="0" w:line="240" w:lineRule="auto"/>
        <w:ind w:left="720" w:hanging="436"/>
        <w:jc w:val="both"/>
        <w:rPr>
          <w:rFonts w:ascii="Times New Roman" w:hAnsi="Times New Roman" w:cs="Times New Roman"/>
        </w:rPr>
      </w:pPr>
      <w:r w:rsidRPr="005C5537">
        <w:rPr>
          <w:rFonts w:ascii="Times New Roman" w:hAnsi="Times New Roman" w:cs="Times New Roman"/>
          <w:sz w:val="24"/>
          <w:szCs w:val="24"/>
        </w:rPr>
        <w:t xml:space="preserve">“1. </w:t>
      </w:r>
      <w:r w:rsidR="00A2283B" w:rsidRPr="007369DE">
        <w:rPr>
          <w:rFonts w:ascii="Times New Roman" w:hAnsi="Times New Roman" w:cs="Times New Roman"/>
        </w:rPr>
        <w:t xml:space="preserve">The court </w:t>
      </w:r>
      <w:r w:rsidR="00A2283B" w:rsidRPr="007369DE">
        <w:rPr>
          <w:rFonts w:ascii="Times New Roman" w:hAnsi="Times New Roman" w:cs="Times New Roman"/>
          <w:i/>
        </w:rPr>
        <w:t>a</w:t>
      </w:r>
      <w:r w:rsidR="007369DE" w:rsidRPr="007369DE">
        <w:rPr>
          <w:rFonts w:ascii="Times New Roman" w:hAnsi="Times New Roman" w:cs="Times New Roman"/>
          <w:i/>
        </w:rPr>
        <w:t xml:space="preserve"> </w:t>
      </w:r>
      <w:r w:rsidR="00A2283B" w:rsidRPr="007369DE">
        <w:rPr>
          <w:rFonts w:ascii="Times New Roman" w:hAnsi="Times New Roman" w:cs="Times New Roman"/>
          <w:i/>
        </w:rPr>
        <w:t>quo</w:t>
      </w:r>
      <w:r w:rsidR="00A2283B" w:rsidRPr="007369DE">
        <w:rPr>
          <w:rFonts w:ascii="Times New Roman" w:hAnsi="Times New Roman" w:cs="Times New Roman"/>
        </w:rPr>
        <w:t xml:space="preserve"> misdirected itself in fact and in law in finding that 1</w:t>
      </w:r>
      <w:r w:rsidR="00A2283B" w:rsidRPr="007369DE">
        <w:rPr>
          <w:rFonts w:ascii="Times New Roman" w:hAnsi="Times New Roman" w:cs="Times New Roman"/>
          <w:vertAlign w:val="superscript"/>
        </w:rPr>
        <w:t>st</w:t>
      </w:r>
      <w:r w:rsidR="007369DE" w:rsidRPr="007369DE">
        <w:rPr>
          <w:rFonts w:ascii="Times New Roman" w:hAnsi="Times New Roman" w:cs="Times New Roman"/>
        </w:rPr>
        <w:t xml:space="preserve"> r</w:t>
      </w:r>
      <w:r w:rsidR="00A2283B" w:rsidRPr="007369DE">
        <w:rPr>
          <w:rFonts w:ascii="Times New Roman" w:hAnsi="Times New Roman" w:cs="Times New Roman"/>
        </w:rPr>
        <w:t xml:space="preserve">espondent had established a </w:t>
      </w:r>
      <w:r w:rsidR="00A2283B" w:rsidRPr="007369DE">
        <w:rPr>
          <w:rFonts w:ascii="Times New Roman" w:hAnsi="Times New Roman" w:cs="Times New Roman"/>
          <w:i/>
        </w:rPr>
        <w:t>prima facie</w:t>
      </w:r>
      <w:r w:rsidR="00A2283B" w:rsidRPr="007369DE">
        <w:rPr>
          <w:rFonts w:ascii="Times New Roman" w:hAnsi="Times New Roman" w:cs="Times New Roman"/>
        </w:rPr>
        <w:t xml:space="preserve"> right yet there were material disputes of facts regarding the l</w:t>
      </w:r>
      <w:r w:rsidR="005C5537" w:rsidRPr="007369DE">
        <w:rPr>
          <w:rFonts w:ascii="Times New Roman" w:hAnsi="Times New Roman" w:cs="Times New Roman"/>
        </w:rPr>
        <w:t>ocation of</w:t>
      </w:r>
      <w:r w:rsidR="00A2283B" w:rsidRPr="007369DE">
        <w:rPr>
          <w:rFonts w:ascii="Times New Roman" w:hAnsi="Times New Roman" w:cs="Times New Roman"/>
        </w:rPr>
        <w:t xml:space="preserve"> 1</w:t>
      </w:r>
      <w:r w:rsidR="00A2283B" w:rsidRPr="007369DE">
        <w:rPr>
          <w:rFonts w:ascii="Times New Roman" w:hAnsi="Times New Roman" w:cs="Times New Roman"/>
          <w:vertAlign w:val="superscript"/>
        </w:rPr>
        <w:t>st</w:t>
      </w:r>
      <w:r w:rsidR="005C5537" w:rsidRPr="007369DE">
        <w:rPr>
          <w:rFonts w:ascii="Times New Roman" w:hAnsi="Times New Roman" w:cs="Times New Roman"/>
        </w:rPr>
        <w:t xml:space="preserve"> </w:t>
      </w:r>
      <w:r w:rsidR="007369DE" w:rsidRPr="007369DE">
        <w:rPr>
          <w:rFonts w:ascii="Times New Roman" w:hAnsi="Times New Roman" w:cs="Times New Roman"/>
        </w:rPr>
        <w:t>r</w:t>
      </w:r>
      <w:r w:rsidR="005C5537" w:rsidRPr="007369DE">
        <w:rPr>
          <w:rFonts w:ascii="Times New Roman" w:hAnsi="Times New Roman" w:cs="Times New Roman"/>
        </w:rPr>
        <w:t>espondent and</w:t>
      </w:r>
      <w:r w:rsidR="007369DE" w:rsidRPr="007369DE">
        <w:rPr>
          <w:rFonts w:ascii="Times New Roman" w:hAnsi="Times New Roman" w:cs="Times New Roman"/>
        </w:rPr>
        <w:t xml:space="preserve"> the a</w:t>
      </w:r>
      <w:r w:rsidR="00A2283B" w:rsidRPr="007369DE">
        <w:rPr>
          <w:rFonts w:ascii="Times New Roman" w:hAnsi="Times New Roman" w:cs="Times New Roman"/>
        </w:rPr>
        <w:t>ppe</w:t>
      </w:r>
      <w:r w:rsidRPr="007369DE">
        <w:rPr>
          <w:rFonts w:ascii="Times New Roman" w:hAnsi="Times New Roman" w:cs="Times New Roman"/>
        </w:rPr>
        <w:t>l</w:t>
      </w:r>
      <w:r w:rsidR="00A2283B" w:rsidRPr="007369DE">
        <w:rPr>
          <w:rFonts w:ascii="Times New Roman" w:hAnsi="Times New Roman" w:cs="Times New Roman"/>
        </w:rPr>
        <w:t>lant’s mining location which were incapable of resolution on the papers and it was an appropriate case to refer to 2</w:t>
      </w:r>
      <w:r w:rsidR="00A2283B" w:rsidRPr="007369DE">
        <w:rPr>
          <w:rFonts w:ascii="Times New Roman" w:hAnsi="Times New Roman" w:cs="Times New Roman"/>
          <w:vertAlign w:val="superscript"/>
        </w:rPr>
        <w:t>nd</w:t>
      </w:r>
      <w:r w:rsidR="007369DE" w:rsidRPr="007369DE">
        <w:rPr>
          <w:rFonts w:ascii="Times New Roman" w:hAnsi="Times New Roman" w:cs="Times New Roman"/>
        </w:rPr>
        <w:t xml:space="preserve"> r</w:t>
      </w:r>
      <w:r w:rsidR="00A2283B" w:rsidRPr="007369DE">
        <w:rPr>
          <w:rFonts w:ascii="Times New Roman" w:hAnsi="Times New Roman" w:cs="Times New Roman"/>
        </w:rPr>
        <w:t xml:space="preserve">espondent in terms of </w:t>
      </w:r>
      <w:r w:rsidR="007369DE" w:rsidRPr="007369DE">
        <w:rPr>
          <w:rFonts w:ascii="Times New Roman" w:hAnsi="Times New Roman" w:cs="Times New Roman"/>
        </w:rPr>
        <w:t>s</w:t>
      </w:r>
      <w:r w:rsidR="00A2283B" w:rsidRPr="007369DE">
        <w:rPr>
          <w:rFonts w:ascii="Times New Roman" w:hAnsi="Times New Roman" w:cs="Times New Roman"/>
        </w:rPr>
        <w:t xml:space="preserve"> 345(1) of Mines and Minerals</w:t>
      </w:r>
      <w:r w:rsidR="00814684" w:rsidRPr="007369DE">
        <w:rPr>
          <w:rFonts w:ascii="Times New Roman" w:hAnsi="Times New Roman" w:cs="Times New Roman"/>
        </w:rPr>
        <w:t xml:space="preserve"> Act </w:t>
      </w:r>
      <w:r w:rsidR="007369DE" w:rsidRPr="007369DE">
        <w:rPr>
          <w:rFonts w:ascii="Times New Roman" w:hAnsi="Times New Roman" w:cs="Times New Roman"/>
        </w:rPr>
        <w:t>[</w:t>
      </w:r>
      <w:r w:rsidR="00A2283B" w:rsidRPr="007369DE">
        <w:rPr>
          <w:rFonts w:ascii="Times New Roman" w:hAnsi="Times New Roman" w:cs="Times New Roman"/>
          <w:i/>
        </w:rPr>
        <w:t>Chapter 21:05</w:t>
      </w:r>
      <w:r w:rsidR="007369DE" w:rsidRPr="007369DE">
        <w:rPr>
          <w:rFonts w:ascii="Times New Roman" w:hAnsi="Times New Roman" w:cs="Times New Roman"/>
        </w:rPr>
        <w:t>]</w:t>
      </w:r>
      <w:r w:rsidR="00A2283B" w:rsidRPr="007369DE">
        <w:rPr>
          <w:rFonts w:ascii="Times New Roman" w:hAnsi="Times New Roman" w:cs="Times New Roman"/>
        </w:rPr>
        <w:t>.</w:t>
      </w:r>
    </w:p>
    <w:p w:rsidR="00186985" w:rsidRPr="007369DE" w:rsidRDefault="006B5D84" w:rsidP="00484D48">
      <w:pPr>
        <w:pStyle w:val="ListParagraph"/>
        <w:numPr>
          <w:ilvl w:val="0"/>
          <w:numId w:val="4"/>
        </w:numPr>
        <w:spacing w:after="0" w:line="240" w:lineRule="auto"/>
        <w:jc w:val="both"/>
        <w:rPr>
          <w:rFonts w:ascii="Times New Roman" w:hAnsi="Times New Roman" w:cs="Times New Roman"/>
        </w:rPr>
      </w:pPr>
      <w:r w:rsidRPr="007369DE">
        <w:rPr>
          <w:rFonts w:ascii="Times New Roman" w:hAnsi="Times New Roman" w:cs="Times New Roman"/>
        </w:rPr>
        <w:t xml:space="preserve">The court </w:t>
      </w:r>
      <w:r w:rsidRPr="007369DE">
        <w:rPr>
          <w:rFonts w:ascii="Times New Roman" w:hAnsi="Times New Roman" w:cs="Times New Roman"/>
          <w:i/>
        </w:rPr>
        <w:t>a</w:t>
      </w:r>
      <w:r w:rsidR="007369DE" w:rsidRPr="007369DE">
        <w:rPr>
          <w:rFonts w:ascii="Times New Roman" w:hAnsi="Times New Roman" w:cs="Times New Roman"/>
          <w:i/>
        </w:rPr>
        <w:t xml:space="preserve"> </w:t>
      </w:r>
      <w:r w:rsidRPr="007369DE">
        <w:rPr>
          <w:rFonts w:ascii="Times New Roman" w:hAnsi="Times New Roman" w:cs="Times New Roman"/>
          <w:i/>
        </w:rPr>
        <w:t>quo</w:t>
      </w:r>
      <w:r w:rsidRPr="007369DE">
        <w:rPr>
          <w:rFonts w:ascii="Times New Roman" w:hAnsi="Times New Roman" w:cs="Times New Roman"/>
        </w:rPr>
        <w:t xml:space="preserve"> erred and misdirected itsel</w:t>
      </w:r>
      <w:r w:rsidR="007369DE" w:rsidRPr="007369DE">
        <w:rPr>
          <w:rFonts w:ascii="Times New Roman" w:hAnsi="Times New Roman" w:cs="Times New Roman"/>
        </w:rPr>
        <w:t>f in failing to give regard to the a</w:t>
      </w:r>
      <w:r w:rsidRPr="007369DE">
        <w:rPr>
          <w:rFonts w:ascii="Times New Roman" w:hAnsi="Times New Roman" w:cs="Times New Roman"/>
        </w:rPr>
        <w:t>ppellant’s prospecting licence map and diagram placed before it showing the location of 1</w:t>
      </w:r>
      <w:r w:rsidRPr="007369DE">
        <w:rPr>
          <w:rFonts w:ascii="Times New Roman" w:hAnsi="Times New Roman" w:cs="Times New Roman"/>
          <w:vertAlign w:val="superscript"/>
        </w:rPr>
        <w:t>st</w:t>
      </w:r>
      <w:r w:rsidR="007369DE" w:rsidRPr="007369DE">
        <w:rPr>
          <w:rFonts w:ascii="Times New Roman" w:hAnsi="Times New Roman" w:cs="Times New Roman"/>
        </w:rPr>
        <w:t xml:space="preserve"> r</w:t>
      </w:r>
      <w:r w:rsidRPr="007369DE">
        <w:rPr>
          <w:rFonts w:ascii="Times New Roman" w:hAnsi="Times New Roman" w:cs="Times New Roman"/>
        </w:rPr>
        <w:t xml:space="preserve">espondent’s claim where he had restricted his prospecting activities which put serious doubt on the assertions that </w:t>
      </w:r>
      <w:r w:rsidR="007369DE" w:rsidRPr="007369DE">
        <w:rPr>
          <w:rFonts w:ascii="Times New Roman" w:hAnsi="Times New Roman" w:cs="Times New Roman"/>
        </w:rPr>
        <w:t>the a</w:t>
      </w:r>
      <w:r w:rsidRPr="007369DE">
        <w:rPr>
          <w:rFonts w:ascii="Times New Roman" w:hAnsi="Times New Roman" w:cs="Times New Roman"/>
        </w:rPr>
        <w:t>ppellant was carrying out illegal activities at Trafalgar “A” Mine Battlefields.</w:t>
      </w:r>
    </w:p>
    <w:p w:rsidR="00191AB2" w:rsidRPr="007369DE" w:rsidRDefault="00186985" w:rsidP="00484D48">
      <w:pPr>
        <w:pStyle w:val="ListParagraph"/>
        <w:numPr>
          <w:ilvl w:val="0"/>
          <w:numId w:val="4"/>
        </w:numPr>
        <w:spacing w:after="0" w:line="240" w:lineRule="auto"/>
        <w:jc w:val="both"/>
        <w:rPr>
          <w:rFonts w:ascii="Times New Roman" w:hAnsi="Times New Roman" w:cs="Times New Roman"/>
        </w:rPr>
      </w:pPr>
      <w:r w:rsidRPr="007369DE">
        <w:rPr>
          <w:rFonts w:ascii="Times New Roman" w:hAnsi="Times New Roman" w:cs="Times New Roman"/>
        </w:rPr>
        <w:t xml:space="preserve">The court </w:t>
      </w:r>
      <w:r w:rsidR="009121C6" w:rsidRPr="007369DE">
        <w:rPr>
          <w:rFonts w:ascii="Times New Roman" w:hAnsi="Times New Roman" w:cs="Times New Roman"/>
          <w:i/>
        </w:rPr>
        <w:t>a</w:t>
      </w:r>
      <w:r w:rsidR="007369DE" w:rsidRPr="007369DE">
        <w:rPr>
          <w:rFonts w:ascii="Times New Roman" w:hAnsi="Times New Roman" w:cs="Times New Roman"/>
          <w:i/>
        </w:rPr>
        <w:t xml:space="preserve"> </w:t>
      </w:r>
      <w:r w:rsidR="009121C6" w:rsidRPr="007369DE">
        <w:rPr>
          <w:rFonts w:ascii="Times New Roman" w:hAnsi="Times New Roman" w:cs="Times New Roman"/>
          <w:i/>
        </w:rPr>
        <w:t xml:space="preserve">quo </w:t>
      </w:r>
      <w:r w:rsidR="009121C6" w:rsidRPr="007369DE">
        <w:rPr>
          <w:rFonts w:ascii="Times New Roman" w:hAnsi="Times New Roman" w:cs="Times New Roman"/>
        </w:rPr>
        <w:t>acted</w:t>
      </w:r>
      <w:r w:rsidRPr="007369DE">
        <w:rPr>
          <w:rFonts w:ascii="Times New Roman" w:hAnsi="Times New Roman" w:cs="Times New Roman"/>
        </w:rPr>
        <w:t xml:space="preserve"> injudiciously and erroneously in fact and at law in</w:t>
      </w:r>
      <w:r w:rsidR="007369DE" w:rsidRPr="007369DE">
        <w:rPr>
          <w:rFonts w:ascii="Times New Roman" w:hAnsi="Times New Roman" w:cs="Times New Roman"/>
        </w:rPr>
        <w:t xml:space="preserve"> finding without evidence that the a</w:t>
      </w:r>
      <w:r w:rsidRPr="007369DE">
        <w:rPr>
          <w:rFonts w:ascii="Times New Roman" w:hAnsi="Times New Roman" w:cs="Times New Roman"/>
        </w:rPr>
        <w:t>ppellant was carrying out illegal mining activities on 1</w:t>
      </w:r>
      <w:r w:rsidRPr="007369DE">
        <w:rPr>
          <w:rFonts w:ascii="Times New Roman" w:hAnsi="Times New Roman" w:cs="Times New Roman"/>
          <w:vertAlign w:val="superscript"/>
        </w:rPr>
        <w:t>st</w:t>
      </w:r>
      <w:r w:rsidR="007369DE" w:rsidRPr="007369DE">
        <w:rPr>
          <w:rFonts w:ascii="Times New Roman" w:hAnsi="Times New Roman" w:cs="Times New Roman"/>
        </w:rPr>
        <w:t xml:space="preserve"> respondent’s mine yet 1</w:t>
      </w:r>
      <w:r w:rsidR="007369DE" w:rsidRPr="007369DE">
        <w:rPr>
          <w:rFonts w:ascii="Times New Roman" w:hAnsi="Times New Roman" w:cs="Times New Roman"/>
          <w:vertAlign w:val="superscript"/>
        </w:rPr>
        <w:t>st</w:t>
      </w:r>
      <w:r w:rsidR="007369DE" w:rsidRPr="007369DE">
        <w:rPr>
          <w:rFonts w:ascii="Times New Roman" w:hAnsi="Times New Roman" w:cs="Times New Roman"/>
        </w:rPr>
        <w:t xml:space="preserve"> r</w:t>
      </w:r>
      <w:r w:rsidRPr="007369DE">
        <w:rPr>
          <w:rFonts w:ascii="Times New Roman" w:hAnsi="Times New Roman" w:cs="Times New Roman"/>
        </w:rPr>
        <w:t xml:space="preserve">espondent had not attached any map, diagram or co-ordinates to show the exact location of </w:t>
      </w:r>
      <w:r w:rsidR="007369DE" w:rsidRPr="007369DE">
        <w:rPr>
          <w:rFonts w:ascii="Times New Roman" w:hAnsi="Times New Roman" w:cs="Times New Roman"/>
        </w:rPr>
        <w:t>its mining location since both the a</w:t>
      </w:r>
      <w:r w:rsidRPr="007369DE">
        <w:rPr>
          <w:rFonts w:ascii="Times New Roman" w:hAnsi="Times New Roman" w:cs="Times New Roman"/>
        </w:rPr>
        <w:t>ppellants and 1</w:t>
      </w:r>
      <w:r w:rsidRPr="007369DE">
        <w:rPr>
          <w:rFonts w:ascii="Times New Roman" w:hAnsi="Times New Roman" w:cs="Times New Roman"/>
          <w:vertAlign w:val="superscript"/>
        </w:rPr>
        <w:t>st</w:t>
      </w:r>
      <w:r w:rsidRPr="007369DE">
        <w:rPr>
          <w:rFonts w:ascii="Times New Roman" w:hAnsi="Times New Roman" w:cs="Times New Roman"/>
        </w:rPr>
        <w:t xml:space="preserve"> </w:t>
      </w:r>
      <w:r w:rsidR="007369DE" w:rsidRPr="007369DE">
        <w:rPr>
          <w:rFonts w:ascii="Times New Roman" w:hAnsi="Times New Roman" w:cs="Times New Roman"/>
        </w:rPr>
        <w:t>r</w:t>
      </w:r>
      <w:r w:rsidRPr="007369DE">
        <w:rPr>
          <w:rFonts w:ascii="Times New Roman" w:hAnsi="Times New Roman" w:cs="Times New Roman"/>
        </w:rPr>
        <w:t xml:space="preserve">espondents have </w:t>
      </w:r>
      <w:r w:rsidR="00191AB2" w:rsidRPr="007369DE">
        <w:rPr>
          <w:rFonts w:ascii="Times New Roman" w:hAnsi="Times New Roman" w:cs="Times New Roman"/>
        </w:rPr>
        <w:t>mining rights at Trafalgar farm.</w:t>
      </w:r>
    </w:p>
    <w:p w:rsidR="00191AB2" w:rsidRDefault="00CD7BD4" w:rsidP="00484D48">
      <w:pPr>
        <w:pStyle w:val="ListParagraph"/>
        <w:numPr>
          <w:ilvl w:val="0"/>
          <w:numId w:val="4"/>
        </w:numPr>
        <w:spacing w:after="0" w:line="240" w:lineRule="auto"/>
        <w:jc w:val="both"/>
        <w:rPr>
          <w:rFonts w:ascii="Times New Roman" w:hAnsi="Times New Roman" w:cs="Times New Roman"/>
        </w:rPr>
      </w:pPr>
      <w:r w:rsidRPr="007369DE">
        <w:rPr>
          <w:rFonts w:ascii="Times New Roman" w:hAnsi="Times New Roman" w:cs="Times New Roman"/>
        </w:rPr>
        <w:t xml:space="preserve">The court </w:t>
      </w:r>
      <w:r w:rsidRPr="007369DE">
        <w:rPr>
          <w:rFonts w:ascii="Times New Roman" w:hAnsi="Times New Roman" w:cs="Times New Roman"/>
          <w:i/>
        </w:rPr>
        <w:t>a</w:t>
      </w:r>
      <w:r w:rsidR="007369DE" w:rsidRPr="007369DE">
        <w:rPr>
          <w:rFonts w:ascii="Times New Roman" w:hAnsi="Times New Roman" w:cs="Times New Roman"/>
          <w:i/>
        </w:rPr>
        <w:t xml:space="preserve"> </w:t>
      </w:r>
      <w:r w:rsidRPr="007369DE">
        <w:rPr>
          <w:rFonts w:ascii="Times New Roman" w:hAnsi="Times New Roman" w:cs="Times New Roman"/>
          <w:i/>
        </w:rPr>
        <w:t>quo</w:t>
      </w:r>
      <w:r w:rsidRPr="007369DE">
        <w:rPr>
          <w:rFonts w:ascii="Times New Roman" w:hAnsi="Times New Roman" w:cs="Times New Roman"/>
        </w:rPr>
        <w:t xml:space="preserve"> erred in finding without evidence that there were no other satisfactory remedies available to 1</w:t>
      </w:r>
      <w:r w:rsidRPr="007369DE">
        <w:rPr>
          <w:rFonts w:ascii="Times New Roman" w:hAnsi="Times New Roman" w:cs="Times New Roman"/>
          <w:vertAlign w:val="superscript"/>
        </w:rPr>
        <w:t>st</w:t>
      </w:r>
      <w:r w:rsidR="007369DE" w:rsidRPr="007369DE">
        <w:rPr>
          <w:rFonts w:ascii="Times New Roman" w:hAnsi="Times New Roman" w:cs="Times New Roman"/>
        </w:rPr>
        <w:t xml:space="preserve"> r</w:t>
      </w:r>
      <w:r w:rsidRPr="007369DE">
        <w:rPr>
          <w:rFonts w:ascii="Times New Roman" w:hAnsi="Times New Roman" w:cs="Times New Roman"/>
        </w:rPr>
        <w:t>espondent yet the syndicate had not utilised the provisions of the Mines and Minerals Act to redress any claims.</w:t>
      </w:r>
      <w:r w:rsidR="00191AB2" w:rsidRPr="007369DE">
        <w:rPr>
          <w:rFonts w:ascii="Times New Roman" w:hAnsi="Times New Roman" w:cs="Times New Roman"/>
        </w:rPr>
        <w:t>”</w:t>
      </w:r>
    </w:p>
    <w:p w:rsidR="00D02E88" w:rsidRPr="007369DE" w:rsidRDefault="00D02E88" w:rsidP="00D02E88">
      <w:pPr>
        <w:pStyle w:val="ListParagraph"/>
        <w:spacing w:after="0" w:line="240" w:lineRule="auto"/>
        <w:jc w:val="both"/>
        <w:rPr>
          <w:rFonts w:ascii="Times New Roman" w:hAnsi="Times New Roman" w:cs="Times New Roman"/>
        </w:rPr>
      </w:pPr>
    </w:p>
    <w:p w:rsidR="005E0573" w:rsidRPr="005C5537" w:rsidRDefault="00D91D23" w:rsidP="00484D48">
      <w:pPr>
        <w:spacing w:after="0" w:line="360" w:lineRule="auto"/>
        <w:ind w:firstLine="720"/>
        <w:jc w:val="both"/>
        <w:rPr>
          <w:rFonts w:ascii="Times New Roman" w:hAnsi="Times New Roman" w:cs="Times New Roman"/>
          <w:sz w:val="24"/>
          <w:szCs w:val="24"/>
        </w:rPr>
      </w:pPr>
      <w:r w:rsidRPr="005C5537">
        <w:rPr>
          <w:rFonts w:ascii="Times New Roman" w:hAnsi="Times New Roman" w:cs="Times New Roman"/>
          <w:sz w:val="24"/>
          <w:szCs w:val="24"/>
        </w:rPr>
        <w:t>T</w:t>
      </w:r>
      <w:r w:rsidR="007369DE">
        <w:rPr>
          <w:rFonts w:ascii="Times New Roman" w:hAnsi="Times New Roman" w:cs="Times New Roman"/>
          <w:sz w:val="24"/>
          <w:szCs w:val="24"/>
        </w:rPr>
        <w:t>he a</w:t>
      </w:r>
      <w:r w:rsidRPr="005C5537">
        <w:rPr>
          <w:rFonts w:ascii="Times New Roman" w:hAnsi="Times New Roman" w:cs="Times New Roman"/>
          <w:sz w:val="24"/>
          <w:szCs w:val="24"/>
        </w:rPr>
        <w:t>pplicant and Geodynamics (Pvt) Ltd   entered into a tribut</w:t>
      </w:r>
      <w:r w:rsidR="005C5537">
        <w:rPr>
          <w:rFonts w:ascii="Times New Roman" w:hAnsi="Times New Roman" w:cs="Times New Roman"/>
          <w:sz w:val="24"/>
          <w:szCs w:val="24"/>
        </w:rPr>
        <w:t xml:space="preserve">e </w:t>
      </w:r>
      <w:r w:rsidRPr="005C5537">
        <w:rPr>
          <w:rFonts w:ascii="Times New Roman" w:hAnsi="Times New Roman" w:cs="Times New Roman"/>
          <w:sz w:val="24"/>
          <w:szCs w:val="24"/>
        </w:rPr>
        <w:t xml:space="preserve">agreement where the latter </w:t>
      </w:r>
      <w:r w:rsidR="00967732" w:rsidRPr="005C5537">
        <w:rPr>
          <w:rFonts w:ascii="Times New Roman" w:hAnsi="Times New Roman" w:cs="Times New Roman"/>
          <w:sz w:val="24"/>
          <w:szCs w:val="24"/>
        </w:rPr>
        <w:t>granted</w:t>
      </w:r>
      <w:r w:rsidR="007369DE">
        <w:rPr>
          <w:rFonts w:ascii="Times New Roman" w:hAnsi="Times New Roman" w:cs="Times New Roman"/>
          <w:sz w:val="24"/>
          <w:szCs w:val="24"/>
        </w:rPr>
        <w:t xml:space="preserve"> mining rights to the a</w:t>
      </w:r>
      <w:r w:rsidR="003F491D" w:rsidRPr="005C5537">
        <w:rPr>
          <w:rFonts w:ascii="Times New Roman" w:hAnsi="Times New Roman" w:cs="Times New Roman"/>
          <w:sz w:val="24"/>
          <w:szCs w:val="24"/>
        </w:rPr>
        <w:t>pplicant</w:t>
      </w:r>
      <w:r w:rsidR="0096304E" w:rsidRPr="005C5537">
        <w:rPr>
          <w:rFonts w:ascii="Times New Roman" w:hAnsi="Times New Roman" w:cs="Times New Roman"/>
          <w:sz w:val="24"/>
          <w:szCs w:val="24"/>
        </w:rPr>
        <w:t xml:space="preserve"> over Trafalgar Mine “A”.</w:t>
      </w:r>
      <w:r w:rsidR="0039380F" w:rsidRPr="005C5537">
        <w:rPr>
          <w:rFonts w:ascii="Times New Roman" w:hAnsi="Times New Roman" w:cs="Times New Roman"/>
          <w:sz w:val="24"/>
          <w:szCs w:val="24"/>
        </w:rPr>
        <w:t xml:space="preserve"> </w:t>
      </w:r>
      <w:r w:rsidR="00495E62" w:rsidRPr="005C5537">
        <w:rPr>
          <w:rFonts w:ascii="Times New Roman" w:hAnsi="Times New Roman" w:cs="Times New Roman"/>
          <w:sz w:val="24"/>
          <w:szCs w:val="24"/>
        </w:rPr>
        <w:t>The tribute agreement is valid for three years with effect from 1 May 2020.</w:t>
      </w:r>
      <w:r w:rsidR="00B9606E" w:rsidRPr="005C5537">
        <w:rPr>
          <w:rFonts w:ascii="Times New Roman" w:hAnsi="Times New Roman" w:cs="Times New Roman"/>
          <w:sz w:val="24"/>
          <w:szCs w:val="24"/>
        </w:rPr>
        <w:t xml:space="preserve"> </w:t>
      </w:r>
      <w:r w:rsidR="007369DE">
        <w:rPr>
          <w:rFonts w:ascii="Times New Roman" w:hAnsi="Times New Roman" w:cs="Times New Roman"/>
          <w:sz w:val="24"/>
          <w:szCs w:val="24"/>
        </w:rPr>
        <w:t>The a</w:t>
      </w:r>
      <w:r w:rsidR="0047474E" w:rsidRPr="005C5537">
        <w:rPr>
          <w:rFonts w:ascii="Times New Roman" w:hAnsi="Times New Roman" w:cs="Times New Roman"/>
          <w:sz w:val="24"/>
          <w:szCs w:val="24"/>
        </w:rPr>
        <w:t>pplicant has attached the copy of the tribute agreement to the present application</w:t>
      </w:r>
      <w:r w:rsidR="002E3DC3">
        <w:rPr>
          <w:rFonts w:ascii="Times New Roman" w:hAnsi="Times New Roman" w:cs="Times New Roman"/>
          <w:sz w:val="24"/>
          <w:szCs w:val="24"/>
        </w:rPr>
        <w:t xml:space="preserve"> and to case number HC </w:t>
      </w:r>
      <w:r w:rsidR="00A05107">
        <w:rPr>
          <w:rFonts w:ascii="Times New Roman" w:hAnsi="Times New Roman" w:cs="Times New Roman"/>
          <w:sz w:val="24"/>
          <w:szCs w:val="24"/>
        </w:rPr>
        <w:t>6560/</w:t>
      </w:r>
      <w:r w:rsidR="005C5537">
        <w:rPr>
          <w:rFonts w:ascii="Times New Roman" w:hAnsi="Times New Roman" w:cs="Times New Roman"/>
          <w:sz w:val="24"/>
          <w:szCs w:val="24"/>
        </w:rPr>
        <w:t xml:space="preserve">21 </w:t>
      </w:r>
      <w:r w:rsidR="0047474E" w:rsidRPr="005C5537">
        <w:rPr>
          <w:rFonts w:ascii="Times New Roman" w:hAnsi="Times New Roman" w:cs="Times New Roman"/>
          <w:sz w:val="24"/>
          <w:szCs w:val="24"/>
        </w:rPr>
        <w:t>which was appealed against by the 1</w:t>
      </w:r>
      <w:r w:rsidR="0047474E" w:rsidRPr="005C5537">
        <w:rPr>
          <w:rFonts w:ascii="Times New Roman" w:hAnsi="Times New Roman" w:cs="Times New Roman"/>
          <w:sz w:val="24"/>
          <w:szCs w:val="24"/>
          <w:vertAlign w:val="superscript"/>
        </w:rPr>
        <w:t>st</w:t>
      </w:r>
      <w:r w:rsidR="007369DE">
        <w:rPr>
          <w:rFonts w:ascii="Times New Roman" w:hAnsi="Times New Roman" w:cs="Times New Roman"/>
          <w:sz w:val="24"/>
          <w:szCs w:val="24"/>
        </w:rPr>
        <w:t xml:space="preserve"> r</w:t>
      </w:r>
      <w:r w:rsidR="00813BE7" w:rsidRPr="005C5537">
        <w:rPr>
          <w:rFonts w:ascii="Times New Roman" w:hAnsi="Times New Roman" w:cs="Times New Roman"/>
          <w:sz w:val="24"/>
          <w:szCs w:val="24"/>
        </w:rPr>
        <w:t xml:space="preserve">espondent. </w:t>
      </w:r>
      <w:r w:rsidR="005D2CA4" w:rsidRPr="005C5537">
        <w:rPr>
          <w:rFonts w:ascii="Times New Roman" w:hAnsi="Times New Roman" w:cs="Times New Roman"/>
          <w:sz w:val="24"/>
          <w:szCs w:val="24"/>
        </w:rPr>
        <w:t>On the other hand, the 1</w:t>
      </w:r>
      <w:r w:rsidR="005D2CA4" w:rsidRPr="005C5537">
        <w:rPr>
          <w:rFonts w:ascii="Times New Roman" w:hAnsi="Times New Roman" w:cs="Times New Roman"/>
          <w:sz w:val="24"/>
          <w:szCs w:val="24"/>
          <w:vertAlign w:val="superscript"/>
        </w:rPr>
        <w:t>st</w:t>
      </w:r>
      <w:r w:rsidR="007369DE">
        <w:rPr>
          <w:rFonts w:ascii="Times New Roman" w:hAnsi="Times New Roman" w:cs="Times New Roman"/>
          <w:sz w:val="24"/>
          <w:szCs w:val="24"/>
        </w:rPr>
        <w:t xml:space="preserve"> r</w:t>
      </w:r>
      <w:r w:rsidR="005D2CA4" w:rsidRPr="005C5537">
        <w:rPr>
          <w:rFonts w:ascii="Times New Roman" w:hAnsi="Times New Roman" w:cs="Times New Roman"/>
          <w:sz w:val="24"/>
          <w:szCs w:val="24"/>
        </w:rPr>
        <w:t xml:space="preserve">espondent </w:t>
      </w:r>
      <w:r w:rsidR="00C700E8" w:rsidRPr="005C5537">
        <w:rPr>
          <w:rFonts w:ascii="Times New Roman" w:hAnsi="Times New Roman" w:cs="Times New Roman"/>
          <w:sz w:val="24"/>
          <w:szCs w:val="24"/>
        </w:rPr>
        <w:t>is claiming to have</w:t>
      </w:r>
      <w:r w:rsidR="001440D3" w:rsidRPr="005C5537">
        <w:rPr>
          <w:rFonts w:ascii="Times New Roman" w:hAnsi="Times New Roman" w:cs="Times New Roman"/>
          <w:sz w:val="24"/>
          <w:szCs w:val="24"/>
        </w:rPr>
        <w:t xml:space="preserve"> prospecting rights over his farming area being</w:t>
      </w:r>
      <w:r w:rsidR="00813BE7" w:rsidRPr="005C5537">
        <w:rPr>
          <w:rFonts w:ascii="Times New Roman" w:hAnsi="Times New Roman" w:cs="Times New Roman"/>
          <w:sz w:val="24"/>
          <w:szCs w:val="24"/>
        </w:rPr>
        <w:t xml:space="preserve"> Plot 93, Trafalgar Farm.</w:t>
      </w:r>
    </w:p>
    <w:p w:rsidR="00BB662E" w:rsidRDefault="00A36719" w:rsidP="00484D48">
      <w:pPr>
        <w:spacing w:after="0" w:line="360" w:lineRule="auto"/>
        <w:ind w:firstLine="720"/>
        <w:jc w:val="both"/>
        <w:rPr>
          <w:rFonts w:ascii="Times New Roman" w:hAnsi="Times New Roman" w:cs="Times New Roman"/>
          <w:sz w:val="24"/>
          <w:szCs w:val="24"/>
        </w:rPr>
      </w:pPr>
      <w:r w:rsidRPr="005C5537">
        <w:rPr>
          <w:rFonts w:ascii="Times New Roman" w:hAnsi="Times New Roman" w:cs="Times New Roman"/>
          <w:sz w:val="24"/>
          <w:szCs w:val="24"/>
        </w:rPr>
        <w:t xml:space="preserve">In its founding affidavit, the </w:t>
      </w:r>
      <w:r w:rsidR="007369DE">
        <w:rPr>
          <w:rFonts w:ascii="Times New Roman" w:hAnsi="Times New Roman" w:cs="Times New Roman"/>
          <w:sz w:val="24"/>
          <w:szCs w:val="24"/>
        </w:rPr>
        <w:t>a</w:t>
      </w:r>
      <w:r w:rsidR="006C23ED" w:rsidRPr="005C5537">
        <w:rPr>
          <w:rFonts w:ascii="Times New Roman" w:hAnsi="Times New Roman" w:cs="Times New Roman"/>
          <w:sz w:val="24"/>
          <w:szCs w:val="24"/>
        </w:rPr>
        <w:t>pplicant averred that</w:t>
      </w:r>
      <w:r w:rsidR="00827EAB" w:rsidRPr="005C5537">
        <w:rPr>
          <w:rFonts w:ascii="Times New Roman" w:hAnsi="Times New Roman" w:cs="Times New Roman"/>
          <w:sz w:val="24"/>
          <w:szCs w:val="24"/>
        </w:rPr>
        <w:t xml:space="preserve"> the 1</w:t>
      </w:r>
      <w:r w:rsidR="00827EAB" w:rsidRPr="005C5537">
        <w:rPr>
          <w:rFonts w:ascii="Times New Roman" w:hAnsi="Times New Roman" w:cs="Times New Roman"/>
          <w:sz w:val="24"/>
          <w:szCs w:val="24"/>
          <w:vertAlign w:val="superscript"/>
        </w:rPr>
        <w:t>st</w:t>
      </w:r>
      <w:r w:rsidR="007369DE">
        <w:rPr>
          <w:rFonts w:ascii="Times New Roman" w:hAnsi="Times New Roman" w:cs="Times New Roman"/>
          <w:sz w:val="24"/>
          <w:szCs w:val="24"/>
        </w:rPr>
        <w:t xml:space="preserve"> r</w:t>
      </w:r>
      <w:r w:rsidR="00827EAB" w:rsidRPr="005C5537">
        <w:rPr>
          <w:rFonts w:ascii="Times New Roman" w:hAnsi="Times New Roman" w:cs="Times New Roman"/>
          <w:sz w:val="24"/>
          <w:szCs w:val="24"/>
        </w:rPr>
        <w:t xml:space="preserve">espondent has revived his conduct </w:t>
      </w:r>
      <w:r w:rsidR="006057DB" w:rsidRPr="005C5537">
        <w:rPr>
          <w:rFonts w:ascii="Times New Roman" w:hAnsi="Times New Roman" w:cs="Times New Roman"/>
          <w:sz w:val="24"/>
          <w:szCs w:val="24"/>
        </w:rPr>
        <w:t>which interferes with its mining rights at the mine.</w:t>
      </w:r>
      <w:r w:rsidR="00E63FAA" w:rsidRPr="005C5537">
        <w:rPr>
          <w:rFonts w:ascii="Times New Roman" w:hAnsi="Times New Roman" w:cs="Times New Roman"/>
          <w:sz w:val="24"/>
          <w:szCs w:val="24"/>
        </w:rPr>
        <w:t xml:space="preserve"> </w:t>
      </w:r>
      <w:r w:rsidR="00900FDB" w:rsidRPr="005C5537">
        <w:rPr>
          <w:rFonts w:ascii="Times New Roman" w:hAnsi="Times New Roman" w:cs="Times New Roman"/>
          <w:sz w:val="24"/>
          <w:szCs w:val="24"/>
        </w:rPr>
        <w:t>According</w:t>
      </w:r>
      <w:r w:rsidR="007369DE">
        <w:rPr>
          <w:rFonts w:ascii="Times New Roman" w:hAnsi="Times New Roman" w:cs="Times New Roman"/>
          <w:sz w:val="24"/>
          <w:szCs w:val="24"/>
        </w:rPr>
        <w:t xml:space="preserve"> to the a</w:t>
      </w:r>
      <w:r w:rsidR="00900FDB" w:rsidRPr="005C5537">
        <w:rPr>
          <w:rFonts w:ascii="Times New Roman" w:hAnsi="Times New Roman" w:cs="Times New Roman"/>
          <w:sz w:val="24"/>
          <w:szCs w:val="24"/>
        </w:rPr>
        <w:t>pplicant,</w:t>
      </w:r>
      <w:r w:rsidR="00E63FAA" w:rsidRPr="005C5537">
        <w:rPr>
          <w:rFonts w:ascii="Times New Roman" w:hAnsi="Times New Roman" w:cs="Times New Roman"/>
          <w:sz w:val="24"/>
          <w:szCs w:val="24"/>
        </w:rPr>
        <w:t xml:space="preserve"> </w:t>
      </w:r>
      <w:r w:rsidR="00A974A9" w:rsidRPr="005C5537">
        <w:rPr>
          <w:rFonts w:ascii="Times New Roman" w:hAnsi="Times New Roman" w:cs="Times New Roman"/>
          <w:sz w:val="24"/>
          <w:szCs w:val="24"/>
        </w:rPr>
        <w:t>the 1</w:t>
      </w:r>
      <w:r w:rsidR="00A974A9" w:rsidRPr="005C5537">
        <w:rPr>
          <w:rFonts w:ascii="Times New Roman" w:hAnsi="Times New Roman" w:cs="Times New Roman"/>
          <w:sz w:val="24"/>
          <w:szCs w:val="24"/>
          <w:vertAlign w:val="superscript"/>
        </w:rPr>
        <w:t>st</w:t>
      </w:r>
      <w:r w:rsidR="007369DE">
        <w:rPr>
          <w:rFonts w:ascii="Times New Roman" w:hAnsi="Times New Roman" w:cs="Times New Roman"/>
          <w:sz w:val="24"/>
          <w:szCs w:val="24"/>
        </w:rPr>
        <w:t xml:space="preserve"> r</w:t>
      </w:r>
      <w:r w:rsidR="00A974A9" w:rsidRPr="005C5537">
        <w:rPr>
          <w:rFonts w:ascii="Times New Roman" w:hAnsi="Times New Roman" w:cs="Times New Roman"/>
          <w:sz w:val="24"/>
          <w:szCs w:val="24"/>
        </w:rPr>
        <w:t xml:space="preserve">espondent is also blocking the agents of the </w:t>
      </w:r>
      <w:r w:rsidR="007369DE">
        <w:rPr>
          <w:rFonts w:ascii="Times New Roman" w:hAnsi="Times New Roman" w:cs="Times New Roman"/>
          <w:sz w:val="24"/>
          <w:szCs w:val="24"/>
        </w:rPr>
        <w:t>a</w:t>
      </w:r>
      <w:r w:rsidR="00E63FAA" w:rsidRPr="005C5537">
        <w:rPr>
          <w:rFonts w:ascii="Times New Roman" w:hAnsi="Times New Roman" w:cs="Times New Roman"/>
          <w:sz w:val="24"/>
          <w:szCs w:val="24"/>
        </w:rPr>
        <w:t>pplicant from accessing the mine</w:t>
      </w:r>
      <w:r w:rsidR="0096125E" w:rsidRPr="005C5537">
        <w:rPr>
          <w:rFonts w:ascii="Times New Roman" w:hAnsi="Times New Roman" w:cs="Times New Roman"/>
          <w:sz w:val="24"/>
          <w:szCs w:val="24"/>
        </w:rPr>
        <w:t xml:space="preserve"> by erecting fence</w:t>
      </w:r>
      <w:r w:rsidR="00250269" w:rsidRPr="005C5537">
        <w:rPr>
          <w:rFonts w:ascii="Times New Roman" w:hAnsi="Times New Roman" w:cs="Times New Roman"/>
          <w:sz w:val="24"/>
          <w:szCs w:val="24"/>
        </w:rPr>
        <w:t xml:space="preserve"> at the mine</w:t>
      </w:r>
      <w:r w:rsidR="00E63FAA" w:rsidRPr="005C5537">
        <w:rPr>
          <w:rFonts w:ascii="Times New Roman" w:hAnsi="Times New Roman" w:cs="Times New Roman"/>
          <w:sz w:val="24"/>
          <w:szCs w:val="24"/>
        </w:rPr>
        <w:t>.</w:t>
      </w:r>
      <w:r w:rsidR="0096125E" w:rsidRPr="005C5537">
        <w:rPr>
          <w:rFonts w:ascii="Times New Roman" w:hAnsi="Times New Roman" w:cs="Times New Roman"/>
          <w:sz w:val="24"/>
          <w:szCs w:val="24"/>
        </w:rPr>
        <w:t xml:space="preserve"> </w:t>
      </w:r>
      <w:r w:rsidR="007369DE">
        <w:rPr>
          <w:rFonts w:ascii="Times New Roman" w:hAnsi="Times New Roman" w:cs="Times New Roman"/>
          <w:sz w:val="24"/>
          <w:szCs w:val="24"/>
        </w:rPr>
        <w:t>The a</w:t>
      </w:r>
      <w:r w:rsidR="0089259D">
        <w:rPr>
          <w:rFonts w:ascii="Times New Roman" w:hAnsi="Times New Roman" w:cs="Times New Roman"/>
          <w:sz w:val="24"/>
          <w:szCs w:val="24"/>
        </w:rPr>
        <w:t>pplicant further alleged</w:t>
      </w:r>
      <w:r w:rsidR="00D22FFE" w:rsidRPr="005C5537">
        <w:rPr>
          <w:rFonts w:ascii="Times New Roman" w:hAnsi="Times New Roman" w:cs="Times New Roman"/>
          <w:sz w:val="24"/>
          <w:szCs w:val="24"/>
        </w:rPr>
        <w:t xml:space="preserve"> that </w:t>
      </w:r>
      <w:r w:rsidR="00975DFA" w:rsidRPr="005C5537">
        <w:rPr>
          <w:rFonts w:ascii="Times New Roman" w:hAnsi="Times New Roman" w:cs="Times New Roman"/>
          <w:sz w:val="24"/>
          <w:szCs w:val="24"/>
        </w:rPr>
        <w:t>the 1</w:t>
      </w:r>
      <w:r w:rsidR="00975DFA" w:rsidRPr="005C5537">
        <w:rPr>
          <w:rFonts w:ascii="Times New Roman" w:hAnsi="Times New Roman" w:cs="Times New Roman"/>
          <w:sz w:val="24"/>
          <w:szCs w:val="24"/>
          <w:vertAlign w:val="superscript"/>
        </w:rPr>
        <w:t>st</w:t>
      </w:r>
      <w:r w:rsidR="007369DE">
        <w:rPr>
          <w:rFonts w:ascii="Times New Roman" w:hAnsi="Times New Roman" w:cs="Times New Roman"/>
          <w:sz w:val="24"/>
          <w:szCs w:val="24"/>
        </w:rPr>
        <w:t xml:space="preserve"> r</w:t>
      </w:r>
      <w:r w:rsidR="00975DFA" w:rsidRPr="005C5537">
        <w:rPr>
          <w:rFonts w:ascii="Times New Roman" w:hAnsi="Times New Roman" w:cs="Times New Roman"/>
          <w:sz w:val="24"/>
          <w:szCs w:val="24"/>
        </w:rPr>
        <w:t>espondent is still removing gold ore from Trafalgar Mine for processing</w:t>
      </w:r>
      <w:r w:rsidR="00B1167E" w:rsidRPr="005C5537">
        <w:rPr>
          <w:rFonts w:ascii="Times New Roman" w:hAnsi="Times New Roman" w:cs="Times New Roman"/>
          <w:sz w:val="24"/>
          <w:szCs w:val="24"/>
        </w:rPr>
        <w:t>.</w:t>
      </w:r>
    </w:p>
    <w:p w:rsidR="005E0573" w:rsidRPr="005C5537" w:rsidRDefault="007644B4" w:rsidP="00484D48">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On the other hand, the </w:t>
      </w:r>
      <w:r w:rsidR="006C7932">
        <w:rPr>
          <w:rFonts w:ascii="Times New Roman" w:hAnsi="Times New Roman" w:cs="Times New Roman"/>
          <w:sz w:val="24"/>
          <w:szCs w:val="24"/>
        </w:rPr>
        <w:t>1</w:t>
      </w:r>
      <w:r w:rsidR="006C7932" w:rsidRPr="006C7932">
        <w:rPr>
          <w:rFonts w:ascii="Times New Roman" w:hAnsi="Times New Roman" w:cs="Times New Roman"/>
          <w:sz w:val="24"/>
          <w:szCs w:val="24"/>
          <w:vertAlign w:val="superscript"/>
        </w:rPr>
        <w:t>st</w:t>
      </w:r>
      <w:r w:rsidR="007369DE">
        <w:rPr>
          <w:rFonts w:ascii="Times New Roman" w:hAnsi="Times New Roman" w:cs="Times New Roman"/>
          <w:sz w:val="24"/>
          <w:szCs w:val="24"/>
        </w:rPr>
        <w:t xml:space="preserve"> respondent challenged the a</w:t>
      </w:r>
      <w:r w:rsidR="006C7932">
        <w:rPr>
          <w:rFonts w:ascii="Times New Roman" w:hAnsi="Times New Roman" w:cs="Times New Roman"/>
          <w:sz w:val="24"/>
          <w:szCs w:val="24"/>
        </w:rPr>
        <w:t xml:space="preserve">pplicant to prove such </w:t>
      </w:r>
      <w:r w:rsidR="007369DE">
        <w:rPr>
          <w:rFonts w:ascii="Times New Roman" w:hAnsi="Times New Roman" w:cs="Times New Roman"/>
          <w:sz w:val="24"/>
          <w:szCs w:val="24"/>
        </w:rPr>
        <w:t>facts. He highlighted that the a</w:t>
      </w:r>
      <w:r w:rsidR="006C7932">
        <w:rPr>
          <w:rFonts w:ascii="Times New Roman" w:hAnsi="Times New Roman" w:cs="Times New Roman"/>
          <w:sz w:val="24"/>
          <w:szCs w:val="24"/>
        </w:rPr>
        <w:t xml:space="preserve">pplicant is supposed to </w:t>
      </w:r>
      <w:r w:rsidR="00D42D47">
        <w:rPr>
          <w:rFonts w:ascii="Times New Roman" w:hAnsi="Times New Roman" w:cs="Times New Roman"/>
          <w:sz w:val="24"/>
          <w:szCs w:val="24"/>
        </w:rPr>
        <w:t xml:space="preserve">attach </w:t>
      </w:r>
      <w:r w:rsidR="006C7932">
        <w:rPr>
          <w:rFonts w:ascii="Times New Roman" w:hAnsi="Times New Roman" w:cs="Times New Roman"/>
          <w:sz w:val="24"/>
          <w:szCs w:val="24"/>
        </w:rPr>
        <w:t>supporting affidavit to support facts alleged. However, the 1</w:t>
      </w:r>
      <w:r w:rsidR="006C7932" w:rsidRPr="006C7932">
        <w:rPr>
          <w:rFonts w:ascii="Times New Roman" w:hAnsi="Times New Roman" w:cs="Times New Roman"/>
          <w:sz w:val="24"/>
          <w:szCs w:val="24"/>
          <w:vertAlign w:val="superscript"/>
        </w:rPr>
        <w:t>st</w:t>
      </w:r>
      <w:r w:rsidR="007369DE">
        <w:rPr>
          <w:rFonts w:ascii="Times New Roman" w:hAnsi="Times New Roman" w:cs="Times New Roman"/>
          <w:sz w:val="24"/>
          <w:szCs w:val="24"/>
        </w:rPr>
        <w:t xml:space="preserve"> r</w:t>
      </w:r>
      <w:r w:rsidR="006C7932">
        <w:rPr>
          <w:rFonts w:ascii="Times New Roman" w:hAnsi="Times New Roman" w:cs="Times New Roman"/>
          <w:sz w:val="24"/>
          <w:szCs w:val="24"/>
        </w:rPr>
        <w:t xml:space="preserve">espondent did not react to the issue of blocking access to mine </w:t>
      </w:r>
      <w:r w:rsidR="00D42D47">
        <w:rPr>
          <w:rFonts w:ascii="Times New Roman" w:hAnsi="Times New Roman" w:cs="Times New Roman"/>
          <w:sz w:val="24"/>
          <w:szCs w:val="24"/>
        </w:rPr>
        <w:t>through the erection of</w:t>
      </w:r>
      <w:r w:rsidR="007369DE">
        <w:rPr>
          <w:rFonts w:ascii="Times New Roman" w:hAnsi="Times New Roman" w:cs="Times New Roman"/>
          <w:sz w:val="24"/>
          <w:szCs w:val="24"/>
        </w:rPr>
        <w:t xml:space="preserve"> fence which was raised by the a</w:t>
      </w:r>
      <w:r w:rsidR="00D42D47">
        <w:rPr>
          <w:rFonts w:ascii="Times New Roman" w:hAnsi="Times New Roman" w:cs="Times New Roman"/>
          <w:sz w:val="24"/>
          <w:szCs w:val="24"/>
        </w:rPr>
        <w:t>pplicant in its founding affidavit.</w:t>
      </w:r>
    </w:p>
    <w:p w:rsidR="00813BE7" w:rsidRPr="005C5537" w:rsidRDefault="00813BE7" w:rsidP="00484D48">
      <w:pPr>
        <w:spacing w:after="0" w:line="360" w:lineRule="auto"/>
        <w:jc w:val="both"/>
        <w:rPr>
          <w:rFonts w:ascii="Times New Roman" w:hAnsi="Times New Roman" w:cs="Times New Roman"/>
          <w:sz w:val="24"/>
          <w:szCs w:val="24"/>
        </w:rPr>
      </w:pPr>
    </w:p>
    <w:p w:rsidR="008E0E5E" w:rsidRPr="005C5537" w:rsidRDefault="008B0ED8" w:rsidP="00484D48">
      <w:pPr>
        <w:spacing w:after="0" w:line="360" w:lineRule="auto"/>
        <w:ind w:firstLine="720"/>
        <w:jc w:val="both"/>
        <w:rPr>
          <w:rFonts w:ascii="Times New Roman" w:hAnsi="Times New Roman" w:cs="Times New Roman"/>
          <w:sz w:val="24"/>
          <w:szCs w:val="24"/>
        </w:rPr>
      </w:pPr>
      <w:r w:rsidRPr="005C5537">
        <w:rPr>
          <w:rFonts w:ascii="Times New Roman" w:hAnsi="Times New Roman" w:cs="Times New Roman"/>
          <w:sz w:val="24"/>
          <w:szCs w:val="24"/>
        </w:rPr>
        <w:t>The 1</w:t>
      </w:r>
      <w:r w:rsidRPr="005C5537">
        <w:rPr>
          <w:rFonts w:ascii="Times New Roman" w:hAnsi="Times New Roman" w:cs="Times New Roman"/>
          <w:sz w:val="24"/>
          <w:szCs w:val="24"/>
          <w:vertAlign w:val="superscript"/>
        </w:rPr>
        <w:t>st</w:t>
      </w:r>
      <w:r w:rsidR="007369DE">
        <w:rPr>
          <w:rFonts w:ascii="Times New Roman" w:hAnsi="Times New Roman" w:cs="Times New Roman"/>
          <w:sz w:val="24"/>
          <w:szCs w:val="24"/>
        </w:rPr>
        <w:t xml:space="preserve"> r</w:t>
      </w:r>
      <w:r w:rsidRPr="005C5537">
        <w:rPr>
          <w:rFonts w:ascii="Times New Roman" w:hAnsi="Times New Roman" w:cs="Times New Roman"/>
          <w:sz w:val="24"/>
          <w:szCs w:val="24"/>
        </w:rPr>
        <w:t xml:space="preserve">espondent raised a point </w:t>
      </w:r>
      <w:r w:rsidRPr="005C5537">
        <w:rPr>
          <w:rFonts w:ascii="Times New Roman" w:hAnsi="Times New Roman" w:cs="Times New Roman"/>
          <w:i/>
          <w:sz w:val="24"/>
          <w:szCs w:val="24"/>
        </w:rPr>
        <w:t>in limine</w:t>
      </w:r>
      <w:r w:rsidRPr="005C5537">
        <w:rPr>
          <w:rFonts w:ascii="Times New Roman" w:hAnsi="Times New Roman" w:cs="Times New Roman"/>
          <w:sz w:val="24"/>
          <w:szCs w:val="24"/>
        </w:rPr>
        <w:t xml:space="preserve"> to the effect that</w:t>
      </w:r>
      <w:r w:rsidR="003070AC" w:rsidRPr="005C5537">
        <w:rPr>
          <w:rFonts w:ascii="Times New Roman" w:hAnsi="Times New Roman" w:cs="Times New Roman"/>
          <w:sz w:val="24"/>
          <w:szCs w:val="24"/>
        </w:rPr>
        <w:t xml:space="preserve"> the present application is </w:t>
      </w:r>
      <w:r w:rsidR="00AD17A8" w:rsidRPr="005C5537">
        <w:rPr>
          <w:rFonts w:ascii="Times New Roman" w:hAnsi="Times New Roman" w:cs="Times New Roman"/>
          <w:sz w:val="24"/>
          <w:szCs w:val="24"/>
        </w:rPr>
        <w:t xml:space="preserve">not </w:t>
      </w:r>
      <w:r w:rsidR="003070AC" w:rsidRPr="005C5537">
        <w:rPr>
          <w:rFonts w:ascii="Times New Roman" w:hAnsi="Times New Roman" w:cs="Times New Roman"/>
          <w:sz w:val="24"/>
          <w:szCs w:val="24"/>
        </w:rPr>
        <w:t>urgent.</w:t>
      </w:r>
      <w:r w:rsidR="00AD17A8" w:rsidRPr="005C5537">
        <w:rPr>
          <w:rFonts w:ascii="Times New Roman" w:hAnsi="Times New Roman" w:cs="Times New Roman"/>
          <w:sz w:val="24"/>
          <w:szCs w:val="24"/>
        </w:rPr>
        <w:t xml:space="preserve"> </w:t>
      </w:r>
      <w:r w:rsidR="00791C08" w:rsidRPr="005C5537">
        <w:rPr>
          <w:rFonts w:ascii="Times New Roman" w:hAnsi="Times New Roman" w:cs="Times New Roman"/>
          <w:sz w:val="24"/>
          <w:szCs w:val="24"/>
        </w:rPr>
        <w:t>According to 1</w:t>
      </w:r>
      <w:r w:rsidR="00791C08" w:rsidRPr="005C5537">
        <w:rPr>
          <w:rFonts w:ascii="Times New Roman" w:hAnsi="Times New Roman" w:cs="Times New Roman"/>
          <w:sz w:val="24"/>
          <w:szCs w:val="24"/>
          <w:vertAlign w:val="superscript"/>
        </w:rPr>
        <w:t>st</w:t>
      </w:r>
      <w:r w:rsidR="007369DE">
        <w:rPr>
          <w:rFonts w:ascii="Times New Roman" w:hAnsi="Times New Roman" w:cs="Times New Roman"/>
          <w:sz w:val="24"/>
          <w:szCs w:val="24"/>
        </w:rPr>
        <w:t xml:space="preserve"> r</w:t>
      </w:r>
      <w:r w:rsidR="00791C08" w:rsidRPr="005C5537">
        <w:rPr>
          <w:rFonts w:ascii="Times New Roman" w:hAnsi="Times New Roman" w:cs="Times New Roman"/>
          <w:sz w:val="24"/>
          <w:szCs w:val="24"/>
        </w:rPr>
        <w:t>espondent’s submissions</w:t>
      </w:r>
      <w:r w:rsidR="007369DE">
        <w:rPr>
          <w:rFonts w:ascii="Times New Roman" w:hAnsi="Times New Roman" w:cs="Times New Roman"/>
          <w:sz w:val="24"/>
          <w:szCs w:val="24"/>
        </w:rPr>
        <w:t>, the a</w:t>
      </w:r>
      <w:r w:rsidR="0029151A" w:rsidRPr="005C5537">
        <w:rPr>
          <w:rFonts w:ascii="Times New Roman" w:hAnsi="Times New Roman" w:cs="Times New Roman"/>
          <w:sz w:val="24"/>
          <w:szCs w:val="24"/>
        </w:rPr>
        <w:t xml:space="preserve">pplicant was served with the copy of the appeal under case No. SC 460-21 on 29 </w:t>
      </w:r>
      <w:r w:rsidR="00AD17A8" w:rsidRPr="005C5537">
        <w:rPr>
          <w:rFonts w:ascii="Times New Roman" w:hAnsi="Times New Roman" w:cs="Times New Roman"/>
          <w:sz w:val="24"/>
          <w:szCs w:val="24"/>
        </w:rPr>
        <w:t xml:space="preserve">November 2021 </w:t>
      </w:r>
      <w:r w:rsidR="005C5537">
        <w:rPr>
          <w:rFonts w:ascii="Times New Roman" w:hAnsi="Times New Roman" w:cs="Times New Roman"/>
          <w:sz w:val="24"/>
          <w:szCs w:val="24"/>
        </w:rPr>
        <w:t xml:space="preserve">and took no action until 20 </w:t>
      </w:r>
      <w:r w:rsidR="0029151A" w:rsidRPr="005C5537">
        <w:rPr>
          <w:rFonts w:ascii="Times New Roman" w:hAnsi="Times New Roman" w:cs="Times New Roman"/>
          <w:sz w:val="24"/>
          <w:szCs w:val="24"/>
        </w:rPr>
        <w:t xml:space="preserve">December 2021 when the Applicant chose to file this present matter. On the </w:t>
      </w:r>
      <w:r w:rsidR="007369DE">
        <w:rPr>
          <w:rFonts w:ascii="Times New Roman" w:hAnsi="Times New Roman" w:cs="Times New Roman"/>
          <w:sz w:val="24"/>
          <w:szCs w:val="24"/>
        </w:rPr>
        <w:t>other hand, the a</w:t>
      </w:r>
      <w:r w:rsidR="0029151A" w:rsidRPr="005C5537">
        <w:rPr>
          <w:rFonts w:ascii="Times New Roman" w:hAnsi="Times New Roman" w:cs="Times New Roman"/>
          <w:sz w:val="24"/>
          <w:szCs w:val="24"/>
        </w:rPr>
        <w:t>pplicant explained that the delay was caused by the need to finalise another litiga</w:t>
      </w:r>
      <w:r w:rsidR="00A05107">
        <w:rPr>
          <w:rFonts w:ascii="Times New Roman" w:hAnsi="Times New Roman" w:cs="Times New Roman"/>
          <w:sz w:val="24"/>
          <w:szCs w:val="24"/>
        </w:rPr>
        <w:t>tion under case n</w:t>
      </w:r>
      <w:r w:rsidR="007369DE">
        <w:rPr>
          <w:rFonts w:ascii="Times New Roman" w:hAnsi="Times New Roman" w:cs="Times New Roman"/>
          <w:sz w:val="24"/>
          <w:szCs w:val="24"/>
        </w:rPr>
        <w:t>o. HC 6944/</w:t>
      </w:r>
      <w:r w:rsidR="005C5537">
        <w:rPr>
          <w:rFonts w:ascii="Times New Roman" w:hAnsi="Times New Roman" w:cs="Times New Roman"/>
          <w:sz w:val="24"/>
          <w:szCs w:val="24"/>
        </w:rPr>
        <w:t xml:space="preserve">21 </w:t>
      </w:r>
      <w:r w:rsidR="007369DE">
        <w:rPr>
          <w:rFonts w:ascii="Times New Roman" w:hAnsi="Times New Roman" w:cs="Times New Roman"/>
          <w:sz w:val="24"/>
          <w:szCs w:val="24"/>
        </w:rPr>
        <w:t>where the a</w:t>
      </w:r>
      <w:r w:rsidR="0029151A" w:rsidRPr="005C5537">
        <w:rPr>
          <w:rFonts w:ascii="Times New Roman" w:hAnsi="Times New Roman" w:cs="Times New Roman"/>
          <w:sz w:val="24"/>
          <w:szCs w:val="24"/>
        </w:rPr>
        <w:t xml:space="preserve">pplicant was fighting for its rights against </w:t>
      </w:r>
      <w:r w:rsidR="00DA63AC" w:rsidRPr="005C5537">
        <w:rPr>
          <w:rFonts w:ascii="Times New Roman" w:hAnsi="Times New Roman" w:cs="Times New Roman"/>
          <w:sz w:val="24"/>
          <w:szCs w:val="24"/>
        </w:rPr>
        <w:t>Phillimon Ndushu which involved the same mining area.</w:t>
      </w:r>
      <w:r w:rsidR="00A6002A" w:rsidRPr="005C5537">
        <w:rPr>
          <w:rFonts w:ascii="Times New Roman" w:hAnsi="Times New Roman" w:cs="Times New Roman"/>
          <w:sz w:val="24"/>
          <w:szCs w:val="24"/>
        </w:rPr>
        <w:t xml:space="preserve"> The dispute was finalised, by consent, on 8 December 2021.</w:t>
      </w:r>
      <w:r w:rsidR="007369DE">
        <w:rPr>
          <w:rFonts w:ascii="Times New Roman" w:hAnsi="Times New Roman" w:cs="Times New Roman"/>
          <w:sz w:val="24"/>
          <w:szCs w:val="24"/>
        </w:rPr>
        <w:t xml:space="preserve"> Only after this was the a</w:t>
      </w:r>
      <w:r w:rsidR="00FF5297" w:rsidRPr="005C5537">
        <w:rPr>
          <w:rFonts w:ascii="Times New Roman" w:hAnsi="Times New Roman" w:cs="Times New Roman"/>
          <w:sz w:val="24"/>
          <w:szCs w:val="24"/>
        </w:rPr>
        <w:t xml:space="preserve">pplicant able to pursue the present application according to the submissions made on behalf of the </w:t>
      </w:r>
      <w:r w:rsidR="007369DE">
        <w:rPr>
          <w:rFonts w:ascii="Times New Roman" w:hAnsi="Times New Roman" w:cs="Times New Roman"/>
          <w:sz w:val="24"/>
          <w:szCs w:val="24"/>
        </w:rPr>
        <w:t>a</w:t>
      </w:r>
      <w:r w:rsidR="00FF5297" w:rsidRPr="005C5537">
        <w:rPr>
          <w:rFonts w:ascii="Times New Roman" w:hAnsi="Times New Roman" w:cs="Times New Roman"/>
          <w:sz w:val="24"/>
          <w:szCs w:val="24"/>
        </w:rPr>
        <w:t>pplicant.</w:t>
      </w:r>
      <w:r w:rsidR="00791C08" w:rsidRPr="005C5537">
        <w:rPr>
          <w:rFonts w:ascii="Times New Roman" w:hAnsi="Times New Roman" w:cs="Times New Roman"/>
          <w:sz w:val="24"/>
          <w:szCs w:val="24"/>
        </w:rPr>
        <w:t xml:space="preserve"> </w:t>
      </w:r>
      <w:r w:rsidR="003070AC" w:rsidRPr="005C5537">
        <w:rPr>
          <w:rFonts w:ascii="Times New Roman" w:hAnsi="Times New Roman" w:cs="Times New Roman"/>
          <w:sz w:val="24"/>
          <w:szCs w:val="24"/>
        </w:rPr>
        <w:t xml:space="preserve"> </w:t>
      </w:r>
      <w:r w:rsidR="001440D3" w:rsidRPr="005C5537">
        <w:rPr>
          <w:rFonts w:ascii="Times New Roman" w:hAnsi="Times New Roman" w:cs="Times New Roman"/>
          <w:sz w:val="24"/>
          <w:szCs w:val="24"/>
        </w:rPr>
        <w:t xml:space="preserve"> </w:t>
      </w:r>
      <w:r w:rsidR="00C700E8" w:rsidRPr="005C5537">
        <w:rPr>
          <w:rFonts w:ascii="Times New Roman" w:hAnsi="Times New Roman" w:cs="Times New Roman"/>
          <w:sz w:val="24"/>
          <w:szCs w:val="24"/>
        </w:rPr>
        <w:t xml:space="preserve"> </w:t>
      </w:r>
      <w:r w:rsidR="0047474E" w:rsidRPr="005C5537">
        <w:rPr>
          <w:rFonts w:ascii="Times New Roman" w:hAnsi="Times New Roman" w:cs="Times New Roman"/>
          <w:sz w:val="24"/>
          <w:szCs w:val="24"/>
        </w:rPr>
        <w:t xml:space="preserve"> </w:t>
      </w:r>
      <w:r w:rsidR="003F491D" w:rsidRPr="005C5537">
        <w:rPr>
          <w:rFonts w:ascii="Times New Roman" w:hAnsi="Times New Roman" w:cs="Times New Roman"/>
          <w:sz w:val="24"/>
          <w:szCs w:val="24"/>
        </w:rPr>
        <w:t xml:space="preserve"> </w:t>
      </w:r>
      <w:r w:rsidR="00D91D23" w:rsidRPr="005C5537">
        <w:rPr>
          <w:rFonts w:ascii="Times New Roman" w:hAnsi="Times New Roman" w:cs="Times New Roman"/>
          <w:sz w:val="24"/>
          <w:szCs w:val="24"/>
        </w:rPr>
        <w:t xml:space="preserve"> </w:t>
      </w:r>
    </w:p>
    <w:p w:rsidR="00EC1AEA" w:rsidRPr="005C5537" w:rsidRDefault="008E0E5E" w:rsidP="00484D48">
      <w:pPr>
        <w:spacing w:after="0" w:line="360" w:lineRule="auto"/>
        <w:ind w:firstLine="720"/>
        <w:jc w:val="both"/>
        <w:rPr>
          <w:rFonts w:ascii="Times New Roman" w:hAnsi="Times New Roman" w:cs="Times New Roman"/>
          <w:sz w:val="24"/>
          <w:szCs w:val="24"/>
        </w:rPr>
      </w:pPr>
      <w:r w:rsidRPr="005C5537">
        <w:rPr>
          <w:rFonts w:ascii="Times New Roman" w:hAnsi="Times New Roman" w:cs="Times New Roman"/>
          <w:sz w:val="24"/>
          <w:szCs w:val="24"/>
        </w:rPr>
        <w:t xml:space="preserve">On a balance of probability, I am of the considered view that the </w:t>
      </w:r>
      <w:r w:rsidR="007369DE">
        <w:rPr>
          <w:rFonts w:ascii="Times New Roman" w:hAnsi="Times New Roman" w:cs="Times New Roman"/>
          <w:sz w:val="24"/>
          <w:szCs w:val="24"/>
        </w:rPr>
        <w:t>a</w:t>
      </w:r>
      <w:r w:rsidRPr="005C5537">
        <w:rPr>
          <w:rFonts w:ascii="Times New Roman" w:hAnsi="Times New Roman" w:cs="Times New Roman"/>
          <w:sz w:val="24"/>
          <w:szCs w:val="24"/>
        </w:rPr>
        <w:t>pplicant’s explanation for the delay is</w:t>
      </w:r>
      <w:r w:rsidR="00C50659" w:rsidRPr="005C5537">
        <w:rPr>
          <w:rFonts w:ascii="Times New Roman" w:hAnsi="Times New Roman" w:cs="Times New Roman"/>
          <w:sz w:val="24"/>
          <w:szCs w:val="24"/>
        </w:rPr>
        <w:t xml:space="preserve"> reasonable.</w:t>
      </w:r>
      <w:r w:rsidR="00310706" w:rsidRPr="005C5537">
        <w:rPr>
          <w:rFonts w:ascii="Times New Roman" w:hAnsi="Times New Roman" w:cs="Times New Roman"/>
          <w:sz w:val="24"/>
          <w:szCs w:val="24"/>
        </w:rPr>
        <w:t xml:space="preserve"> There was no exces</w:t>
      </w:r>
      <w:r w:rsidR="007369DE">
        <w:rPr>
          <w:rFonts w:ascii="Times New Roman" w:hAnsi="Times New Roman" w:cs="Times New Roman"/>
          <w:sz w:val="24"/>
          <w:szCs w:val="24"/>
        </w:rPr>
        <w:t>sive delay in approaching this c</w:t>
      </w:r>
      <w:r w:rsidR="00310706" w:rsidRPr="005C5537">
        <w:rPr>
          <w:rFonts w:ascii="Times New Roman" w:hAnsi="Times New Roman" w:cs="Times New Roman"/>
          <w:sz w:val="24"/>
          <w:szCs w:val="24"/>
        </w:rPr>
        <w:t>ourt. In the case of</w:t>
      </w:r>
      <w:r w:rsidR="0016175C" w:rsidRPr="005C5537">
        <w:rPr>
          <w:rFonts w:ascii="Times New Roman" w:hAnsi="Times New Roman" w:cs="Times New Roman"/>
          <w:sz w:val="24"/>
          <w:szCs w:val="24"/>
        </w:rPr>
        <w:t xml:space="preserve"> </w:t>
      </w:r>
      <w:r w:rsidR="0016175C" w:rsidRPr="007369DE">
        <w:rPr>
          <w:rFonts w:ascii="Times New Roman" w:hAnsi="Times New Roman" w:cs="Times New Roman"/>
          <w:i/>
          <w:sz w:val="24"/>
          <w:szCs w:val="24"/>
        </w:rPr>
        <w:t>Nzara v Tsanyau and Others</w:t>
      </w:r>
      <w:r w:rsidR="00BF43F7" w:rsidRPr="005C5537">
        <w:rPr>
          <w:rStyle w:val="FootnoteReference"/>
          <w:rFonts w:ascii="Times New Roman" w:hAnsi="Times New Roman" w:cs="Times New Roman"/>
          <w:sz w:val="24"/>
          <w:szCs w:val="24"/>
        </w:rPr>
        <w:footnoteReference w:id="1"/>
      </w:r>
      <w:r w:rsidR="0016175C" w:rsidRPr="005C5537">
        <w:rPr>
          <w:rFonts w:ascii="Times New Roman" w:hAnsi="Times New Roman" w:cs="Times New Roman"/>
          <w:sz w:val="24"/>
          <w:szCs w:val="24"/>
        </w:rPr>
        <w:t xml:space="preserve">, the court held that a delay </w:t>
      </w:r>
      <w:r w:rsidR="009A0619" w:rsidRPr="005C5537">
        <w:rPr>
          <w:rFonts w:ascii="Times New Roman" w:hAnsi="Times New Roman" w:cs="Times New Roman"/>
          <w:sz w:val="24"/>
          <w:szCs w:val="24"/>
        </w:rPr>
        <w:t xml:space="preserve">of </w:t>
      </w:r>
      <w:r w:rsidR="0016175C" w:rsidRPr="005C5537">
        <w:rPr>
          <w:rFonts w:ascii="Times New Roman" w:hAnsi="Times New Roman" w:cs="Times New Roman"/>
          <w:sz w:val="24"/>
          <w:szCs w:val="24"/>
        </w:rPr>
        <w:t xml:space="preserve">eighteen days does not amount </w:t>
      </w:r>
      <w:r w:rsidR="00D061FA" w:rsidRPr="005C5537">
        <w:rPr>
          <w:rFonts w:ascii="Times New Roman" w:hAnsi="Times New Roman" w:cs="Times New Roman"/>
          <w:sz w:val="24"/>
          <w:szCs w:val="24"/>
        </w:rPr>
        <w:t xml:space="preserve">to </w:t>
      </w:r>
      <w:r w:rsidR="0016175C" w:rsidRPr="005C5537">
        <w:rPr>
          <w:rFonts w:ascii="Times New Roman" w:hAnsi="Times New Roman" w:cs="Times New Roman"/>
          <w:sz w:val="24"/>
          <w:szCs w:val="24"/>
        </w:rPr>
        <w:t>inordinate delay.</w:t>
      </w:r>
      <w:r w:rsidR="00846E52" w:rsidRPr="005C5537">
        <w:rPr>
          <w:rFonts w:ascii="Times New Roman" w:hAnsi="Times New Roman" w:cs="Times New Roman"/>
          <w:sz w:val="24"/>
          <w:szCs w:val="24"/>
        </w:rPr>
        <w:t xml:space="preserve"> </w:t>
      </w:r>
      <w:r w:rsidR="008320BA" w:rsidRPr="005C5537">
        <w:rPr>
          <w:rFonts w:ascii="Times New Roman" w:hAnsi="Times New Roman" w:cs="Times New Roman"/>
          <w:sz w:val="24"/>
          <w:szCs w:val="24"/>
        </w:rPr>
        <w:t xml:space="preserve"> </w:t>
      </w:r>
    </w:p>
    <w:p w:rsidR="00EC1AEA" w:rsidRPr="005C5537" w:rsidRDefault="00EC1AEA" w:rsidP="00484D48">
      <w:pPr>
        <w:spacing w:after="0" w:line="360" w:lineRule="auto"/>
        <w:ind w:firstLine="720"/>
        <w:jc w:val="both"/>
        <w:rPr>
          <w:rFonts w:ascii="Times New Roman" w:hAnsi="Times New Roman" w:cs="Times New Roman"/>
          <w:sz w:val="24"/>
          <w:szCs w:val="24"/>
        </w:rPr>
      </w:pPr>
      <w:r w:rsidRPr="005C5537">
        <w:rPr>
          <w:rFonts w:ascii="Times New Roman" w:hAnsi="Times New Roman" w:cs="Times New Roman"/>
          <w:sz w:val="24"/>
          <w:szCs w:val="24"/>
        </w:rPr>
        <w:t xml:space="preserve">In the case of </w:t>
      </w:r>
      <w:r w:rsidRPr="007369DE">
        <w:rPr>
          <w:rFonts w:ascii="Times New Roman" w:hAnsi="Times New Roman" w:cs="Times New Roman"/>
          <w:i/>
          <w:sz w:val="24"/>
          <w:szCs w:val="24"/>
        </w:rPr>
        <w:t>Kuvarega v Registrar General and Another</w:t>
      </w:r>
      <w:r w:rsidR="00F040D2" w:rsidRPr="005C5537">
        <w:rPr>
          <w:rStyle w:val="FootnoteReference"/>
          <w:rFonts w:ascii="Times New Roman" w:hAnsi="Times New Roman" w:cs="Times New Roman"/>
          <w:sz w:val="24"/>
          <w:szCs w:val="24"/>
        </w:rPr>
        <w:footnoteReference w:id="2"/>
      </w:r>
      <w:r w:rsidRPr="005C5537">
        <w:rPr>
          <w:rFonts w:ascii="Times New Roman" w:hAnsi="Times New Roman" w:cs="Times New Roman"/>
          <w:sz w:val="24"/>
          <w:szCs w:val="24"/>
        </w:rPr>
        <w:t>, the court held that:</w:t>
      </w:r>
    </w:p>
    <w:p w:rsidR="00F040D2" w:rsidRDefault="00EC1AEA" w:rsidP="00484D48">
      <w:pPr>
        <w:spacing w:after="0" w:line="240" w:lineRule="auto"/>
        <w:ind w:left="720"/>
        <w:jc w:val="both"/>
        <w:rPr>
          <w:rFonts w:ascii="Times New Roman" w:hAnsi="Times New Roman" w:cs="Times New Roman"/>
          <w:sz w:val="24"/>
          <w:szCs w:val="24"/>
        </w:rPr>
      </w:pPr>
      <w:r w:rsidRPr="005C5537">
        <w:rPr>
          <w:rFonts w:ascii="Times New Roman" w:hAnsi="Times New Roman" w:cs="Times New Roman"/>
          <w:sz w:val="24"/>
          <w:szCs w:val="24"/>
        </w:rPr>
        <w:t>“What constitutes urgency is not only the imminent arrival of the day of reckoning. A matter is urgent if at the time the need to act arise, the matter cannot wait. Urgency which stems from a deliberate or careless abstention from action until the deadline draws near is not the type of urgency contemplated by the rules. It necessarily follows that the certificate of urgency or the supporting affidavit must always contain an explanation of the non-timeous action if there has been any delay.”</w:t>
      </w:r>
    </w:p>
    <w:p w:rsidR="00D02E88" w:rsidRPr="005C5537" w:rsidRDefault="00D02E88" w:rsidP="00484D48">
      <w:pPr>
        <w:spacing w:after="0" w:line="240" w:lineRule="auto"/>
        <w:ind w:left="720"/>
        <w:jc w:val="both"/>
        <w:rPr>
          <w:rFonts w:ascii="Times New Roman" w:hAnsi="Times New Roman" w:cs="Times New Roman"/>
          <w:sz w:val="24"/>
          <w:szCs w:val="24"/>
        </w:rPr>
      </w:pPr>
    </w:p>
    <w:p w:rsidR="007A7142" w:rsidRPr="007369DE" w:rsidRDefault="00F040D2" w:rsidP="00484D48">
      <w:pPr>
        <w:spacing w:after="0" w:line="360" w:lineRule="auto"/>
        <w:ind w:firstLine="720"/>
        <w:jc w:val="both"/>
        <w:rPr>
          <w:rFonts w:ascii="Times New Roman" w:hAnsi="Times New Roman" w:cs="Times New Roman"/>
          <w:sz w:val="24"/>
          <w:szCs w:val="24"/>
        </w:rPr>
      </w:pPr>
      <w:r w:rsidRPr="005C5537">
        <w:rPr>
          <w:rFonts w:ascii="Times New Roman" w:hAnsi="Times New Roman" w:cs="Times New Roman"/>
          <w:sz w:val="24"/>
          <w:szCs w:val="24"/>
        </w:rPr>
        <w:t>T</w:t>
      </w:r>
      <w:r w:rsidR="007369DE">
        <w:rPr>
          <w:rFonts w:ascii="Times New Roman" w:hAnsi="Times New Roman" w:cs="Times New Roman"/>
          <w:sz w:val="24"/>
          <w:szCs w:val="24"/>
        </w:rPr>
        <w:t>he a</w:t>
      </w:r>
      <w:r w:rsidR="005C5537">
        <w:rPr>
          <w:rFonts w:ascii="Times New Roman" w:hAnsi="Times New Roman" w:cs="Times New Roman"/>
          <w:sz w:val="24"/>
          <w:szCs w:val="24"/>
        </w:rPr>
        <w:t xml:space="preserve">pplicant has explained why </w:t>
      </w:r>
      <w:r w:rsidRPr="005C5537">
        <w:rPr>
          <w:rFonts w:ascii="Times New Roman" w:hAnsi="Times New Roman" w:cs="Times New Roman"/>
          <w:sz w:val="24"/>
          <w:szCs w:val="24"/>
        </w:rPr>
        <w:t xml:space="preserve">it failed to file the present application as highlighted above. I am of the considered view that the explanation </w:t>
      </w:r>
      <w:r w:rsidR="007369DE">
        <w:rPr>
          <w:rFonts w:ascii="Times New Roman" w:hAnsi="Times New Roman" w:cs="Times New Roman"/>
          <w:sz w:val="24"/>
          <w:szCs w:val="24"/>
        </w:rPr>
        <w:t>offered by the applicant in its founding a</w:t>
      </w:r>
      <w:r w:rsidR="00315070" w:rsidRPr="005C5537">
        <w:rPr>
          <w:rFonts w:ascii="Times New Roman" w:hAnsi="Times New Roman" w:cs="Times New Roman"/>
          <w:sz w:val="24"/>
          <w:szCs w:val="24"/>
        </w:rPr>
        <w:t xml:space="preserve">ffidavit </w:t>
      </w:r>
      <w:r w:rsidR="007369DE">
        <w:rPr>
          <w:rFonts w:ascii="Times New Roman" w:hAnsi="Times New Roman" w:cs="Times New Roman"/>
          <w:sz w:val="24"/>
          <w:szCs w:val="24"/>
        </w:rPr>
        <w:t xml:space="preserve">in para. </w:t>
      </w:r>
      <w:r w:rsidR="007A7142" w:rsidRPr="005C5537">
        <w:rPr>
          <w:rFonts w:ascii="Times New Roman" w:hAnsi="Times New Roman" w:cs="Times New Roman"/>
          <w:sz w:val="24"/>
          <w:szCs w:val="24"/>
        </w:rPr>
        <w:t xml:space="preserve">29 </w:t>
      </w:r>
      <w:r w:rsidR="005C5537">
        <w:rPr>
          <w:rFonts w:ascii="Times New Roman" w:hAnsi="Times New Roman" w:cs="Times New Roman"/>
          <w:sz w:val="24"/>
          <w:szCs w:val="24"/>
        </w:rPr>
        <w:t>meets the test specified in</w:t>
      </w:r>
      <w:r w:rsidR="00AE1B8E" w:rsidRPr="005C5537">
        <w:rPr>
          <w:rFonts w:ascii="Times New Roman" w:hAnsi="Times New Roman" w:cs="Times New Roman"/>
          <w:sz w:val="24"/>
          <w:szCs w:val="24"/>
        </w:rPr>
        <w:t xml:space="preserve"> the case of </w:t>
      </w:r>
      <w:r w:rsidR="00AE1B8E" w:rsidRPr="007369DE">
        <w:rPr>
          <w:rFonts w:ascii="Times New Roman" w:hAnsi="Times New Roman" w:cs="Times New Roman"/>
          <w:i/>
          <w:sz w:val="24"/>
          <w:szCs w:val="24"/>
        </w:rPr>
        <w:t xml:space="preserve">Kuvarega </w:t>
      </w:r>
      <w:r w:rsidR="007369DE">
        <w:rPr>
          <w:rFonts w:ascii="Times New Roman" w:hAnsi="Times New Roman" w:cs="Times New Roman"/>
          <w:i/>
          <w:sz w:val="24"/>
          <w:szCs w:val="24"/>
        </w:rPr>
        <w:t>v Registrar and Ano</w:t>
      </w:r>
      <w:r w:rsidR="0089259D" w:rsidRPr="007369DE">
        <w:rPr>
          <w:rFonts w:ascii="Times New Roman" w:hAnsi="Times New Roman" w:cs="Times New Roman"/>
          <w:i/>
          <w:sz w:val="24"/>
          <w:szCs w:val="24"/>
        </w:rPr>
        <w:t>r</w:t>
      </w:r>
      <w:r w:rsidR="0089259D">
        <w:rPr>
          <w:rFonts w:ascii="Times New Roman" w:hAnsi="Times New Roman" w:cs="Times New Roman"/>
          <w:sz w:val="24"/>
          <w:szCs w:val="24"/>
        </w:rPr>
        <w:t xml:space="preserve"> </w:t>
      </w:r>
      <w:r w:rsidR="00AE1B8E" w:rsidRPr="005C5537">
        <w:rPr>
          <w:rFonts w:ascii="Times New Roman" w:hAnsi="Times New Roman" w:cs="Times New Roman"/>
          <w:sz w:val="24"/>
          <w:szCs w:val="24"/>
        </w:rPr>
        <w:t>(</w:t>
      </w:r>
      <w:r w:rsidR="00AE1B8E" w:rsidRPr="005C5537">
        <w:rPr>
          <w:rFonts w:ascii="Times New Roman" w:hAnsi="Times New Roman" w:cs="Times New Roman"/>
          <w:i/>
          <w:sz w:val="24"/>
          <w:szCs w:val="24"/>
        </w:rPr>
        <w:t>supra</w:t>
      </w:r>
      <w:r w:rsidR="00FA47CC">
        <w:rPr>
          <w:rFonts w:ascii="Times New Roman" w:hAnsi="Times New Roman" w:cs="Times New Roman"/>
          <w:sz w:val="24"/>
          <w:szCs w:val="24"/>
        </w:rPr>
        <w:t>). Paragraph 29 of the a</w:t>
      </w:r>
      <w:r w:rsidR="007A7142" w:rsidRPr="005C5537">
        <w:rPr>
          <w:rFonts w:ascii="Times New Roman" w:hAnsi="Times New Roman" w:cs="Times New Roman"/>
          <w:sz w:val="24"/>
          <w:szCs w:val="24"/>
        </w:rPr>
        <w:t>pplicant’s Founding Affidavit reads as follows:</w:t>
      </w:r>
    </w:p>
    <w:p w:rsidR="007A7142" w:rsidRDefault="007A7142" w:rsidP="00484D48">
      <w:pPr>
        <w:spacing w:after="0" w:line="240" w:lineRule="auto"/>
        <w:ind w:left="720"/>
        <w:jc w:val="both"/>
        <w:rPr>
          <w:rFonts w:ascii="Times New Roman" w:hAnsi="Times New Roman" w:cs="Times New Roman"/>
        </w:rPr>
      </w:pPr>
      <w:r w:rsidRPr="005C5537">
        <w:rPr>
          <w:rFonts w:ascii="Times New Roman" w:hAnsi="Times New Roman" w:cs="Times New Roman"/>
          <w:sz w:val="24"/>
          <w:szCs w:val="24"/>
        </w:rPr>
        <w:t>“</w:t>
      </w:r>
      <w:r w:rsidRPr="007369DE">
        <w:rPr>
          <w:rFonts w:ascii="Times New Roman" w:hAnsi="Times New Roman" w:cs="Times New Roman"/>
        </w:rPr>
        <w:t xml:space="preserve">The Applicant would have approached this court a bit earlier than it has done. The explanation is it was held back by a conduct of one Phillimon Ndushu who has also been interfering with the Applicant’s mining operations at the same Trafalgar Mine, prompting the </w:t>
      </w:r>
      <w:r w:rsidR="007369DE">
        <w:rPr>
          <w:rFonts w:ascii="Times New Roman" w:hAnsi="Times New Roman" w:cs="Times New Roman"/>
        </w:rPr>
        <w:t>a</w:t>
      </w:r>
      <w:r w:rsidRPr="007369DE">
        <w:rPr>
          <w:rFonts w:ascii="Times New Roman" w:hAnsi="Times New Roman" w:cs="Times New Roman"/>
        </w:rPr>
        <w:t>pplicant to again file an urgent chamber application under HC 694</w:t>
      </w:r>
      <w:r w:rsidR="005C5537" w:rsidRPr="007369DE">
        <w:rPr>
          <w:rFonts w:ascii="Times New Roman" w:hAnsi="Times New Roman" w:cs="Times New Roman"/>
        </w:rPr>
        <w:t>4-21</w:t>
      </w:r>
      <w:r w:rsidRPr="007369DE">
        <w:rPr>
          <w:rFonts w:ascii="Times New Roman" w:hAnsi="Times New Roman" w:cs="Times New Roman"/>
        </w:rPr>
        <w:t xml:space="preserve"> on 2 December 2021. The said urgent chamber application was granted with the consent of all parties therein on 8 December 2021.”</w:t>
      </w:r>
    </w:p>
    <w:p w:rsidR="00D02E88" w:rsidRPr="007369DE" w:rsidRDefault="00D02E88" w:rsidP="00484D48">
      <w:pPr>
        <w:spacing w:after="0" w:line="240" w:lineRule="auto"/>
        <w:ind w:left="720"/>
        <w:jc w:val="both"/>
        <w:rPr>
          <w:rFonts w:ascii="Times New Roman" w:hAnsi="Times New Roman" w:cs="Times New Roman"/>
        </w:rPr>
      </w:pPr>
    </w:p>
    <w:p w:rsidR="00C23C33" w:rsidRPr="005C5537" w:rsidRDefault="00AE1B8E" w:rsidP="00484D48">
      <w:pPr>
        <w:spacing w:after="0" w:line="360" w:lineRule="auto"/>
        <w:jc w:val="both"/>
        <w:rPr>
          <w:rFonts w:ascii="Times New Roman" w:hAnsi="Times New Roman" w:cs="Times New Roman"/>
          <w:i/>
          <w:sz w:val="24"/>
          <w:szCs w:val="24"/>
        </w:rPr>
      </w:pPr>
      <w:r w:rsidRPr="005C5537">
        <w:rPr>
          <w:rFonts w:ascii="Times New Roman" w:hAnsi="Times New Roman" w:cs="Times New Roman"/>
          <w:i/>
          <w:sz w:val="24"/>
          <w:szCs w:val="24"/>
        </w:rPr>
        <w:t xml:space="preserve"> </w:t>
      </w:r>
      <w:r w:rsidR="007369DE">
        <w:rPr>
          <w:rFonts w:ascii="Times New Roman" w:hAnsi="Times New Roman" w:cs="Times New Roman"/>
          <w:i/>
          <w:sz w:val="24"/>
          <w:szCs w:val="24"/>
        </w:rPr>
        <w:tab/>
      </w:r>
      <w:r w:rsidRPr="005C5537">
        <w:rPr>
          <w:rFonts w:ascii="Times New Roman" w:hAnsi="Times New Roman" w:cs="Times New Roman"/>
          <w:sz w:val="24"/>
          <w:szCs w:val="24"/>
        </w:rPr>
        <w:t xml:space="preserve">Consequently, I dismiss the point </w:t>
      </w:r>
      <w:r w:rsidRPr="005C5537">
        <w:rPr>
          <w:rFonts w:ascii="Times New Roman" w:hAnsi="Times New Roman" w:cs="Times New Roman"/>
          <w:i/>
          <w:sz w:val="24"/>
          <w:szCs w:val="24"/>
        </w:rPr>
        <w:t>in limine</w:t>
      </w:r>
      <w:r w:rsidR="007A7142" w:rsidRPr="005C5537">
        <w:rPr>
          <w:rFonts w:ascii="Times New Roman" w:hAnsi="Times New Roman" w:cs="Times New Roman"/>
          <w:i/>
          <w:sz w:val="24"/>
          <w:szCs w:val="24"/>
        </w:rPr>
        <w:t xml:space="preserve"> </w:t>
      </w:r>
      <w:r w:rsidR="007A7142" w:rsidRPr="005C5537">
        <w:rPr>
          <w:rFonts w:ascii="Times New Roman" w:hAnsi="Times New Roman" w:cs="Times New Roman"/>
          <w:sz w:val="24"/>
          <w:szCs w:val="24"/>
        </w:rPr>
        <w:t>raised by the 1</w:t>
      </w:r>
      <w:r w:rsidR="007A7142" w:rsidRPr="005C5537">
        <w:rPr>
          <w:rFonts w:ascii="Times New Roman" w:hAnsi="Times New Roman" w:cs="Times New Roman"/>
          <w:sz w:val="24"/>
          <w:szCs w:val="24"/>
          <w:vertAlign w:val="superscript"/>
        </w:rPr>
        <w:t>st</w:t>
      </w:r>
      <w:r w:rsidR="007A7142" w:rsidRPr="005C5537">
        <w:rPr>
          <w:rFonts w:ascii="Times New Roman" w:hAnsi="Times New Roman" w:cs="Times New Roman"/>
          <w:i/>
          <w:sz w:val="24"/>
          <w:szCs w:val="24"/>
        </w:rPr>
        <w:t xml:space="preserve"> </w:t>
      </w:r>
      <w:r w:rsidR="007369DE">
        <w:rPr>
          <w:rFonts w:ascii="Times New Roman" w:hAnsi="Times New Roman" w:cs="Times New Roman"/>
          <w:sz w:val="24"/>
          <w:szCs w:val="24"/>
        </w:rPr>
        <w:t>r</w:t>
      </w:r>
      <w:r w:rsidR="007A7142" w:rsidRPr="005C5537">
        <w:rPr>
          <w:rFonts w:ascii="Times New Roman" w:hAnsi="Times New Roman" w:cs="Times New Roman"/>
          <w:sz w:val="24"/>
          <w:szCs w:val="24"/>
        </w:rPr>
        <w:t>espondent</w:t>
      </w:r>
      <w:r w:rsidR="00F05B0D">
        <w:rPr>
          <w:rFonts w:ascii="Times New Roman" w:hAnsi="Times New Roman" w:cs="Times New Roman"/>
          <w:sz w:val="24"/>
          <w:szCs w:val="24"/>
        </w:rPr>
        <w:t xml:space="preserve"> for the reasons highlighted above</w:t>
      </w:r>
      <w:r w:rsidRPr="005C5537">
        <w:rPr>
          <w:rFonts w:ascii="Times New Roman" w:hAnsi="Times New Roman" w:cs="Times New Roman"/>
          <w:sz w:val="24"/>
          <w:szCs w:val="24"/>
        </w:rPr>
        <w:t>.</w:t>
      </w:r>
      <w:r w:rsidR="00F040D2" w:rsidRPr="005C5537">
        <w:rPr>
          <w:rFonts w:ascii="Times New Roman" w:hAnsi="Times New Roman" w:cs="Times New Roman"/>
          <w:sz w:val="24"/>
          <w:szCs w:val="24"/>
        </w:rPr>
        <w:t xml:space="preserve"> </w:t>
      </w:r>
    </w:p>
    <w:p w:rsidR="00F040D2" w:rsidRPr="005C5537" w:rsidRDefault="00F040D2" w:rsidP="00484D48">
      <w:pPr>
        <w:spacing w:after="0" w:line="360" w:lineRule="auto"/>
        <w:jc w:val="both"/>
        <w:rPr>
          <w:rFonts w:ascii="Times New Roman" w:hAnsi="Times New Roman" w:cs="Times New Roman"/>
          <w:sz w:val="24"/>
          <w:szCs w:val="24"/>
        </w:rPr>
      </w:pPr>
    </w:p>
    <w:p w:rsidR="003A1BC9" w:rsidRPr="005C5537" w:rsidRDefault="00C23C33" w:rsidP="00484D48">
      <w:pPr>
        <w:spacing w:after="0" w:line="360" w:lineRule="auto"/>
        <w:ind w:firstLine="720"/>
        <w:jc w:val="both"/>
        <w:rPr>
          <w:rFonts w:ascii="Times New Roman" w:hAnsi="Times New Roman" w:cs="Times New Roman"/>
          <w:sz w:val="24"/>
          <w:szCs w:val="24"/>
        </w:rPr>
      </w:pPr>
      <w:r w:rsidRPr="005C5537">
        <w:rPr>
          <w:rFonts w:ascii="Times New Roman" w:hAnsi="Times New Roman" w:cs="Times New Roman"/>
          <w:sz w:val="24"/>
          <w:szCs w:val="24"/>
        </w:rPr>
        <w:t>I will now shift my attention to the merits of the present application.</w:t>
      </w:r>
      <w:r w:rsidR="007369DE">
        <w:rPr>
          <w:rFonts w:ascii="Times New Roman" w:hAnsi="Times New Roman" w:cs="Times New Roman"/>
          <w:sz w:val="24"/>
          <w:szCs w:val="24"/>
        </w:rPr>
        <w:t xml:space="preserve"> Mr</w:t>
      </w:r>
      <w:r w:rsidR="00C25D93" w:rsidRPr="005C5537">
        <w:rPr>
          <w:rFonts w:ascii="Times New Roman" w:hAnsi="Times New Roman" w:cs="Times New Roman"/>
          <w:sz w:val="24"/>
          <w:szCs w:val="24"/>
        </w:rPr>
        <w:t xml:space="preserve"> </w:t>
      </w:r>
      <w:r w:rsidR="00C25D93" w:rsidRPr="007369DE">
        <w:rPr>
          <w:rFonts w:ascii="Times New Roman" w:hAnsi="Times New Roman" w:cs="Times New Roman"/>
          <w:i/>
          <w:sz w:val="24"/>
          <w:szCs w:val="24"/>
        </w:rPr>
        <w:t>Ushehwekunze</w:t>
      </w:r>
      <w:r w:rsidR="00C25D93" w:rsidRPr="005C5537">
        <w:rPr>
          <w:rFonts w:ascii="Times New Roman" w:hAnsi="Times New Roman" w:cs="Times New Roman"/>
          <w:sz w:val="24"/>
          <w:szCs w:val="24"/>
        </w:rPr>
        <w:t xml:space="preserve"> submitted that the 1</w:t>
      </w:r>
      <w:r w:rsidR="00C25D93" w:rsidRPr="005C5537">
        <w:rPr>
          <w:rFonts w:ascii="Times New Roman" w:hAnsi="Times New Roman" w:cs="Times New Roman"/>
          <w:sz w:val="24"/>
          <w:szCs w:val="24"/>
          <w:vertAlign w:val="superscript"/>
        </w:rPr>
        <w:t>st</w:t>
      </w:r>
      <w:r w:rsidR="007369DE">
        <w:rPr>
          <w:rFonts w:ascii="Times New Roman" w:hAnsi="Times New Roman" w:cs="Times New Roman"/>
          <w:sz w:val="24"/>
          <w:szCs w:val="24"/>
        </w:rPr>
        <w:t xml:space="preserve"> r</w:t>
      </w:r>
      <w:r w:rsidR="00C25D93" w:rsidRPr="005C5537">
        <w:rPr>
          <w:rFonts w:ascii="Times New Roman" w:hAnsi="Times New Roman" w:cs="Times New Roman"/>
          <w:sz w:val="24"/>
          <w:szCs w:val="24"/>
        </w:rPr>
        <w:t xml:space="preserve">espondent’s documentation, </w:t>
      </w:r>
      <w:r w:rsidR="001852C2" w:rsidRPr="005C5537">
        <w:rPr>
          <w:rFonts w:ascii="Times New Roman" w:hAnsi="Times New Roman" w:cs="Times New Roman"/>
          <w:sz w:val="24"/>
          <w:szCs w:val="24"/>
        </w:rPr>
        <w:t xml:space="preserve">the Prospecting Licence, </w:t>
      </w:r>
      <w:r w:rsidR="00C25D93" w:rsidRPr="005C5537">
        <w:rPr>
          <w:rFonts w:ascii="Times New Roman" w:hAnsi="Times New Roman" w:cs="Times New Roman"/>
          <w:sz w:val="24"/>
          <w:szCs w:val="24"/>
        </w:rPr>
        <w:t>Prospecting Notice and the Registration Notice are suspicious as they do not have the stamps of the 2</w:t>
      </w:r>
      <w:r w:rsidR="00C25D93" w:rsidRPr="005C5537">
        <w:rPr>
          <w:rFonts w:ascii="Times New Roman" w:hAnsi="Times New Roman" w:cs="Times New Roman"/>
          <w:sz w:val="24"/>
          <w:szCs w:val="24"/>
          <w:vertAlign w:val="superscript"/>
        </w:rPr>
        <w:t>nd</w:t>
      </w:r>
      <w:r w:rsidR="007369DE">
        <w:rPr>
          <w:rFonts w:ascii="Times New Roman" w:hAnsi="Times New Roman" w:cs="Times New Roman"/>
          <w:sz w:val="24"/>
          <w:szCs w:val="24"/>
        </w:rPr>
        <w:t xml:space="preserve"> r</w:t>
      </w:r>
      <w:r w:rsidR="00C25D93" w:rsidRPr="005C5537">
        <w:rPr>
          <w:rFonts w:ascii="Times New Roman" w:hAnsi="Times New Roman" w:cs="Times New Roman"/>
          <w:sz w:val="24"/>
          <w:szCs w:val="24"/>
        </w:rPr>
        <w:t>espondent.</w:t>
      </w:r>
      <w:r w:rsidR="00F933F0" w:rsidRPr="005C5537">
        <w:rPr>
          <w:rFonts w:ascii="Times New Roman" w:hAnsi="Times New Roman" w:cs="Times New Roman"/>
          <w:sz w:val="24"/>
          <w:szCs w:val="24"/>
        </w:rPr>
        <w:t xml:space="preserve"> </w:t>
      </w:r>
      <w:r w:rsidR="007369DE">
        <w:rPr>
          <w:rFonts w:ascii="Times New Roman" w:hAnsi="Times New Roman" w:cs="Times New Roman"/>
          <w:sz w:val="24"/>
          <w:szCs w:val="24"/>
        </w:rPr>
        <w:t xml:space="preserve"> The a</w:t>
      </w:r>
      <w:r w:rsidR="00B10793" w:rsidRPr="005C5537">
        <w:rPr>
          <w:rFonts w:ascii="Times New Roman" w:hAnsi="Times New Roman" w:cs="Times New Roman"/>
          <w:sz w:val="24"/>
          <w:szCs w:val="24"/>
        </w:rPr>
        <w:t xml:space="preserve">pplicant’s counsel also submitted </w:t>
      </w:r>
      <w:r w:rsidR="007A7142" w:rsidRPr="005C5537">
        <w:rPr>
          <w:rFonts w:ascii="Times New Roman" w:hAnsi="Times New Roman" w:cs="Times New Roman"/>
          <w:sz w:val="24"/>
          <w:szCs w:val="24"/>
        </w:rPr>
        <w:t xml:space="preserve">that </w:t>
      </w:r>
      <w:r w:rsidR="00B10793" w:rsidRPr="005C5537">
        <w:rPr>
          <w:rFonts w:ascii="Times New Roman" w:hAnsi="Times New Roman" w:cs="Times New Roman"/>
          <w:sz w:val="24"/>
          <w:szCs w:val="24"/>
        </w:rPr>
        <w:t>the documents relied upon by the 1</w:t>
      </w:r>
      <w:r w:rsidR="00B10793" w:rsidRPr="005C5537">
        <w:rPr>
          <w:rFonts w:ascii="Times New Roman" w:hAnsi="Times New Roman" w:cs="Times New Roman"/>
          <w:sz w:val="24"/>
          <w:szCs w:val="24"/>
          <w:vertAlign w:val="superscript"/>
        </w:rPr>
        <w:t>st</w:t>
      </w:r>
      <w:r w:rsidR="007369DE">
        <w:rPr>
          <w:rFonts w:ascii="Times New Roman" w:hAnsi="Times New Roman" w:cs="Times New Roman"/>
          <w:sz w:val="24"/>
          <w:szCs w:val="24"/>
        </w:rPr>
        <w:t xml:space="preserve"> r</w:t>
      </w:r>
      <w:r w:rsidR="00B10793" w:rsidRPr="005C5537">
        <w:rPr>
          <w:rFonts w:ascii="Times New Roman" w:hAnsi="Times New Roman" w:cs="Times New Roman"/>
          <w:sz w:val="24"/>
          <w:szCs w:val="24"/>
        </w:rPr>
        <w:t>espondent (Prospecting N</w:t>
      </w:r>
      <w:r w:rsidR="005C5537">
        <w:rPr>
          <w:rFonts w:ascii="Times New Roman" w:hAnsi="Times New Roman" w:cs="Times New Roman"/>
          <w:sz w:val="24"/>
          <w:szCs w:val="24"/>
        </w:rPr>
        <w:t xml:space="preserve">otice and Registration Notice) </w:t>
      </w:r>
      <w:r w:rsidR="00B10793" w:rsidRPr="005C5537">
        <w:rPr>
          <w:rFonts w:ascii="Times New Roman" w:hAnsi="Times New Roman" w:cs="Times New Roman"/>
          <w:sz w:val="24"/>
          <w:szCs w:val="24"/>
        </w:rPr>
        <w:t>bear the same date</w:t>
      </w:r>
      <w:r w:rsidR="00B80BEA" w:rsidRPr="005C5537">
        <w:rPr>
          <w:rFonts w:ascii="Times New Roman" w:hAnsi="Times New Roman" w:cs="Times New Roman"/>
          <w:sz w:val="24"/>
          <w:szCs w:val="24"/>
        </w:rPr>
        <w:t>, that is to say 26 July 2021</w:t>
      </w:r>
      <w:r w:rsidR="001852C2" w:rsidRPr="005C5537">
        <w:rPr>
          <w:rFonts w:ascii="Times New Roman" w:hAnsi="Times New Roman" w:cs="Times New Roman"/>
          <w:sz w:val="24"/>
          <w:szCs w:val="24"/>
        </w:rPr>
        <w:t xml:space="preserve"> while the Prospecting Licence is not dated</w:t>
      </w:r>
      <w:r w:rsidR="00B80BEA" w:rsidRPr="005C5537">
        <w:rPr>
          <w:rFonts w:ascii="Times New Roman" w:hAnsi="Times New Roman" w:cs="Times New Roman"/>
          <w:sz w:val="24"/>
          <w:szCs w:val="24"/>
        </w:rPr>
        <w:t>.</w:t>
      </w:r>
      <w:r w:rsidR="007B42B8" w:rsidRPr="005C5537">
        <w:rPr>
          <w:rFonts w:ascii="Times New Roman" w:hAnsi="Times New Roman" w:cs="Times New Roman"/>
          <w:sz w:val="24"/>
          <w:szCs w:val="24"/>
        </w:rPr>
        <w:t xml:space="preserve"> </w:t>
      </w:r>
      <w:r w:rsidR="007A7142" w:rsidRPr="005C5537">
        <w:rPr>
          <w:rFonts w:ascii="Times New Roman" w:hAnsi="Times New Roman" w:cs="Times New Roman"/>
          <w:sz w:val="24"/>
          <w:szCs w:val="24"/>
        </w:rPr>
        <w:t xml:space="preserve">The </w:t>
      </w:r>
      <w:r w:rsidR="007369DE">
        <w:rPr>
          <w:rFonts w:ascii="Times New Roman" w:hAnsi="Times New Roman" w:cs="Times New Roman"/>
          <w:sz w:val="24"/>
          <w:szCs w:val="24"/>
        </w:rPr>
        <w:t>a</w:t>
      </w:r>
      <w:r w:rsidR="00F00668" w:rsidRPr="005C5537">
        <w:rPr>
          <w:rFonts w:ascii="Times New Roman" w:hAnsi="Times New Roman" w:cs="Times New Roman"/>
          <w:sz w:val="24"/>
          <w:szCs w:val="24"/>
        </w:rPr>
        <w:t xml:space="preserve">pplicant submitted that he made repeated efforts </w:t>
      </w:r>
      <w:r w:rsidR="001852C2" w:rsidRPr="005C5537">
        <w:rPr>
          <w:rFonts w:ascii="Times New Roman" w:hAnsi="Times New Roman" w:cs="Times New Roman"/>
          <w:sz w:val="24"/>
          <w:szCs w:val="24"/>
        </w:rPr>
        <w:t>to request</w:t>
      </w:r>
      <w:r w:rsidR="007369DE">
        <w:rPr>
          <w:rFonts w:ascii="Times New Roman" w:hAnsi="Times New Roman" w:cs="Times New Roman"/>
          <w:sz w:val="24"/>
          <w:szCs w:val="24"/>
        </w:rPr>
        <w:t xml:space="preserve">, </w:t>
      </w:r>
      <w:r w:rsidR="0089259D">
        <w:rPr>
          <w:rFonts w:ascii="Times New Roman" w:hAnsi="Times New Roman" w:cs="Times New Roman"/>
          <w:sz w:val="24"/>
          <w:szCs w:val="24"/>
        </w:rPr>
        <w:t>from the 1</w:t>
      </w:r>
      <w:r w:rsidR="0089259D" w:rsidRPr="0089259D">
        <w:rPr>
          <w:rFonts w:ascii="Times New Roman" w:hAnsi="Times New Roman" w:cs="Times New Roman"/>
          <w:sz w:val="24"/>
          <w:szCs w:val="24"/>
          <w:vertAlign w:val="superscript"/>
        </w:rPr>
        <w:t>st</w:t>
      </w:r>
      <w:r w:rsidR="007369DE">
        <w:rPr>
          <w:rFonts w:ascii="Times New Roman" w:hAnsi="Times New Roman" w:cs="Times New Roman"/>
          <w:sz w:val="24"/>
          <w:szCs w:val="24"/>
        </w:rPr>
        <w:t xml:space="preserve"> r</w:t>
      </w:r>
      <w:r w:rsidR="00D02E88">
        <w:rPr>
          <w:rFonts w:ascii="Times New Roman" w:hAnsi="Times New Roman" w:cs="Times New Roman"/>
          <w:sz w:val="24"/>
          <w:szCs w:val="24"/>
        </w:rPr>
        <w:t xml:space="preserve">espondent, </w:t>
      </w:r>
      <w:r w:rsidR="001852C2" w:rsidRPr="005C5537">
        <w:rPr>
          <w:rFonts w:ascii="Times New Roman" w:hAnsi="Times New Roman" w:cs="Times New Roman"/>
          <w:sz w:val="24"/>
          <w:szCs w:val="24"/>
        </w:rPr>
        <w:t>for the original copies</w:t>
      </w:r>
      <w:r w:rsidR="00F00668" w:rsidRPr="005C5537">
        <w:rPr>
          <w:rFonts w:ascii="Times New Roman" w:hAnsi="Times New Roman" w:cs="Times New Roman"/>
          <w:sz w:val="24"/>
          <w:szCs w:val="24"/>
        </w:rPr>
        <w:t xml:space="preserve"> of the </w:t>
      </w:r>
      <w:r w:rsidR="001852C2" w:rsidRPr="005C5537">
        <w:rPr>
          <w:rFonts w:ascii="Times New Roman" w:hAnsi="Times New Roman" w:cs="Times New Roman"/>
          <w:sz w:val="24"/>
          <w:szCs w:val="24"/>
        </w:rPr>
        <w:t xml:space="preserve">documentation </w:t>
      </w:r>
      <w:r w:rsidR="00720B17" w:rsidRPr="005C5537">
        <w:rPr>
          <w:rFonts w:ascii="Times New Roman" w:hAnsi="Times New Roman" w:cs="Times New Roman"/>
          <w:sz w:val="24"/>
          <w:szCs w:val="24"/>
        </w:rPr>
        <w:t>without success.</w:t>
      </w:r>
      <w:r w:rsidR="001852C2" w:rsidRPr="005C5537">
        <w:rPr>
          <w:rFonts w:ascii="Times New Roman" w:hAnsi="Times New Roman" w:cs="Times New Roman"/>
          <w:sz w:val="24"/>
          <w:szCs w:val="24"/>
        </w:rPr>
        <w:t xml:space="preserve"> </w:t>
      </w:r>
    </w:p>
    <w:p w:rsidR="00D83F07" w:rsidRPr="005C5537" w:rsidRDefault="001852C2" w:rsidP="00484D48">
      <w:pPr>
        <w:spacing w:after="0" w:line="360" w:lineRule="auto"/>
        <w:ind w:firstLine="720"/>
        <w:jc w:val="both"/>
        <w:rPr>
          <w:rFonts w:ascii="Times New Roman" w:hAnsi="Times New Roman" w:cs="Times New Roman"/>
          <w:sz w:val="24"/>
          <w:szCs w:val="24"/>
        </w:rPr>
      </w:pPr>
      <w:r w:rsidRPr="005C5537">
        <w:rPr>
          <w:rFonts w:ascii="Times New Roman" w:hAnsi="Times New Roman" w:cs="Times New Roman"/>
          <w:sz w:val="24"/>
          <w:szCs w:val="24"/>
        </w:rPr>
        <w:t>The 1</w:t>
      </w:r>
      <w:r w:rsidRPr="005C5537">
        <w:rPr>
          <w:rFonts w:ascii="Times New Roman" w:hAnsi="Times New Roman" w:cs="Times New Roman"/>
          <w:sz w:val="24"/>
          <w:szCs w:val="24"/>
          <w:vertAlign w:val="superscript"/>
        </w:rPr>
        <w:t>st</w:t>
      </w:r>
      <w:r w:rsidRPr="005C5537">
        <w:rPr>
          <w:rFonts w:ascii="Times New Roman" w:hAnsi="Times New Roman" w:cs="Times New Roman"/>
          <w:sz w:val="24"/>
          <w:szCs w:val="24"/>
        </w:rPr>
        <w:t xml:space="preserve"> </w:t>
      </w:r>
      <w:r w:rsidR="007369DE">
        <w:rPr>
          <w:rFonts w:ascii="Times New Roman" w:hAnsi="Times New Roman" w:cs="Times New Roman"/>
          <w:sz w:val="24"/>
          <w:szCs w:val="24"/>
        </w:rPr>
        <w:t>r</w:t>
      </w:r>
      <w:r w:rsidRPr="005C5537">
        <w:rPr>
          <w:rFonts w:ascii="Times New Roman" w:hAnsi="Times New Roman" w:cs="Times New Roman"/>
          <w:sz w:val="24"/>
          <w:szCs w:val="24"/>
        </w:rPr>
        <w:t>espondent failed to explain the irregularities noted on his documentation.</w:t>
      </w:r>
      <w:r w:rsidR="00D37916" w:rsidRPr="005C5537">
        <w:rPr>
          <w:rFonts w:ascii="Times New Roman" w:hAnsi="Times New Roman" w:cs="Times New Roman"/>
          <w:sz w:val="24"/>
          <w:szCs w:val="24"/>
        </w:rPr>
        <w:t xml:space="preserve"> In the result, I find it extremely difficult </w:t>
      </w:r>
      <w:r w:rsidR="00EF0FA4" w:rsidRPr="005C5537">
        <w:rPr>
          <w:rFonts w:ascii="Times New Roman" w:hAnsi="Times New Roman" w:cs="Times New Roman"/>
          <w:sz w:val="24"/>
          <w:szCs w:val="24"/>
        </w:rPr>
        <w:t>to believe that the prospecting documentation in possession of the 1</w:t>
      </w:r>
      <w:r w:rsidR="00EF0FA4" w:rsidRPr="005C5537">
        <w:rPr>
          <w:rFonts w:ascii="Times New Roman" w:hAnsi="Times New Roman" w:cs="Times New Roman"/>
          <w:sz w:val="24"/>
          <w:szCs w:val="24"/>
          <w:vertAlign w:val="superscript"/>
        </w:rPr>
        <w:t>st</w:t>
      </w:r>
      <w:r w:rsidR="00FD0120">
        <w:rPr>
          <w:rFonts w:ascii="Times New Roman" w:hAnsi="Times New Roman" w:cs="Times New Roman"/>
          <w:sz w:val="24"/>
          <w:szCs w:val="24"/>
        </w:rPr>
        <w:t xml:space="preserve"> r</w:t>
      </w:r>
      <w:r w:rsidR="005C5537">
        <w:rPr>
          <w:rFonts w:ascii="Times New Roman" w:hAnsi="Times New Roman" w:cs="Times New Roman"/>
          <w:sz w:val="24"/>
          <w:szCs w:val="24"/>
        </w:rPr>
        <w:t xml:space="preserve">espondent was </w:t>
      </w:r>
      <w:r w:rsidR="00FD0120">
        <w:rPr>
          <w:rFonts w:ascii="Times New Roman" w:hAnsi="Times New Roman" w:cs="Times New Roman"/>
          <w:sz w:val="24"/>
          <w:szCs w:val="24"/>
        </w:rPr>
        <w:t>issued by the 2</w:t>
      </w:r>
      <w:r w:rsidR="00FD0120" w:rsidRPr="00FD0120">
        <w:rPr>
          <w:rFonts w:ascii="Times New Roman" w:hAnsi="Times New Roman" w:cs="Times New Roman"/>
          <w:sz w:val="24"/>
          <w:szCs w:val="24"/>
          <w:vertAlign w:val="superscript"/>
        </w:rPr>
        <w:t>nd</w:t>
      </w:r>
      <w:r w:rsidR="00FD0120">
        <w:rPr>
          <w:rFonts w:ascii="Times New Roman" w:hAnsi="Times New Roman" w:cs="Times New Roman"/>
          <w:sz w:val="24"/>
          <w:szCs w:val="24"/>
        </w:rPr>
        <w:t xml:space="preserve"> r</w:t>
      </w:r>
      <w:r w:rsidR="00EF0FA4" w:rsidRPr="005C5537">
        <w:rPr>
          <w:rFonts w:ascii="Times New Roman" w:hAnsi="Times New Roman" w:cs="Times New Roman"/>
          <w:sz w:val="24"/>
          <w:szCs w:val="24"/>
        </w:rPr>
        <w:t>espondent.</w:t>
      </w:r>
      <w:r w:rsidR="003A1BC9" w:rsidRPr="005C5537">
        <w:rPr>
          <w:rFonts w:ascii="Times New Roman" w:hAnsi="Times New Roman" w:cs="Times New Roman"/>
          <w:sz w:val="24"/>
          <w:szCs w:val="24"/>
        </w:rPr>
        <w:t xml:space="preserve"> Thus, the documents cannot be regarded as legal documents for want of regularisation. </w:t>
      </w:r>
      <w:r w:rsidR="00131093" w:rsidRPr="005C5537">
        <w:rPr>
          <w:rFonts w:ascii="Times New Roman" w:hAnsi="Times New Roman" w:cs="Times New Roman"/>
          <w:sz w:val="24"/>
          <w:szCs w:val="24"/>
        </w:rPr>
        <w:t xml:space="preserve"> It is the 1</w:t>
      </w:r>
      <w:r w:rsidR="00131093" w:rsidRPr="005C5537">
        <w:rPr>
          <w:rFonts w:ascii="Times New Roman" w:hAnsi="Times New Roman" w:cs="Times New Roman"/>
          <w:sz w:val="24"/>
          <w:szCs w:val="24"/>
          <w:vertAlign w:val="superscript"/>
        </w:rPr>
        <w:t>st</w:t>
      </w:r>
      <w:r w:rsidR="00FD0120">
        <w:rPr>
          <w:rFonts w:ascii="Times New Roman" w:hAnsi="Times New Roman" w:cs="Times New Roman"/>
          <w:sz w:val="24"/>
          <w:szCs w:val="24"/>
        </w:rPr>
        <w:t xml:space="preserve"> r</w:t>
      </w:r>
      <w:r w:rsidR="00131093" w:rsidRPr="005C5537">
        <w:rPr>
          <w:rFonts w:ascii="Times New Roman" w:hAnsi="Times New Roman" w:cs="Times New Roman"/>
          <w:sz w:val="24"/>
          <w:szCs w:val="24"/>
        </w:rPr>
        <w:t xml:space="preserve">espondent’s </w:t>
      </w:r>
      <w:r w:rsidR="0089259D">
        <w:rPr>
          <w:rFonts w:ascii="Times New Roman" w:hAnsi="Times New Roman" w:cs="Times New Roman"/>
          <w:sz w:val="24"/>
          <w:szCs w:val="24"/>
        </w:rPr>
        <w:t xml:space="preserve">obligation </w:t>
      </w:r>
      <w:r w:rsidR="00131093" w:rsidRPr="005C5537">
        <w:rPr>
          <w:rFonts w:ascii="Times New Roman" w:hAnsi="Times New Roman" w:cs="Times New Roman"/>
          <w:sz w:val="24"/>
          <w:szCs w:val="24"/>
        </w:rPr>
        <w:t xml:space="preserve">to tender </w:t>
      </w:r>
      <w:r w:rsidR="00C7621E" w:rsidRPr="005C5537">
        <w:rPr>
          <w:rFonts w:ascii="Times New Roman" w:hAnsi="Times New Roman" w:cs="Times New Roman"/>
          <w:sz w:val="24"/>
          <w:szCs w:val="24"/>
        </w:rPr>
        <w:t>the appropriate documentation whenever he is called upon or challenged to produce such documentation. The sam</w:t>
      </w:r>
      <w:r w:rsidR="005C5537">
        <w:rPr>
          <w:rFonts w:ascii="Times New Roman" w:hAnsi="Times New Roman" w:cs="Times New Roman"/>
          <w:sz w:val="24"/>
          <w:szCs w:val="24"/>
        </w:rPr>
        <w:t xml:space="preserve">e documents were also filed in </w:t>
      </w:r>
      <w:r w:rsidR="00C7621E" w:rsidRPr="005C5537">
        <w:rPr>
          <w:rFonts w:ascii="Times New Roman" w:hAnsi="Times New Roman" w:cs="Times New Roman"/>
          <w:sz w:val="24"/>
          <w:szCs w:val="24"/>
        </w:rPr>
        <w:t>case number HC 65</w:t>
      </w:r>
      <w:r w:rsidR="00FD0120">
        <w:rPr>
          <w:rFonts w:ascii="Times New Roman" w:hAnsi="Times New Roman" w:cs="Times New Roman"/>
          <w:sz w:val="24"/>
          <w:szCs w:val="24"/>
        </w:rPr>
        <w:t>60/</w:t>
      </w:r>
      <w:r w:rsidR="00AE12F0" w:rsidRPr="005C5537">
        <w:rPr>
          <w:rFonts w:ascii="Times New Roman" w:hAnsi="Times New Roman" w:cs="Times New Roman"/>
          <w:sz w:val="24"/>
          <w:szCs w:val="24"/>
        </w:rPr>
        <w:t>21</w:t>
      </w:r>
      <w:r w:rsidR="00250269" w:rsidRPr="005C5537">
        <w:rPr>
          <w:rFonts w:ascii="Times New Roman" w:hAnsi="Times New Roman" w:cs="Times New Roman"/>
          <w:sz w:val="24"/>
          <w:szCs w:val="24"/>
        </w:rPr>
        <w:t xml:space="preserve"> and had the same irregularities</w:t>
      </w:r>
      <w:r w:rsidR="00AE12F0" w:rsidRPr="005C5537">
        <w:rPr>
          <w:rFonts w:ascii="Times New Roman" w:hAnsi="Times New Roman" w:cs="Times New Roman"/>
          <w:sz w:val="24"/>
          <w:szCs w:val="24"/>
        </w:rPr>
        <w:t>.</w:t>
      </w:r>
      <w:r w:rsidR="00250269" w:rsidRPr="005C5537">
        <w:rPr>
          <w:rFonts w:ascii="Times New Roman" w:hAnsi="Times New Roman" w:cs="Times New Roman"/>
          <w:sz w:val="24"/>
          <w:szCs w:val="24"/>
        </w:rPr>
        <w:t xml:space="preserve"> In light of this,</w:t>
      </w:r>
      <w:r w:rsidR="00D83F07" w:rsidRPr="005C5537">
        <w:rPr>
          <w:rFonts w:ascii="Times New Roman" w:hAnsi="Times New Roman" w:cs="Times New Roman"/>
          <w:sz w:val="24"/>
          <w:szCs w:val="24"/>
        </w:rPr>
        <w:t xml:space="preserve"> I am of the considered view that </w:t>
      </w:r>
      <w:r w:rsidR="00250269" w:rsidRPr="005C5537">
        <w:rPr>
          <w:rFonts w:ascii="Times New Roman" w:hAnsi="Times New Roman" w:cs="Times New Roman"/>
          <w:sz w:val="24"/>
          <w:szCs w:val="24"/>
        </w:rPr>
        <w:t>the 1</w:t>
      </w:r>
      <w:r w:rsidR="00250269" w:rsidRPr="005C5537">
        <w:rPr>
          <w:rFonts w:ascii="Times New Roman" w:hAnsi="Times New Roman" w:cs="Times New Roman"/>
          <w:sz w:val="24"/>
          <w:szCs w:val="24"/>
          <w:vertAlign w:val="superscript"/>
        </w:rPr>
        <w:t>st</w:t>
      </w:r>
      <w:r w:rsidR="00FD0120">
        <w:rPr>
          <w:rFonts w:ascii="Times New Roman" w:hAnsi="Times New Roman" w:cs="Times New Roman"/>
          <w:sz w:val="24"/>
          <w:szCs w:val="24"/>
        </w:rPr>
        <w:t xml:space="preserve"> r</w:t>
      </w:r>
      <w:r w:rsidR="00250269" w:rsidRPr="005C5537">
        <w:rPr>
          <w:rFonts w:ascii="Times New Roman" w:hAnsi="Times New Roman" w:cs="Times New Roman"/>
          <w:sz w:val="24"/>
          <w:szCs w:val="24"/>
        </w:rPr>
        <w:t>espondent has no prospecting rights or any other mining rights requiring protection by the court</w:t>
      </w:r>
      <w:r w:rsidR="00D83F07" w:rsidRPr="005C5537">
        <w:rPr>
          <w:rFonts w:ascii="Times New Roman" w:hAnsi="Times New Roman" w:cs="Times New Roman"/>
          <w:sz w:val="24"/>
          <w:szCs w:val="24"/>
        </w:rPr>
        <w:t xml:space="preserve"> for want of legal documents.</w:t>
      </w:r>
    </w:p>
    <w:p w:rsidR="00876B2B" w:rsidRPr="005C5537" w:rsidRDefault="00FD0120" w:rsidP="00484D48">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On the other hand, the a</w:t>
      </w:r>
      <w:r w:rsidR="00D83F07" w:rsidRPr="005C5537">
        <w:rPr>
          <w:rFonts w:ascii="Times New Roman" w:hAnsi="Times New Roman" w:cs="Times New Roman"/>
          <w:sz w:val="24"/>
          <w:szCs w:val="24"/>
        </w:rPr>
        <w:t>pplicant has produced</w:t>
      </w:r>
      <w:r w:rsidR="00C91465" w:rsidRPr="005C5537">
        <w:rPr>
          <w:rFonts w:ascii="Times New Roman" w:hAnsi="Times New Roman" w:cs="Times New Roman"/>
          <w:sz w:val="24"/>
          <w:szCs w:val="24"/>
        </w:rPr>
        <w:t xml:space="preserve"> the tribute agreement which confers mini</w:t>
      </w:r>
      <w:r>
        <w:rPr>
          <w:rFonts w:ascii="Times New Roman" w:hAnsi="Times New Roman" w:cs="Times New Roman"/>
          <w:sz w:val="24"/>
          <w:szCs w:val="24"/>
        </w:rPr>
        <w:t>ng rights upon the a</w:t>
      </w:r>
      <w:r w:rsidR="00C91465" w:rsidRPr="005C5537">
        <w:rPr>
          <w:rFonts w:ascii="Times New Roman" w:hAnsi="Times New Roman" w:cs="Times New Roman"/>
          <w:sz w:val="24"/>
          <w:szCs w:val="24"/>
        </w:rPr>
        <w:t>pplicant. The 1</w:t>
      </w:r>
      <w:r w:rsidR="00C91465" w:rsidRPr="005C5537">
        <w:rPr>
          <w:rFonts w:ascii="Times New Roman" w:hAnsi="Times New Roman" w:cs="Times New Roman"/>
          <w:sz w:val="24"/>
          <w:szCs w:val="24"/>
          <w:vertAlign w:val="superscript"/>
        </w:rPr>
        <w:t>st</w:t>
      </w:r>
      <w:r>
        <w:rPr>
          <w:rFonts w:ascii="Times New Roman" w:hAnsi="Times New Roman" w:cs="Times New Roman"/>
          <w:sz w:val="24"/>
          <w:szCs w:val="24"/>
        </w:rPr>
        <w:t xml:space="preserve"> r</w:t>
      </w:r>
      <w:r w:rsidR="00C91465" w:rsidRPr="005C5537">
        <w:rPr>
          <w:rFonts w:ascii="Times New Roman" w:hAnsi="Times New Roman" w:cs="Times New Roman"/>
          <w:sz w:val="24"/>
          <w:szCs w:val="24"/>
        </w:rPr>
        <w:t>espondent has not challenged the tribute agreement. Rather, he is raising the issue of boundary dispute.</w:t>
      </w:r>
      <w:r w:rsidR="0034407A" w:rsidRPr="005C5537">
        <w:rPr>
          <w:rFonts w:ascii="Times New Roman" w:hAnsi="Times New Roman" w:cs="Times New Roman"/>
          <w:sz w:val="24"/>
          <w:szCs w:val="24"/>
        </w:rPr>
        <w:t xml:space="preserve"> For the court to entertain the boundary dispute, he is expected to produce legal mining documents.</w:t>
      </w:r>
      <w:r>
        <w:rPr>
          <w:rFonts w:ascii="Times New Roman" w:hAnsi="Times New Roman" w:cs="Times New Roman"/>
          <w:sz w:val="24"/>
          <w:szCs w:val="24"/>
        </w:rPr>
        <w:t xml:space="preserve"> One cannot talk about</w:t>
      </w:r>
      <w:r w:rsidR="00F05B0D">
        <w:rPr>
          <w:rFonts w:ascii="Times New Roman" w:hAnsi="Times New Roman" w:cs="Times New Roman"/>
          <w:sz w:val="24"/>
          <w:szCs w:val="24"/>
        </w:rPr>
        <w:t xml:space="preserve"> boundary disputes in mining when one party does not have mining documents. If all parties are in possession of mining document, then it would make sense to entertain the issue of boundary dispute. </w:t>
      </w:r>
    </w:p>
    <w:p w:rsidR="00371241" w:rsidRPr="005C5537" w:rsidRDefault="008B58E9" w:rsidP="00484D48">
      <w:pPr>
        <w:spacing w:after="0" w:line="360" w:lineRule="auto"/>
        <w:ind w:firstLine="720"/>
        <w:jc w:val="both"/>
        <w:rPr>
          <w:rFonts w:ascii="Times New Roman" w:hAnsi="Times New Roman" w:cs="Times New Roman"/>
          <w:sz w:val="24"/>
          <w:szCs w:val="24"/>
        </w:rPr>
      </w:pPr>
      <w:r w:rsidRPr="005C5537">
        <w:rPr>
          <w:rFonts w:ascii="Times New Roman" w:hAnsi="Times New Roman" w:cs="Times New Roman"/>
          <w:sz w:val="24"/>
          <w:szCs w:val="24"/>
        </w:rPr>
        <w:t>After noting an appeal against the decisio</w:t>
      </w:r>
      <w:r w:rsidR="00FD0120">
        <w:rPr>
          <w:rFonts w:ascii="Times New Roman" w:hAnsi="Times New Roman" w:cs="Times New Roman"/>
          <w:sz w:val="24"/>
          <w:szCs w:val="24"/>
        </w:rPr>
        <w:t>n of 24 November 2021, the 1</w:t>
      </w:r>
      <w:r w:rsidR="00FD0120" w:rsidRPr="00FD0120">
        <w:rPr>
          <w:rFonts w:ascii="Times New Roman" w:hAnsi="Times New Roman" w:cs="Times New Roman"/>
          <w:sz w:val="24"/>
          <w:szCs w:val="24"/>
          <w:vertAlign w:val="superscript"/>
        </w:rPr>
        <w:t>st</w:t>
      </w:r>
      <w:r w:rsidR="00FD0120">
        <w:rPr>
          <w:rFonts w:ascii="Times New Roman" w:hAnsi="Times New Roman" w:cs="Times New Roman"/>
          <w:sz w:val="24"/>
          <w:szCs w:val="24"/>
        </w:rPr>
        <w:t xml:space="preserve"> r</w:t>
      </w:r>
      <w:r w:rsidRPr="005C5537">
        <w:rPr>
          <w:rFonts w:ascii="Times New Roman" w:hAnsi="Times New Roman" w:cs="Times New Roman"/>
          <w:sz w:val="24"/>
          <w:szCs w:val="24"/>
        </w:rPr>
        <w:t xml:space="preserve">espondent </w:t>
      </w:r>
      <w:r w:rsidR="00C24929" w:rsidRPr="005C5537">
        <w:rPr>
          <w:rFonts w:ascii="Times New Roman" w:hAnsi="Times New Roman" w:cs="Times New Roman"/>
          <w:sz w:val="24"/>
          <w:szCs w:val="24"/>
        </w:rPr>
        <w:t>went on to file another application</w:t>
      </w:r>
      <w:r w:rsidR="00FD0120">
        <w:rPr>
          <w:rFonts w:ascii="Times New Roman" w:hAnsi="Times New Roman" w:cs="Times New Roman"/>
          <w:sz w:val="24"/>
          <w:szCs w:val="24"/>
        </w:rPr>
        <w:t xml:space="preserve"> with this court under case number HC 7393/21where the 2</w:t>
      </w:r>
      <w:r w:rsidR="00FD0120" w:rsidRPr="00FD0120">
        <w:rPr>
          <w:rFonts w:ascii="Times New Roman" w:hAnsi="Times New Roman" w:cs="Times New Roman"/>
          <w:sz w:val="24"/>
          <w:szCs w:val="24"/>
          <w:vertAlign w:val="superscript"/>
        </w:rPr>
        <w:t>nd</w:t>
      </w:r>
      <w:r w:rsidR="00FD0120">
        <w:rPr>
          <w:rFonts w:ascii="Times New Roman" w:hAnsi="Times New Roman" w:cs="Times New Roman"/>
          <w:sz w:val="24"/>
          <w:szCs w:val="24"/>
        </w:rPr>
        <w:t>, 3</w:t>
      </w:r>
      <w:r w:rsidR="00FD0120" w:rsidRPr="00FD0120">
        <w:rPr>
          <w:rFonts w:ascii="Times New Roman" w:hAnsi="Times New Roman" w:cs="Times New Roman"/>
          <w:sz w:val="24"/>
          <w:szCs w:val="24"/>
          <w:vertAlign w:val="superscript"/>
        </w:rPr>
        <w:t>rd</w:t>
      </w:r>
      <w:r w:rsidR="00FD0120">
        <w:rPr>
          <w:rFonts w:ascii="Times New Roman" w:hAnsi="Times New Roman" w:cs="Times New Roman"/>
          <w:sz w:val="24"/>
          <w:szCs w:val="24"/>
        </w:rPr>
        <w:t xml:space="preserve"> and 4</w:t>
      </w:r>
      <w:r w:rsidR="00FD0120" w:rsidRPr="00FD0120">
        <w:rPr>
          <w:rFonts w:ascii="Times New Roman" w:hAnsi="Times New Roman" w:cs="Times New Roman"/>
          <w:sz w:val="24"/>
          <w:szCs w:val="24"/>
          <w:vertAlign w:val="superscript"/>
        </w:rPr>
        <w:t>th</w:t>
      </w:r>
      <w:r w:rsidR="00FD0120">
        <w:rPr>
          <w:rFonts w:ascii="Times New Roman" w:hAnsi="Times New Roman" w:cs="Times New Roman"/>
          <w:sz w:val="24"/>
          <w:szCs w:val="24"/>
        </w:rPr>
        <w:t xml:space="preserve"> respondents have been cited as the r</w:t>
      </w:r>
      <w:r w:rsidR="0051133A" w:rsidRPr="005C5537">
        <w:rPr>
          <w:rFonts w:ascii="Times New Roman" w:hAnsi="Times New Roman" w:cs="Times New Roman"/>
          <w:sz w:val="24"/>
          <w:szCs w:val="24"/>
        </w:rPr>
        <w:t>espondents. Geodynamics (Pvt) Ltd was also cited in that application.</w:t>
      </w:r>
      <w:r w:rsidR="0034453E" w:rsidRPr="005C5537">
        <w:rPr>
          <w:rFonts w:ascii="Times New Roman" w:hAnsi="Times New Roman" w:cs="Times New Roman"/>
          <w:sz w:val="24"/>
          <w:szCs w:val="24"/>
        </w:rPr>
        <w:t xml:space="preserve"> The app</w:t>
      </w:r>
      <w:r w:rsidR="00FD0120">
        <w:rPr>
          <w:rFonts w:ascii="Times New Roman" w:hAnsi="Times New Roman" w:cs="Times New Roman"/>
          <w:sz w:val="24"/>
          <w:szCs w:val="24"/>
        </w:rPr>
        <w:t>lication seeks to compel the 3</w:t>
      </w:r>
      <w:r w:rsidR="00FD0120" w:rsidRPr="00FD0120">
        <w:rPr>
          <w:rFonts w:ascii="Times New Roman" w:hAnsi="Times New Roman" w:cs="Times New Roman"/>
          <w:sz w:val="24"/>
          <w:szCs w:val="24"/>
          <w:vertAlign w:val="superscript"/>
        </w:rPr>
        <w:t>rd</w:t>
      </w:r>
      <w:r w:rsidR="00FD0120">
        <w:rPr>
          <w:rFonts w:ascii="Times New Roman" w:hAnsi="Times New Roman" w:cs="Times New Roman"/>
          <w:sz w:val="24"/>
          <w:szCs w:val="24"/>
        </w:rPr>
        <w:t xml:space="preserve"> and 4</w:t>
      </w:r>
      <w:r w:rsidR="00FD0120" w:rsidRPr="00FD0120">
        <w:rPr>
          <w:rFonts w:ascii="Times New Roman" w:hAnsi="Times New Roman" w:cs="Times New Roman"/>
          <w:sz w:val="24"/>
          <w:szCs w:val="24"/>
          <w:vertAlign w:val="superscript"/>
        </w:rPr>
        <w:t>th</w:t>
      </w:r>
      <w:r w:rsidR="00FD0120">
        <w:rPr>
          <w:rFonts w:ascii="Times New Roman" w:hAnsi="Times New Roman" w:cs="Times New Roman"/>
          <w:sz w:val="24"/>
          <w:szCs w:val="24"/>
        </w:rPr>
        <w:t xml:space="preserve"> r</w:t>
      </w:r>
      <w:r w:rsidR="0034453E" w:rsidRPr="005C5537">
        <w:rPr>
          <w:rFonts w:ascii="Times New Roman" w:hAnsi="Times New Roman" w:cs="Times New Roman"/>
          <w:sz w:val="24"/>
          <w:szCs w:val="24"/>
        </w:rPr>
        <w:t xml:space="preserve">espondents to carry out physical visit at the disputed site. </w:t>
      </w:r>
      <w:r w:rsidR="00FD0120">
        <w:rPr>
          <w:rFonts w:ascii="Times New Roman" w:hAnsi="Times New Roman" w:cs="Times New Roman"/>
          <w:sz w:val="24"/>
          <w:szCs w:val="24"/>
        </w:rPr>
        <w:t xml:space="preserve"> Despite the fact that the a</w:t>
      </w:r>
      <w:r w:rsidR="00FA4D87" w:rsidRPr="005C5537">
        <w:rPr>
          <w:rFonts w:ascii="Times New Roman" w:hAnsi="Times New Roman" w:cs="Times New Roman"/>
          <w:sz w:val="24"/>
          <w:szCs w:val="24"/>
        </w:rPr>
        <w:t>pplicant</w:t>
      </w:r>
      <w:r w:rsidR="00CD7DC3" w:rsidRPr="005C5537">
        <w:rPr>
          <w:rFonts w:ascii="Times New Roman" w:hAnsi="Times New Roman" w:cs="Times New Roman"/>
          <w:sz w:val="24"/>
          <w:szCs w:val="24"/>
        </w:rPr>
        <w:t xml:space="preserve"> has g</w:t>
      </w:r>
      <w:r w:rsidR="00FD0120">
        <w:rPr>
          <w:rFonts w:ascii="Times New Roman" w:hAnsi="Times New Roman" w:cs="Times New Roman"/>
          <w:sz w:val="24"/>
          <w:szCs w:val="24"/>
        </w:rPr>
        <w:t>ot substantial interest, the 1</w:t>
      </w:r>
      <w:r w:rsidR="00FD0120" w:rsidRPr="00FD0120">
        <w:rPr>
          <w:rFonts w:ascii="Times New Roman" w:hAnsi="Times New Roman" w:cs="Times New Roman"/>
          <w:sz w:val="24"/>
          <w:szCs w:val="24"/>
          <w:vertAlign w:val="superscript"/>
        </w:rPr>
        <w:t>st</w:t>
      </w:r>
      <w:r w:rsidR="00FD0120">
        <w:rPr>
          <w:rFonts w:ascii="Times New Roman" w:hAnsi="Times New Roman" w:cs="Times New Roman"/>
          <w:sz w:val="24"/>
          <w:szCs w:val="24"/>
        </w:rPr>
        <w:t xml:space="preserve"> r</w:t>
      </w:r>
      <w:r w:rsidR="00CD7DC3" w:rsidRPr="005C5537">
        <w:rPr>
          <w:rFonts w:ascii="Times New Roman" w:hAnsi="Times New Roman" w:cs="Times New Roman"/>
          <w:sz w:val="24"/>
          <w:szCs w:val="24"/>
        </w:rPr>
        <w:t>espondent</w:t>
      </w:r>
      <w:r w:rsidR="00FD0120">
        <w:rPr>
          <w:rFonts w:ascii="Times New Roman" w:hAnsi="Times New Roman" w:cs="Times New Roman"/>
          <w:sz w:val="24"/>
          <w:szCs w:val="24"/>
        </w:rPr>
        <w:t xml:space="preserve"> did not cite it as one of the r</w:t>
      </w:r>
      <w:r w:rsidR="00CD7DC3" w:rsidRPr="005C5537">
        <w:rPr>
          <w:rFonts w:ascii="Times New Roman" w:hAnsi="Times New Roman" w:cs="Times New Roman"/>
          <w:sz w:val="24"/>
          <w:szCs w:val="24"/>
        </w:rPr>
        <w:t>espondents.</w:t>
      </w:r>
      <w:r w:rsidR="0034453E" w:rsidRPr="005C5537">
        <w:rPr>
          <w:rFonts w:ascii="Times New Roman" w:hAnsi="Times New Roman" w:cs="Times New Roman"/>
          <w:sz w:val="24"/>
          <w:szCs w:val="24"/>
        </w:rPr>
        <w:t xml:space="preserve"> On being aske</w:t>
      </w:r>
      <w:r w:rsidR="00FD0120">
        <w:rPr>
          <w:rFonts w:ascii="Times New Roman" w:hAnsi="Times New Roman" w:cs="Times New Roman"/>
          <w:sz w:val="24"/>
          <w:szCs w:val="24"/>
        </w:rPr>
        <w:t>d why the 1</w:t>
      </w:r>
      <w:r w:rsidR="00FD0120" w:rsidRPr="00FD0120">
        <w:rPr>
          <w:rFonts w:ascii="Times New Roman" w:hAnsi="Times New Roman" w:cs="Times New Roman"/>
          <w:sz w:val="24"/>
          <w:szCs w:val="24"/>
          <w:vertAlign w:val="superscript"/>
        </w:rPr>
        <w:t>st</w:t>
      </w:r>
      <w:r w:rsidR="00D02E88">
        <w:rPr>
          <w:rFonts w:ascii="Times New Roman" w:hAnsi="Times New Roman" w:cs="Times New Roman"/>
          <w:sz w:val="24"/>
          <w:szCs w:val="24"/>
        </w:rPr>
        <w:t xml:space="preserve"> </w:t>
      </w:r>
      <w:r w:rsidR="00FD0120">
        <w:rPr>
          <w:rFonts w:ascii="Times New Roman" w:hAnsi="Times New Roman" w:cs="Times New Roman"/>
          <w:sz w:val="24"/>
          <w:szCs w:val="24"/>
        </w:rPr>
        <w:t>r</w:t>
      </w:r>
      <w:r w:rsidR="0034453E" w:rsidRPr="005C5537">
        <w:rPr>
          <w:rFonts w:ascii="Times New Roman" w:hAnsi="Times New Roman" w:cs="Times New Roman"/>
          <w:sz w:val="24"/>
          <w:szCs w:val="24"/>
        </w:rPr>
        <w:t>espondent omitted citin</w:t>
      </w:r>
      <w:r w:rsidR="00FD0120">
        <w:rPr>
          <w:rFonts w:ascii="Times New Roman" w:hAnsi="Times New Roman" w:cs="Times New Roman"/>
          <w:sz w:val="24"/>
          <w:szCs w:val="24"/>
        </w:rPr>
        <w:t>g the applicant in HC 7393/</w:t>
      </w:r>
      <w:r w:rsidR="005C5537">
        <w:rPr>
          <w:rFonts w:ascii="Times New Roman" w:hAnsi="Times New Roman" w:cs="Times New Roman"/>
          <w:sz w:val="24"/>
          <w:szCs w:val="24"/>
        </w:rPr>
        <w:t>21,</w:t>
      </w:r>
      <w:r w:rsidR="00FD0120">
        <w:rPr>
          <w:rFonts w:ascii="Times New Roman" w:hAnsi="Times New Roman" w:cs="Times New Roman"/>
          <w:sz w:val="24"/>
          <w:szCs w:val="24"/>
        </w:rPr>
        <w:t xml:space="preserve"> the 1</w:t>
      </w:r>
      <w:r w:rsidR="00FD0120" w:rsidRPr="00FD0120">
        <w:rPr>
          <w:rFonts w:ascii="Times New Roman" w:hAnsi="Times New Roman" w:cs="Times New Roman"/>
          <w:sz w:val="24"/>
          <w:szCs w:val="24"/>
          <w:vertAlign w:val="superscript"/>
        </w:rPr>
        <w:t>st</w:t>
      </w:r>
      <w:r w:rsidR="00FD0120">
        <w:rPr>
          <w:rFonts w:ascii="Times New Roman" w:hAnsi="Times New Roman" w:cs="Times New Roman"/>
          <w:sz w:val="24"/>
          <w:szCs w:val="24"/>
        </w:rPr>
        <w:t xml:space="preserve"> r</w:t>
      </w:r>
      <w:r w:rsidR="0034453E" w:rsidRPr="005C5537">
        <w:rPr>
          <w:rFonts w:ascii="Times New Roman" w:hAnsi="Times New Roman" w:cs="Times New Roman"/>
          <w:sz w:val="24"/>
          <w:szCs w:val="24"/>
        </w:rPr>
        <w:t>espondent</w:t>
      </w:r>
      <w:r w:rsidR="00FD0120">
        <w:rPr>
          <w:rFonts w:ascii="Times New Roman" w:hAnsi="Times New Roman" w:cs="Times New Roman"/>
          <w:sz w:val="24"/>
          <w:szCs w:val="24"/>
        </w:rPr>
        <w:t xml:space="preserve">’s counsel submitted </w:t>
      </w:r>
      <w:r w:rsidR="00FA47CC">
        <w:rPr>
          <w:rFonts w:ascii="Times New Roman" w:hAnsi="Times New Roman" w:cs="Times New Roman"/>
          <w:sz w:val="24"/>
          <w:szCs w:val="24"/>
        </w:rPr>
        <w:t xml:space="preserve">that the </w:t>
      </w:r>
      <w:r w:rsidR="00FD0120">
        <w:rPr>
          <w:rFonts w:ascii="Times New Roman" w:hAnsi="Times New Roman" w:cs="Times New Roman"/>
          <w:sz w:val="24"/>
          <w:szCs w:val="24"/>
        </w:rPr>
        <w:t>a</w:t>
      </w:r>
      <w:r w:rsidR="002E3DC3">
        <w:rPr>
          <w:rFonts w:ascii="Times New Roman" w:hAnsi="Times New Roman" w:cs="Times New Roman"/>
          <w:sz w:val="24"/>
          <w:szCs w:val="24"/>
        </w:rPr>
        <w:t>pplicant will be represented by</w:t>
      </w:r>
      <w:r w:rsidR="00A05107">
        <w:rPr>
          <w:rFonts w:ascii="Times New Roman" w:hAnsi="Times New Roman" w:cs="Times New Roman"/>
          <w:sz w:val="24"/>
          <w:szCs w:val="24"/>
        </w:rPr>
        <w:t xml:space="preserve"> Geodynamics (Pvt) Ltd as</w:t>
      </w:r>
      <w:r w:rsidR="0034453E" w:rsidRPr="005C5537">
        <w:rPr>
          <w:rFonts w:ascii="Times New Roman" w:hAnsi="Times New Roman" w:cs="Times New Roman"/>
          <w:sz w:val="24"/>
          <w:szCs w:val="24"/>
        </w:rPr>
        <w:t xml:space="preserve"> it is  the holder of the </w:t>
      </w:r>
      <w:r w:rsidR="00FD0120">
        <w:rPr>
          <w:rFonts w:ascii="Times New Roman" w:hAnsi="Times New Roman" w:cs="Times New Roman"/>
          <w:sz w:val="24"/>
          <w:szCs w:val="24"/>
        </w:rPr>
        <w:t>mining certificate for the a</w:t>
      </w:r>
      <w:r w:rsidR="00DF1671" w:rsidRPr="005C5537">
        <w:rPr>
          <w:rFonts w:ascii="Times New Roman" w:hAnsi="Times New Roman" w:cs="Times New Roman"/>
          <w:sz w:val="24"/>
          <w:szCs w:val="24"/>
        </w:rPr>
        <w:t xml:space="preserve">pplicant’s </w:t>
      </w:r>
      <w:r w:rsidR="00F05B0D">
        <w:rPr>
          <w:rFonts w:ascii="Times New Roman" w:hAnsi="Times New Roman" w:cs="Times New Roman"/>
          <w:sz w:val="24"/>
          <w:szCs w:val="24"/>
        </w:rPr>
        <w:t xml:space="preserve">mining area. </w:t>
      </w:r>
      <w:r w:rsidR="007A4595" w:rsidRPr="005C5537">
        <w:rPr>
          <w:rFonts w:ascii="Times New Roman" w:hAnsi="Times New Roman" w:cs="Times New Roman"/>
          <w:sz w:val="24"/>
          <w:szCs w:val="24"/>
        </w:rPr>
        <w:t>I find this explanation unsatisfactory. This leaves me with more questions than answers. One w</w:t>
      </w:r>
      <w:r w:rsidR="00FD0120">
        <w:rPr>
          <w:rFonts w:ascii="Times New Roman" w:hAnsi="Times New Roman" w:cs="Times New Roman"/>
          <w:sz w:val="24"/>
          <w:szCs w:val="24"/>
        </w:rPr>
        <w:t>ould then wonder whether the 1</w:t>
      </w:r>
      <w:r w:rsidR="00FD0120" w:rsidRPr="00FD0120">
        <w:rPr>
          <w:rFonts w:ascii="Times New Roman" w:hAnsi="Times New Roman" w:cs="Times New Roman"/>
          <w:sz w:val="24"/>
          <w:szCs w:val="24"/>
          <w:vertAlign w:val="superscript"/>
        </w:rPr>
        <w:t>st</w:t>
      </w:r>
      <w:r w:rsidR="00FD0120">
        <w:rPr>
          <w:rFonts w:ascii="Times New Roman" w:hAnsi="Times New Roman" w:cs="Times New Roman"/>
          <w:sz w:val="24"/>
          <w:szCs w:val="24"/>
        </w:rPr>
        <w:t xml:space="preserve"> r</w:t>
      </w:r>
      <w:r w:rsidR="007A4595" w:rsidRPr="005C5537">
        <w:rPr>
          <w:rFonts w:ascii="Times New Roman" w:hAnsi="Times New Roman" w:cs="Times New Roman"/>
          <w:sz w:val="24"/>
          <w:szCs w:val="24"/>
        </w:rPr>
        <w:t xml:space="preserve">espondent has got the burning desire </w:t>
      </w:r>
      <w:r w:rsidR="00EA0C63" w:rsidRPr="005C5537">
        <w:rPr>
          <w:rFonts w:ascii="Times New Roman" w:hAnsi="Times New Roman" w:cs="Times New Roman"/>
          <w:sz w:val="24"/>
          <w:szCs w:val="24"/>
        </w:rPr>
        <w:t xml:space="preserve">or appetite </w:t>
      </w:r>
      <w:r w:rsidR="007A4595" w:rsidRPr="005C5537">
        <w:rPr>
          <w:rFonts w:ascii="Times New Roman" w:hAnsi="Times New Roman" w:cs="Times New Roman"/>
          <w:sz w:val="24"/>
          <w:szCs w:val="24"/>
        </w:rPr>
        <w:t>of bringing the present mining dispute between himsel</w:t>
      </w:r>
      <w:r w:rsidR="00FD0120">
        <w:rPr>
          <w:rFonts w:ascii="Times New Roman" w:hAnsi="Times New Roman" w:cs="Times New Roman"/>
          <w:sz w:val="24"/>
          <w:szCs w:val="24"/>
        </w:rPr>
        <w:t>f and the a</w:t>
      </w:r>
      <w:r w:rsidR="002E34E6" w:rsidRPr="005C5537">
        <w:rPr>
          <w:rFonts w:ascii="Times New Roman" w:hAnsi="Times New Roman" w:cs="Times New Roman"/>
          <w:sz w:val="24"/>
          <w:szCs w:val="24"/>
        </w:rPr>
        <w:t xml:space="preserve">pplicant to finality. From the beginning of the dispute between the </w:t>
      </w:r>
      <w:r w:rsidR="00FD0120">
        <w:rPr>
          <w:rFonts w:ascii="Times New Roman" w:hAnsi="Times New Roman" w:cs="Times New Roman"/>
          <w:sz w:val="24"/>
          <w:szCs w:val="24"/>
        </w:rPr>
        <w:t>applicant and the 1</w:t>
      </w:r>
      <w:r w:rsidR="00FD0120" w:rsidRPr="00FD0120">
        <w:rPr>
          <w:rFonts w:ascii="Times New Roman" w:hAnsi="Times New Roman" w:cs="Times New Roman"/>
          <w:sz w:val="24"/>
          <w:szCs w:val="24"/>
          <w:vertAlign w:val="superscript"/>
        </w:rPr>
        <w:t>st</w:t>
      </w:r>
      <w:r w:rsidR="00FD0120">
        <w:rPr>
          <w:rFonts w:ascii="Times New Roman" w:hAnsi="Times New Roman" w:cs="Times New Roman"/>
          <w:sz w:val="24"/>
          <w:szCs w:val="24"/>
        </w:rPr>
        <w:t xml:space="preserve"> r</w:t>
      </w:r>
      <w:r w:rsidR="002E34E6" w:rsidRPr="005C5537">
        <w:rPr>
          <w:rFonts w:ascii="Times New Roman" w:hAnsi="Times New Roman" w:cs="Times New Roman"/>
          <w:sz w:val="24"/>
          <w:szCs w:val="24"/>
        </w:rPr>
        <w:t>espondent, Geodynamics (Pvt) Ltd has not been party to the proceedings.</w:t>
      </w:r>
      <w:r w:rsidR="005C5537">
        <w:rPr>
          <w:rFonts w:ascii="Times New Roman" w:hAnsi="Times New Roman" w:cs="Times New Roman"/>
          <w:sz w:val="24"/>
          <w:szCs w:val="24"/>
        </w:rPr>
        <w:t xml:space="preserve"> I </w:t>
      </w:r>
      <w:r w:rsidR="00694441" w:rsidRPr="005C5537">
        <w:rPr>
          <w:rFonts w:ascii="Times New Roman" w:hAnsi="Times New Roman" w:cs="Times New Roman"/>
          <w:sz w:val="24"/>
          <w:szCs w:val="24"/>
        </w:rPr>
        <w:t>am of th</w:t>
      </w:r>
      <w:r w:rsidR="00FD0120">
        <w:rPr>
          <w:rFonts w:ascii="Times New Roman" w:hAnsi="Times New Roman" w:cs="Times New Roman"/>
          <w:sz w:val="24"/>
          <w:szCs w:val="24"/>
        </w:rPr>
        <w:t>e considered view that the 1</w:t>
      </w:r>
      <w:r w:rsidR="00FD0120" w:rsidRPr="00FD0120">
        <w:rPr>
          <w:rFonts w:ascii="Times New Roman" w:hAnsi="Times New Roman" w:cs="Times New Roman"/>
          <w:sz w:val="24"/>
          <w:szCs w:val="24"/>
          <w:vertAlign w:val="superscript"/>
        </w:rPr>
        <w:t>st</w:t>
      </w:r>
      <w:r w:rsidR="00FD0120">
        <w:rPr>
          <w:rFonts w:ascii="Times New Roman" w:hAnsi="Times New Roman" w:cs="Times New Roman"/>
          <w:sz w:val="24"/>
          <w:szCs w:val="24"/>
        </w:rPr>
        <w:t xml:space="preserve"> r</w:t>
      </w:r>
      <w:r w:rsidR="00694441" w:rsidRPr="005C5537">
        <w:rPr>
          <w:rFonts w:ascii="Times New Roman" w:hAnsi="Times New Roman" w:cs="Times New Roman"/>
          <w:sz w:val="24"/>
          <w:szCs w:val="24"/>
        </w:rPr>
        <w:t xml:space="preserve">espondent’s conduct by so doing </w:t>
      </w:r>
      <w:r w:rsidR="00425DB5" w:rsidRPr="005C5537">
        <w:rPr>
          <w:rFonts w:ascii="Times New Roman" w:hAnsi="Times New Roman" w:cs="Times New Roman"/>
          <w:sz w:val="24"/>
          <w:szCs w:val="24"/>
        </w:rPr>
        <w:t>can be best described as the desire to abuse court process.</w:t>
      </w:r>
      <w:r w:rsidR="002E34E6" w:rsidRPr="005C5537">
        <w:rPr>
          <w:rFonts w:ascii="Times New Roman" w:hAnsi="Times New Roman" w:cs="Times New Roman"/>
          <w:sz w:val="24"/>
          <w:szCs w:val="24"/>
        </w:rPr>
        <w:t xml:space="preserve"> </w:t>
      </w:r>
    </w:p>
    <w:p w:rsidR="00425006" w:rsidRPr="005C5537" w:rsidRDefault="006E0E97" w:rsidP="00484D48">
      <w:pPr>
        <w:spacing w:after="0" w:line="360" w:lineRule="auto"/>
        <w:ind w:firstLine="720"/>
        <w:jc w:val="both"/>
        <w:rPr>
          <w:rFonts w:ascii="Times New Roman" w:hAnsi="Times New Roman" w:cs="Times New Roman"/>
          <w:sz w:val="24"/>
          <w:szCs w:val="24"/>
        </w:rPr>
      </w:pPr>
      <w:r w:rsidRPr="005C5537">
        <w:rPr>
          <w:rFonts w:ascii="Times New Roman" w:hAnsi="Times New Roman" w:cs="Times New Roman"/>
          <w:sz w:val="24"/>
          <w:szCs w:val="24"/>
        </w:rPr>
        <w:t xml:space="preserve">In the case of </w:t>
      </w:r>
      <w:r w:rsidRPr="00FD0120">
        <w:rPr>
          <w:rFonts w:ascii="Times New Roman" w:hAnsi="Times New Roman" w:cs="Times New Roman"/>
          <w:i/>
          <w:sz w:val="24"/>
          <w:szCs w:val="24"/>
        </w:rPr>
        <w:t>Old Mutual Life Assurance Company (Pvt) Ltd v Makgatho</w:t>
      </w:r>
      <w:r w:rsidR="004F1535" w:rsidRPr="005C5537">
        <w:rPr>
          <w:rStyle w:val="FootnoteReference"/>
          <w:rFonts w:ascii="Times New Roman" w:hAnsi="Times New Roman" w:cs="Times New Roman"/>
          <w:sz w:val="24"/>
          <w:szCs w:val="24"/>
        </w:rPr>
        <w:footnoteReference w:id="3"/>
      </w:r>
      <w:r w:rsidRPr="005C5537">
        <w:rPr>
          <w:rFonts w:ascii="Times New Roman" w:hAnsi="Times New Roman" w:cs="Times New Roman"/>
          <w:sz w:val="24"/>
          <w:szCs w:val="24"/>
        </w:rPr>
        <w:t xml:space="preserve">, the court summarised the key issues for consideration when dealing with the present </w:t>
      </w:r>
      <w:r w:rsidR="007F161C" w:rsidRPr="005C5537">
        <w:rPr>
          <w:rFonts w:ascii="Times New Roman" w:hAnsi="Times New Roman" w:cs="Times New Roman"/>
          <w:sz w:val="24"/>
          <w:szCs w:val="24"/>
        </w:rPr>
        <w:t xml:space="preserve">application </w:t>
      </w:r>
      <w:r w:rsidR="007159DF">
        <w:rPr>
          <w:rFonts w:ascii="Times New Roman" w:hAnsi="Times New Roman" w:cs="Times New Roman"/>
          <w:sz w:val="24"/>
          <w:szCs w:val="24"/>
        </w:rPr>
        <w:t xml:space="preserve">as </w:t>
      </w:r>
      <w:r w:rsidRPr="005C5537">
        <w:rPr>
          <w:rFonts w:ascii="Times New Roman" w:hAnsi="Times New Roman" w:cs="Times New Roman"/>
          <w:sz w:val="24"/>
          <w:szCs w:val="24"/>
        </w:rPr>
        <w:t>follows:</w:t>
      </w:r>
    </w:p>
    <w:p w:rsidR="007C437C" w:rsidRPr="00921805" w:rsidRDefault="007C437C" w:rsidP="00484D48">
      <w:pPr>
        <w:spacing w:after="0" w:line="240" w:lineRule="auto"/>
        <w:ind w:left="1134" w:hanging="414"/>
        <w:contextualSpacing/>
        <w:jc w:val="both"/>
        <w:rPr>
          <w:rFonts w:ascii="Times New Roman" w:hAnsi="Times New Roman" w:cs="Times New Roman"/>
        </w:rPr>
      </w:pPr>
      <w:r w:rsidRPr="005C5537">
        <w:rPr>
          <w:rFonts w:ascii="Times New Roman" w:hAnsi="Times New Roman" w:cs="Times New Roman"/>
          <w:sz w:val="24"/>
          <w:szCs w:val="24"/>
        </w:rPr>
        <w:t>“1.</w:t>
      </w:r>
      <w:r w:rsidRPr="005C5537">
        <w:rPr>
          <w:rFonts w:ascii="Times New Roman" w:hAnsi="Times New Roman" w:cs="Times New Roman"/>
          <w:sz w:val="24"/>
          <w:szCs w:val="24"/>
        </w:rPr>
        <w:tab/>
      </w:r>
      <w:r w:rsidRPr="00921805">
        <w:rPr>
          <w:rFonts w:ascii="Times New Roman" w:hAnsi="Times New Roman" w:cs="Times New Roman"/>
        </w:rPr>
        <w:t>An appellant has an absolute right to appeal and test the correctness of the decision of the lower court before he or she is called upon to satisfy the judgment appealed against.</w:t>
      </w:r>
    </w:p>
    <w:p w:rsidR="00FD0120" w:rsidRPr="00921805" w:rsidRDefault="00FD0120" w:rsidP="00484D48">
      <w:pPr>
        <w:spacing w:after="0" w:line="240" w:lineRule="auto"/>
        <w:ind w:left="1134" w:hanging="414"/>
        <w:contextualSpacing/>
        <w:jc w:val="both"/>
        <w:rPr>
          <w:rFonts w:ascii="Times New Roman" w:hAnsi="Times New Roman" w:cs="Times New Roman"/>
        </w:rPr>
      </w:pPr>
    </w:p>
    <w:p w:rsidR="00921805" w:rsidRDefault="007C437C" w:rsidP="00484D48">
      <w:pPr>
        <w:spacing w:after="0" w:line="240" w:lineRule="auto"/>
        <w:ind w:left="1134" w:hanging="414"/>
        <w:contextualSpacing/>
        <w:jc w:val="both"/>
        <w:rPr>
          <w:rFonts w:ascii="Times New Roman" w:hAnsi="Times New Roman" w:cs="Times New Roman"/>
        </w:rPr>
      </w:pPr>
      <w:r w:rsidRPr="00921805">
        <w:rPr>
          <w:rFonts w:ascii="Times New Roman" w:hAnsi="Times New Roman" w:cs="Times New Roman"/>
        </w:rPr>
        <w:t>2.</w:t>
      </w:r>
      <w:r w:rsidRPr="00921805">
        <w:rPr>
          <w:rFonts w:ascii="Times New Roman" w:hAnsi="Times New Roman" w:cs="Times New Roman"/>
        </w:rPr>
        <w:tab/>
        <w:t>Execution of the judgment of the lower court before the determination of the appeal will negate the absolute right that the appellant has and is generally not permissible.</w:t>
      </w:r>
    </w:p>
    <w:p w:rsidR="00921805" w:rsidRPr="00921805" w:rsidRDefault="00921805" w:rsidP="00484D48">
      <w:pPr>
        <w:spacing w:after="0" w:line="240" w:lineRule="auto"/>
        <w:ind w:left="1134" w:hanging="414"/>
        <w:contextualSpacing/>
        <w:jc w:val="both"/>
        <w:rPr>
          <w:rFonts w:ascii="Times New Roman" w:hAnsi="Times New Roman" w:cs="Times New Roman"/>
        </w:rPr>
      </w:pPr>
    </w:p>
    <w:p w:rsidR="007C437C" w:rsidRPr="00921805" w:rsidRDefault="007C437C" w:rsidP="00484D48">
      <w:pPr>
        <w:spacing w:after="0" w:line="240" w:lineRule="auto"/>
        <w:ind w:left="1440" w:hanging="720"/>
        <w:contextualSpacing/>
        <w:jc w:val="both"/>
        <w:rPr>
          <w:rFonts w:ascii="Times New Roman" w:hAnsi="Times New Roman" w:cs="Times New Roman"/>
        </w:rPr>
      </w:pPr>
      <w:r w:rsidRPr="00921805">
        <w:rPr>
          <w:rFonts w:ascii="Times New Roman" w:hAnsi="Times New Roman" w:cs="Times New Roman"/>
        </w:rPr>
        <w:t xml:space="preserve">3. </w:t>
      </w:r>
      <w:r w:rsidR="00FD0120" w:rsidRPr="00921805">
        <w:rPr>
          <w:rFonts w:ascii="Times New Roman" w:hAnsi="Times New Roman" w:cs="Times New Roman"/>
        </w:rPr>
        <w:t xml:space="preserve">   </w:t>
      </w:r>
      <w:r w:rsidRPr="00921805">
        <w:rPr>
          <w:rFonts w:ascii="Times New Roman" w:hAnsi="Times New Roman" w:cs="Times New Roman"/>
        </w:rPr>
        <w:t xml:space="preserve">Where, however, the appellant brings the appeal with no </w:t>
      </w:r>
      <w:r w:rsidRPr="00921805">
        <w:rPr>
          <w:rFonts w:ascii="Times New Roman" w:hAnsi="Times New Roman" w:cs="Times New Roman"/>
          <w:i/>
        </w:rPr>
        <w:t>bona fide</w:t>
      </w:r>
      <w:r w:rsidRPr="00921805">
        <w:rPr>
          <w:rFonts w:ascii="Times New Roman" w:hAnsi="Times New Roman" w:cs="Times New Roman"/>
        </w:rPr>
        <w:t xml:space="preserve"> intention of </w:t>
      </w:r>
    </w:p>
    <w:p w:rsidR="007C437C" w:rsidRPr="00921805" w:rsidRDefault="007C437C" w:rsidP="00484D48">
      <w:pPr>
        <w:pStyle w:val="ListParagraph"/>
        <w:spacing w:after="0" w:line="240" w:lineRule="auto"/>
        <w:ind w:left="1134"/>
        <w:jc w:val="both"/>
        <w:rPr>
          <w:rFonts w:ascii="Times New Roman" w:hAnsi="Times New Roman" w:cs="Times New Roman"/>
        </w:rPr>
      </w:pPr>
      <w:r w:rsidRPr="00921805">
        <w:rPr>
          <w:rFonts w:ascii="Times New Roman" w:hAnsi="Times New Roman" w:cs="Times New Roman"/>
        </w:rPr>
        <w:t>testing the correctness of the decision of the lower court, but is motivated by a desire to either buy time or harass the successful party, the court, in its discretion, may allow the successful party to execute the judgment notwithstanding the absolute right to appeal resting in the appellant.</w:t>
      </w:r>
    </w:p>
    <w:p w:rsidR="00FD0120" w:rsidRPr="00921805" w:rsidRDefault="00FD0120" w:rsidP="00484D48">
      <w:pPr>
        <w:spacing w:after="0" w:line="240" w:lineRule="auto"/>
        <w:jc w:val="both"/>
        <w:rPr>
          <w:rFonts w:ascii="Times New Roman" w:hAnsi="Times New Roman" w:cs="Times New Roman"/>
        </w:rPr>
      </w:pPr>
    </w:p>
    <w:p w:rsidR="007C437C" w:rsidRPr="00921805" w:rsidRDefault="007C437C" w:rsidP="00484D48">
      <w:pPr>
        <w:pStyle w:val="ListParagraph"/>
        <w:spacing w:after="0" w:line="240" w:lineRule="auto"/>
        <w:ind w:left="1080" w:hanging="371"/>
        <w:jc w:val="both"/>
        <w:rPr>
          <w:rFonts w:ascii="Times New Roman" w:hAnsi="Times New Roman" w:cs="Times New Roman"/>
        </w:rPr>
      </w:pPr>
      <w:r w:rsidRPr="00921805">
        <w:rPr>
          <w:rFonts w:ascii="Times New Roman" w:hAnsi="Times New Roman" w:cs="Times New Roman"/>
        </w:rPr>
        <w:t xml:space="preserve">4. </w:t>
      </w:r>
      <w:r w:rsidRPr="00921805">
        <w:rPr>
          <w:rFonts w:ascii="Times New Roman" w:hAnsi="Times New Roman" w:cs="Times New Roman"/>
        </w:rPr>
        <w:tab/>
        <w:t xml:space="preserve">In exercising its discretion, the court has regard to the considerations suggested by   CORBETT JA in </w:t>
      </w:r>
      <w:r w:rsidRPr="00921805">
        <w:rPr>
          <w:rFonts w:ascii="Times New Roman" w:hAnsi="Times New Roman" w:cs="Times New Roman"/>
          <w:i/>
        </w:rPr>
        <w:t>South Cape Corporations (Pty) Ltd</w:t>
      </w:r>
      <w:r w:rsidRPr="00921805">
        <w:rPr>
          <w:rFonts w:ascii="Times New Roman" w:hAnsi="Times New Roman" w:cs="Times New Roman"/>
        </w:rPr>
        <w:t xml:space="preserve"> v </w:t>
      </w:r>
      <w:r w:rsidRPr="00921805">
        <w:rPr>
          <w:rFonts w:ascii="Times New Roman" w:hAnsi="Times New Roman" w:cs="Times New Roman"/>
          <w:i/>
        </w:rPr>
        <w:t>Engineering Management Services (Pty) Ltd</w:t>
      </w:r>
      <w:r w:rsidRPr="00921805">
        <w:rPr>
          <w:rFonts w:ascii="Times New Roman" w:hAnsi="Times New Roman" w:cs="Times New Roman"/>
        </w:rPr>
        <w:t xml:space="preserve"> 1977 (3) SA 534 (A) at 545.</w:t>
      </w:r>
    </w:p>
    <w:p w:rsidR="00FD0120" w:rsidRPr="00921805" w:rsidRDefault="00FD0120" w:rsidP="00484D48">
      <w:pPr>
        <w:pStyle w:val="ListParagraph"/>
        <w:spacing w:after="0" w:line="240" w:lineRule="auto"/>
        <w:ind w:left="1080" w:hanging="371"/>
        <w:jc w:val="both"/>
        <w:rPr>
          <w:rFonts w:ascii="Times New Roman" w:hAnsi="Times New Roman" w:cs="Times New Roman"/>
        </w:rPr>
      </w:pPr>
    </w:p>
    <w:p w:rsidR="007C437C" w:rsidRPr="00921805" w:rsidRDefault="007C437C" w:rsidP="00484D48">
      <w:pPr>
        <w:pStyle w:val="ListParagraph"/>
        <w:numPr>
          <w:ilvl w:val="0"/>
          <w:numId w:val="4"/>
        </w:numPr>
        <w:spacing w:after="0" w:line="240" w:lineRule="auto"/>
        <w:ind w:left="1134" w:hanging="425"/>
        <w:jc w:val="both"/>
        <w:rPr>
          <w:rFonts w:ascii="Times New Roman" w:hAnsi="Times New Roman" w:cs="Times New Roman"/>
        </w:rPr>
      </w:pPr>
      <w:r w:rsidRPr="00921805">
        <w:rPr>
          <w:rFonts w:ascii="Times New Roman" w:hAnsi="Times New Roman" w:cs="Times New Roman"/>
        </w:rPr>
        <w:t xml:space="preserve">Where the judgment sounds in money and the successful party offers security </w:t>
      </w:r>
      <w:r w:rsidRPr="00921805">
        <w:rPr>
          <w:rFonts w:ascii="Times New Roman" w:hAnsi="Times New Roman" w:cs="Times New Roman"/>
          <w:i/>
        </w:rPr>
        <w:t>de restituendo</w:t>
      </w:r>
      <w:r w:rsidRPr="00921805">
        <w:rPr>
          <w:rFonts w:ascii="Times New Roman" w:hAnsi="Times New Roman" w:cs="Times New Roman"/>
        </w:rPr>
        <w:t xml:space="preserve"> and the appellant has no prospects of success on appeal, the court may exercise its discretion against the appellant’s absolute right to appeal.</w:t>
      </w:r>
    </w:p>
    <w:p w:rsidR="00FD0120" w:rsidRPr="00921805" w:rsidRDefault="00FD0120" w:rsidP="00484D48">
      <w:pPr>
        <w:pStyle w:val="ListParagraph"/>
        <w:spacing w:after="0" w:line="240" w:lineRule="auto"/>
        <w:jc w:val="both"/>
        <w:rPr>
          <w:rFonts w:ascii="Times New Roman" w:hAnsi="Times New Roman" w:cs="Times New Roman"/>
        </w:rPr>
      </w:pPr>
    </w:p>
    <w:p w:rsidR="007C437C" w:rsidRPr="00921805" w:rsidRDefault="00FD0120" w:rsidP="00484D48">
      <w:pPr>
        <w:spacing w:after="0" w:line="240" w:lineRule="auto"/>
        <w:ind w:left="1134" w:hanging="425"/>
        <w:jc w:val="both"/>
        <w:rPr>
          <w:rFonts w:ascii="Times New Roman" w:hAnsi="Times New Roman" w:cs="Times New Roman"/>
        </w:rPr>
      </w:pPr>
      <w:r w:rsidRPr="00921805">
        <w:rPr>
          <w:rFonts w:ascii="Times New Roman" w:hAnsi="Times New Roman" w:cs="Times New Roman"/>
        </w:rPr>
        <w:t xml:space="preserve">6.    </w:t>
      </w:r>
      <w:r w:rsidR="007C437C" w:rsidRPr="00921805">
        <w:rPr>
          <w:rFonts w:ascii="Times New Roman" w:hAnsi="Times New Roman" w:cs="Times New Roman"/>
        </w:rPr>
        <w:t xml:space="preserve">An application for leave to execute pending appeal cannot be determined solely </w:t>
      </w:r>
    </w:p>
    <w:p w:rsidR="00921805" w:rsidRDefault="007C437C" w:rsidP="00484D48">
      <w:pPr>
        <w:spacing w:after="0" w:line="240" w:lineRule="auto"/>
        <w:ind w:left="1134"/>
        <w:jc w:val="both"/>
        <w:rPr>
          <w:rFonts w:ascii="Times New Roman" w:hAnsi="Times New Roman" w:cs="Times New Roman"/>
        </w:rPr>
      </w:pPr>
      <w:r w:rsidRPr="00921805">
        <w:rPr>
          <w:rFonts w:ascii="Times New Roman" w:hAnsi="Times New Roman" w:cs="Times New Roman"/>
        </w:rPr>
        <w:t xml:space="preserve">on the basis that the appellant has no prospects of success on appeal, especially where the whole object of the appeal is defeated if execution were to proceed (see </w:t>
      </w:r>
      <w:r w:rsidRPr="00921805">
        <w:rPr>
          <w:rFonts w:ascii="Times New Roman" w:hAnsi="Times New Roman" w:cs="Times New Roman"/>
          <w:i/>
        </w:rPr>
        <w:t>Woodnov Edwards and Another</w:t>
      </w:r>
      <w:r w:rsidRPr="00921805">
        <w:rPr>
          <w:rFonts w:ascii="Times New Roman" w:hAnsi="Times New Roman" w:cs="Times New Roman"/>
        </w:rPr>
        <w:t xml:space="preserve"> 1966 RLR 335.”</w:t>
      </w:r>
    </w:p>
    <w:p w:rsidR="00D276CB" w:rsidRPr="00FD0120" w:rsidRDefault="007C437C" w:rsidP="00484D48">
      <w:pPr>
        <w:spacing w:after="0" w:line="240" w:lineRule="auto"/>
        <w:ind w:left="1134"/>
        <w:jc w:val="both"/>
        <w:rPr>
          <w:rFonts w:ascii="Times New Roman" w:hAnsi="Times New Roman" w:cs="Times New Roman"/>
          <w:sz w:val="24"/>
          <w:szCs w:val="24"/>
        </w:rPr>
      </w:pPr>
      <w:r w:rsidRPr="00FD0120">
        <w:rPr>
          <w:rFonts w:ascii="Times New Roman" w:hAnsi="Times New Roman" w:cs="Times New Roman"/>
          <w:sz w:val="24"/>
          <w:szCs w:val="24"/>
        </w:rPr>
        <w:tab/>
      </w:r>
    </w:p>
    <w:p w:rsidR="008126A9" w:rsidRPr="00921805" w:rsidRDefault="00C6034B" w:rsidP="00484D48">
      <w:pPr>
        <w:spacing w:after="0" w:line="360" w:lineRule="auto"/>
        <w:ind w:firstLine="720"/>
        <w:jc w:val="both"/>
        <w:rPr>
          <w:rFonts w:ascii="Times New Roman" w:hAnsi="Times New Roman" w:cs="Times New Roman"/>
          <w:sz w:val="24"/>
          <w:szCs w:val="24"/>
        </w:rPr>
      </w:pPr>
      <w:r w:rsidRPr="00921805">
        <w:rPr>
          <w:rFonts w:ascii="Times New Roman" w:hAnsi="Times New Roman" w:cs="Times New Roman"/>
          <w:sz w:val="24"/>
          <w:szCs w:val="24"/>
        </w:rPr>
        <w:t>Given that the 1</w:t>
      </w:r>
      <w:r w:rsidRPr="00921805">
        <w:rPr>
          <w:rFonts w:ascii="Times New Roman" w:hAnsi="Times New Roman" w:cs="Times New Roman"/>
          <w:sz w:val="24"/>
          <w:szCs w:val="24"/>
          <w:vertAlign w:val="superscript"/>
        </w:rPr>
        <w:t>st</w:t>
      </w:r>
      <w:r w:rsidR="00921805">
        <w:rPr>
          <w:rFonts w:ascii="Times New Roman" w:hAnsi="Times New Roman" w:cs="Times New Roman"/>
          <w:sz w:val="24"/>
          <w:szCs w:val="24"/>
        </w:rPr>
        <w:t xml:space="preserve"> r</w:t>
      </w:r>
      <w:r w:rsidRPr="00921805">
        <w:rPr>
          <w:rFonts w:ascii="Times New Roman" w:hAnsi="Times New Roman" w:cs="Times New Roman"/>
          <w:sz w:val="24"/>
          <w:szCs w:val="24"/>
        </w:rPr>
        <w:t xml:space="preserve">espondent failed to produce prospecting documents </w:t>
      </w:r>
      <w:r w:rsidR="00EA0C63" w:rsidRPr="00921805">
        <w:rPr>
          <w:rFonts w:ascii="Times New Roman" w:hAnsi="Times New Roman" w:cs="Times New Roman"/>
          <w:sz w:val="24"/>
          <w:szCs w:val="24"/>
        </w:rPr>
        <w:t xml:space="preserve">issued and </w:t>
      </w:r>
      <w:r w:rsidRPr="00921805">
        <w:rPr>
          <w:rFonts w:ascii="Times New Roman" w:hAnsi="Times New Roman" w:cs="Times New Roman"/>
          <w:sz w:val="24"/>
          <w:szCs w:val="24"/>
        </w:rPr>
        <w:t>stamped by the 2</w:t>
      </w:r>
      <w:r w:rsidRPr="00921805">
        <w:rPr>
          <w:rFonts w:ascii="Times New Roman" w:hAnsi="Times New Roman" w:cs="Times New Roman"/>
          <w:sz w:val="24"/>
          <w:szCs w:val="24"/>
          <w:vertAlign w:val="superscript"/>
        </w:rPr>
        <w:t>nd</w:t>
      </w:r>
      <w:r w:rsidRPr="00921805">
        <w:rPr>
          <w:rFonts w:ascii="Times New Roman" w:hAnsi="Times New Roman" w:cs="Times New Roman"/>
          <w:sz w:val="24"/>
          <w:szCs w:val="24"/>
        </w:rPr>
        <w:t xml:space="preserve"> </w:t>
      </w:r>
      <w:r w:rsidR="00921805">
        <w:rPr>
          <w:rFonts w:ascii="Times New Roman" w:hAnsi="Times New Roman" w:cs="Times New Roman"/>
          <w:sz w:val="24"/>
          <w:szCs w:val="24"/>
        </w:rPr>
        <w:t>r</w:t>
      </w:r>
      <w:r w:rsidRPr="00921805">
        <w:rPr>
          <w:rFonts w:ascii="Times New Roman" w:hAnsi="Times New Roman" w:cs="Times New Roman"/>
          <w:sz w:val="24"/>
          <w:szCs w:val="24"/>
        </w:rPr>
        <w:t>espondent on two occasions, firstl</w:t>
      </w:r>
      <w:r w:rsidR="00921805">
        <w:rPr>
          <w:rFonts w:ascii="Times New Roman" w:hAnsi="Times New Roman" w:cs="Times New Roman"/>
          <w:sz w:val="24"/>
          <w:szCs w:val="24"/>
        </w:rPr>
        <w:t>y under case number HC 6560/</w:t>
      </w:r>
      <w:r w:rsidR="007159DF" w:rsidRPr="00921805">
        <w:rPr>
          <w:rFonts w:ascii="Times New Roman" w:hAnsi="Times New Roman" w:cs="Times New Roman"/>
          <w:sz w:val="24"/>
          <w:szCs w:val="24"/>
        </w:rPr>
        <w:t xml:space="preserve">21 </w:t>
      </w:r>
      <w:r w:rsidRPr="00921805">
        <w:rPr>
          <w:rFonts w:ascii="Times New Roman" w:hAnsi="Times New Roman" w:cs="Times New Roman"/>
          <w:sz w:val="24"/>
          <w:szCs w:val="24"/>
        </w:rPr>
        <w:t xml:space="preserve">and in the </w:t>
      </w:r>
      <w:r w:rsidR="007159DF" w:rsidRPr="00921805">
        <w:rPr>
          <w:rFonts w:ascii="Times New Roman" w:hAnsi="Times New Roman" w:cs="Times New Roman"/>
          <w:sz w:val="24"/>
          <w:szCs w:val="24"/>
        </w:rPr>
        <w:t xml:space="preserve">present application, I find it </w:t>
      </w:r>
      <w:r w:rsidRPr="00921805">
        <w:rPr>
          <w:rFonts w:ascii="Times New Roman" w:hAnsi="Times New Roman" w:cs="Times New Roman"/>
          <w:sz w:val="24"/>
          <w:szCs w:val="24"/>
        </w:rPr>
        <w:t xml:space="preserve">difficult </w:t>
      </w:r>
      <w:r w:rsidR="00F25E58" w:rsidRPr="00921805">
        <w:rPr>
          <w:rFonts w:ascii="Times New Roman" w:hAnsi="Times New Roman" w:cs="Times New Roman"/>
          <w:sz w:val="24"/>
          <w:szCs w:val="24"/>
        </w:rPr>
        <w:t>to imagine the prospects of success on appeal.</w:t>
      </w:r>
      <w:r w:rsidR="00BA7620" w:rsidRPr="00921805">
        <w:rPr>
          <w:rFonts w:ascii="Times New Roman" w:hAnsi="Times New Roman" w:cs="Times New Roman"/>
          <w:sz w:val="24"/>
          <w:szCs w:val="24"/>
        </w:rPr>
        <w:t xml:space="preserve"> </w:t>
      </w:r>
      <w:r w:rsidR="008126A9" w:rsidRPr="00921805">
        <w:rPr>
          <w:rFonts w:ascii="Times New Roman" w:hAnsi="Times New Roman" w:cs="Times New Roman"/>
          <w:sz w:val="24"/>
          <w:szCs w:val="24"/>
        </w:rPr>
        <w:t xml:space="preserve">The </w:t>
      </w:r>
      <w:r w:rsidR="00BA7620" w:rsidRPr="00921805">
        <w:rPr>
          <w:rFonts w:ascii="Times New Roman" w:hAnsi="Times New Roman" w:cs="Times New Roman"/>
          <w:sz w:val="24"/>
          <w:szCs w:val="24"/>
        </w:rPr>
        <w:t>1</w:t>
      </w:r>
      <w:r w:rsidR="00BA7620" w:rsidRPr="00921805">
        <w:rPr>
          <w:rFonts w:ascii="Times New Roman" w:hAnsi="Times New Roman" w:cs="Times New Roman"/>
          <w:sz w:val="24"/>
          <w:szCs w:val="24"/>
          <w:vertAlign w:val="superscript"/>
        </w:rPr>
        <w:t>st</w:t>
      </w:r>
      <w:r w:rsidR="00921805">
        <w:rPr>
          <w:rFonts w:ascii="Times New Roman" w:hAnsi="Times New Roman" w:cs="Times New Roman"/>
          <w:sz w:val="24"/>
          <w:szCs w:val="24"/>
        </w:rPr>
        <w:t xml:space="preserve"> r</w:t>
      </w:r>
      <w:r w:rsidR="00BA7620" w:rsidRPr="00921805">
        <w:rPr>
          <w:rFonts w:ascii="Times New Roman" w:hAnsi="Times New Roman" w:cs="Times New Roman"/>
          <w:sz w:val="24"/>
          <w:szCs w:val="24"/>
        </w:rPr>
        <w:t xml:space="preserve">espondent </w:t>
      </w:r>
      <w:r w:rsidR="008126A9" w:rsidRPr="00921805">
        <w:rPr>
          <w:rFonts w:ascii="Times New Roman" w:hAnsi="Times New Roman" w:cs="Times New Roman"/>
          <w:sz w:val="24"/>
          <w:szCs w:val="24"/>
        </w:rPr>
        <w:t>noted</w:t>
      </w:r>
      <w:r w:rsidR="00BA7620" w:rsidRPr="00921805">
        <w:rPr>
          <w:rFonts w:ascii="Times New Roman" w:hAnsi="Times New Roman" w:cs="Times New Roman"/>
          <w:sz w:val="24"/>
          <w:szCs w:val="24"/>
        </w:rPr>
        <w:t xml:space="preserve"> the appeal </w:t>
      </w:r>
      <w:r w:rsidR="008126A9" w:rsidRPr="00921805">
        <w:rPr>
          <w:rFonts w:ascii="Times New Roman" w:hAnsi="Times New Roman" w:cs="Times New Roman"/>
          <w:sz w:val="24"/>
          <w:szCs w:val="24"/>
        </w:rPr>
        <w:t>purely to abuse court process.</w:t>
      </w:r>
      <w:r w:rsidR="00EA0C63" w:rsidRPr="00921805">
        <w:rPr>
          <w:rFonts w:ascii="Times New Roman" w:hAnsi="Times New Roman" w:cs="Times New Roman"/>
          <w:sz w:val="24"/>
          <w:szCs w:val="24"/>
        </w:rPr>
        <w:t xml:space="preserve"> The 1</w:t>
      </w:r>
      <w:r w:rsidR="00EA0C63" w:rsidRPr="00921805">
        <w:rPr>
          <w:rFonts w:ascii="Times New Roman" w:hAnsi="Times New Roman" w:cs="Times New Roman"/>
          <w:sz w:val="24"/>
          <w:szCs w:val="24"/>
          <w:vertAlign w:val="superscript"/>
        </w:rPr>
        <w:t>st</w:t>
      </w:r>
      <w:r w:rsidR="00921805">
        <w:rPr>
          <w:rFonts w:ascii="Times New Roman" w:hAnsi="Times New Roman" w:cs="Times New Roman"/>
          <w:sz w:val="24"/>
          <w:szCs w:val="24"/>
        </w:rPr>
        <w:t xml:space="preserve"> r</w:t>
      </w:r>
      <w:r w:rsidR="00EA0C63" w:rsidRPr="00921805">
        <w:rPr>
          <w:rFonts w:ascii="Times New Roman" w:hAnsi="Times New Roman" w:cs="Times New Roman"/>
          <w:sz w:val="24"/>
          <w:szCs w:val="24"/>
        </w:rPr>
        <w:t xml:space="preserve">espondent was not motivated by the </w:t>
      </w:r>
      <w:r w:rsidR="00EA0C63" w:rsidRPr="00921805">
        <w:rPr>
          <w:rFonts w:ascii="Times New Roman" w:hAnsi="Times New Roman" w:cs="Times New Roman"/>
          <w:i/>
          <w:sz w:val="24"/>
          <w:szCs w:val="24"/>
        </w:rPr>
        <w:t>bona</w:t>
      </w:r>
      <w:r w:rsidR="003B67A2" w:rsidRPr="00921805">
        <w:rPr>
          <w:rFonts w:ascii="Times New Roman" w:hAnsi="Times New Roman" w:cs="Times New Roman"/>
          <w:i/>
          <w:sz w:val="24"/>
          <w:szCs w:val="24"/>
        </w:rPr>
        <w:t xml:space="preserve"> </w:t>
      </w:r>
      <w:r w:rsidR="00EA0C63" w:rsidRPr="00921805">
        <w:rPr>
          <w:rFonts w:ascii="Times New Roman" w:hAnsi="Times New Roman" w:cs="Times New Roman"/>
          <w:i/>
          <w:sz w:val="24"/>
          <w:szCs w:val="24"/>
        </w:rPr>
        <w:t xml:space="preserve">fide </w:t>
      </w:r>
      <w:r w:rsidR="00EA0C63" w:rsidRPr="00921805">
        <w:rPr>
          <w:rFonts w:ascii="Times New Roman" w:hAnsi="Times New Roman" w:cs="Times New Roman"/>
          <w:sz w:val="24"/>
          <w:szCs w:val="24"/>
        </w:rPr>
        <w:t>intention to test the correctness of the decision of 24 November 2021</w:t>
      </w:r>
      <w:r w:rsidR="007159DF" w:rsidRPr="00921805">
        <w:rPr>
          <w:rFonts w:ascii="Times New Roman" w:hAnsi="Times New Roman" w:cs="Times New Roman"/>
          <w:sz w:val="24"/>
          <w:szCs w:val="24"/>
        </w:rPr>
        <w:t xml:space="preserve"> </w:t>
      </w:r>
      <w:r w:rsidR="003B67A2" w:rsidRPr="00921805">
        <w:rPr>
          <w:rFonts w:ascii="Times New Roman" w:hAnsi="Times New Roman" w:cs="Times New Roman"/>
          <w:sz w:val="24"/>
          <w:szCs w:val="24"/>
        </w:rPr>
        <w:t>when he noted his appeal</w:t>
      </w:r>
      <w:r w:rsidR="00EA0C63" w:rsidRPr="00921805">
        <w:rPr>
          <w:rFonts w:ascii="Times New Roman" w:hAnsi="Times New Roman" w:cs="Times New Roman"/>
          <w:sz w:val="24"/>
          <w:szCs w:val="24"/>
        </w:rPr>
        <w:t xml:space="preserve">. </w:t>
      </w:r>
      <w:r w:rsidR="008126A9" w:rsidRPr="00921805">
        <w:rPr>
          <w:rFonts w:ascii="Times New Roman" w:hAnsi="Times New Roman" w:cs="Times New Roman"/>
          <w:sz w:val="24"/>
          <w:szCs w:val="24"/>
        </w:rPr>
        <w:t xml:space="preserve"> The 1</w:t>
      </w:r>
      <w:r w:rsidR="008126A9" w:rsidRPr="00921805">
        <w:rPr>
          <w:rFonts w:ascii="Times New Roman" w:hAnsi="Times New Roman" w:cs="Times New Roman"/>
          <w:sz w:val="24"/>
          <w:szCs w:val="24"/>
          <w:vertAlign w:val="superscript"/>
        </w:rPr>
        <w:t>st</w:t>
      </w:r>
      <w:r w:rsidR="00921805">
        <w:rPr>
          <w:rFonts w:ascii="Times New Roman" w:hAnsi="Times New Roman" w:cs="Times New Roman"/>
          <w:sz w:val="24"/>
          <w:szCs w:val="24"/>
        </w:rPr>
        <w:t xml:space="preserve"> r</w:t>
      </w:r>
      <w:r w:rsidR="008126A9" w:rsidRPr="00921805">
        <w:rPr>
          <w:rFonts w:ascii="Times New Roman" w:hAnsi="Times New Roman" w:cs="Times New Roman"/>
          <w:sz w:val="24"/>
          <w:szCs w:val="24"/>
        </w:rPr>
        <w:t>espondent behaviour, in the circumstances, is inte</w:t>
      </w:r>
      <w:r w:rsidR="00921805">
        <w:rPr>
          <w:rFonts w:ascii="Times New Roman" w:hAnsi="Times New Roman" w:cs="Times New Roman"/>
          <w:sz w:val="24"/>
          <w:szCs w:val="24"/>
        </w:rPr>
        <w:t>nded to buy time or harass the a</w:t>
      </w:r>
      <w:r w:rsidR="008126A9" w:rsidRPr="00921805">
        <w:rPr>
          <w:rFonts w:ascii="Times New Roman" w:hAnsi="Times New Roman" w:cs="Times New Roman"/>
          <w:sz w:val="24"/>
          <w:szCs w:val="24"/>
        </w:rPr>
        <w:t>pplicant.</w:t>
      </w:r>
    </w:p>
    <w:p w:rsidR="008757AF" w:rsidRPr="00921805" w:rsidRDefault="00D276CB" w:rsidP="00484D48">
      <w:pPr>
        <w:spacing w:after="0" w:line="360" w:lineRule="auto"/>
        <w:ind w:firstLine="720"/>
        <w:jc w:val="both"/>
        <w:rPr>
          <w:rFonts w:ascii="Times New Roman" w:hAnsi="Times New Roman" w:cs="Times New Roman"/>
          <w:i/>
          <w:sz w:val="24"/>
          <w:szCs w:val="24"/>
        </w:rPr>
      </w:pPr>
      <w:r w:rsidRPr="00921805">
        <w:rPr>
          <w:rFonts w:ascii="Times New Roman" w:hAnsi="Times New Roman" w:cs="Times New Roman"/>
          <w:sz w:val="24"/>
          <w:szCs w:val="24"/>
        </w:rPr>
        <w:t xml:space="preserve">In the case of </w:t>
      </w:r>
      <w:r w:rsidRPr="00921805">
        <w:rPr>
          <w:rFonts w:ascii="Times New Roman" w:hAnsi="Times New Roman" w:cs="Times New Roman"/>
          <w:i/>
          <w:sz w:val="24"/>
          <w:szCs w:val="24"/>
        </w:rPr>
        <w:t>South Cape Corporation (Pty) Ltd v engineering Management Services (Pty) Ltd</w:t>
      </w:r>
      <w:r w:rsidR="008757AF" w:rsidRPr="005C5537">
        <w:rPr>
          <w:rStyle w:val="FootnoteReference"/>
          <w:rFonts w:ascii="Times New Roman" w:hAnsi="Times New Roman" w:cs="Times New Roman"/>
          <w:i/>
          <w:sz w:val="24"/>
          <w:szCs w:val="24"/>
        </w:rPr>
        <w:footnoteReference w:id="4"/>
      </w:r>
      <w:r w:rsidR="007159DF" w:rsidRPr="00921805">
        <w:rPr>
          <w:rFonts w:ascii="Times New Roman" w:hAnsi="Times New Roman" w:cs="Times New Roman"/>
          <w:i/>
          <w:sz w:val="24"/>
          <w:szCs w:val="24"/>
        </w:rPr>
        <w:t xml:space="preserve">, </w:t>
      </w:r>
      <w:r w:rsidR="008757AF" w:rsidRPr="00921805">
        <w:rPr>
          <w:rFonts w:ascii="Times New Roman" w:hAnsi="Times New Roman" w:cs="Times New Roman"/>
          <w:sz w:val="24"/>
          <w:szCs w:val="24"/>
        </w:rPr>
        <w:t>cited with approval in the case of</w:t>
      </w:r>
      <w:r w:rsidR="008757AF" w:rsidRPr="00921805">
        <w:rPr>
          <w:rFonts w:ascii="Times New Roman" w:hAnsi="Times New Roman" w:cs="Times New Roman"/>
          <w:i/>
          <w:sz w:val="24"/>
          <w:szCs w:val="24"/>
        </w:rPr>
        <w:t xml:space="preserve"> Old Mutual Life Assurance (Pvt) Ltd v Macgatho</w:t>
      </w:r>
      <w:r w:rsidR="00694441" w:rsidRPr="00921805">
        <w:rPr>
          <w:rFonts w:ascii="Times New Roman" w:hAnsi="Times New Roman" w:cs="Times New Roman"/>
          <w:i/>
          <w:sz w:val="24"/>
          <w:szCs w:val="24"/>
        </w:rPr>
        <w:t xml:space="preserve"> (supra)</w:t>
      </w:r>
      <w:r w:rsidR="008757AF" w:rsidRPr="00921805">
        <w:rPr>
          <w:rFonts w:ascii="Times New Roman" w:hAnsi="Times New Roman" w:cs="Times New Roman"/>
          <w:i/>
          <w:sz w:val="24"/>
          <w:szCs w:val="24"/>
        </w:rPr>
        <w:t xml:space="preserve">, </w:t>
      </w:r>
      <w:r w:rsidR="008757AF" w:rsidRPr="00921805">
        <w:rPr>
          <w:rFonts w:ascii="Times New Roman" w:hAnsi="Times New Roman" w:cs="Times New Roman"/>
          <w:sz w:val="24"/>
          <w:szCs w:val="24"/>
        </w:rPr>
        <w:t>the court held that</w:t>
      </w:r>
      <w:r w:rsidR="008757AF" w:rsidRPr="00921805">
        <w:rPr>
          <w:rFonts w:ascii="Times New Roman" w:hAnsi="Times New Roman" w:cs="Times New Roman"/>
          <w:i/>
          <w:sz w:val="24"/>
          <w:szCs w:val="24"/>
        </w:rPr>
        <w:t>:</w:t>
      </w:r>
    </w:p>
    <w:p w:rsidR="008757AF" w:rsidRPr="00921805" w:rsidRDefault="008757AF" w:rsidP="00484D48">
      <w:pPr>
        <w:spacing w:after="0" w:line="240" w:lineRule="auto"/>
        <w:ind w:left="720"/>
        <w:jc w:val="both"/>
        <w:rPr>
          <w:rFonts w:ascii="Times New Roman" w:hAnsi="Times New Roman" w:cs="Times New Roman"/>
        </w:rPr>
      </w:pPr>
      <w:r w:rsidRPr="005C5537">
        <w:rPr>
          <w:rFonts w:ascii="Times New Roman" w:hAnsi="Times New Roman" w:cs="Times New Roman"/>
          <w:sz w:val="24"/>
          <w:szCs w:val="24"/>
        </w:rPr>
        <w:t>“</w:t>
      </w:r>
      <w:r w:rsidRPr="00921805">
        <w:rPr>
          <w:rFonts w:ascii="Times New Roman" w:hAnsi="Times New Roman" w:cs="Times New Roman"/>
        </w:rPr>
        <w:t xml:space="preserve">In exercising this discretion (to grant leave to execute pending appeal), the court should, in my view, determine what is just and equitable in all the circumstances, and in doing so, would normally have regard, </w:t>
      </w:r>
      <w:r w:rsidRPr="00921805">
        <w:rPr>
          <w:rFonts w:ascii="Times New Roman" w:hAnsi="Times New Roman" w:cs="Times New Roman"/>
          <w:i/>
        </w:rPr>
        <w:t>inter alia</w:t>
      </w:r>
      <w:r w:rsidRPr="00921805">
        <w:rPr>
          <w:rFonts w:ascii="Times New Roman" w:hAnsi="Times New Roman" w:cs="Times New Roman"/>
        </w:rPr>
        <w:t>, to the following factors:</w:t>
      </w:r>
    </w:p>
    <w:p w:rsidR="008757AF" w:rsidRPr="00921805" w:rsidRDefault="008757AF" w:rsidP="00484D48">
      <w:pPr>
        <w:numPr>
          <w:ilvl w:val="0"/>
          <w:numId w:val="5"/>
        </w:numPr>
        <w:spacing w:after="0" w:line="240" w:lineRule="auto"/>
        <w:jc w:val="both"/>
        <w:rPr>
          <w:rFonts w:ascii="Times New Roman" w:hAnsi="Times New Roman" w:cs="Times New Roman"/>
        </w:rPr>
      </w:pPr>
      <w:r w:rsidRPr="00921805">
        <w:rPr>
          <w:rFonts w:ascii="Times New Roman" w:hAnsi="Times New Roman" w:cs="Times New Roman"/>
        </w:rPr>
        <w:t>the potentiality of irreparable harm or prejudice being sustained by the appellant on appeal (respondent in the application) if leave to execute was were to be granted;</w:t>
      </w:r>
    </w:p>
    <w:p w:rsidR="008757AF" w:rsidRPr="00921805" w:rsidRDefault="008757AF" w:rsidP="00484D48">
      <w:pPr>
        <w:numPr>
          <w:ilvl w:val="0"/>
          <w:numId w:val="5"/>
        </w:numPr>
        <w:spacing w:after="0" w:line="240" w:lineRule="auto"/>
        <w:jc w:val="both"/>
        <w:rPr>
          <w:rFonts w:ascii="Times New Roman" w:hAnsi="Times New Roman" w:cs="Times New Roman"/>
        </w:rPr>
      </w:pPr>
      <w:r w:rsidRPr="00921805">
        <w:rPr>
          <w:rFonts w:ascii="Times New Roman" w:hAnsi="Times New Roman" w:cs="Times New Roman"/>
        </w:rPr>
        <w:t>the potentiality of irreparable harm or prejudice being sustained by the respondent on appeal (applicant in the application) if leave to execute was refused;</w:t>
      </w:r>
    </w:p>
    <w:p w:rsidR="008757AF" w:rsidRPr="00921805" w:rsidRDefault="008757AF" w:rsidP="00484D48">
      <w:pPr>
        <w:numPr>
          <w:ilvl w:val="0"/>
          <w:numId w:val="5"/>
        </w:numPr>
        <w:spacing w:after="0" w:line="240" w:lineRule="auto"/>
        <w:jc w:val="both"/>
        <w:rPr>
          <w:rFonts w:ascii="Times New Roman" w:hAnsi="Times New Roman" w:cs="Times New Roman"/>
        </w:rPr>
      </w:pPr>
      <w:r w:rsidRPr="00921805">
        <w:rPr>
          <w:rFonts w:ascii="Times New Roman" w:hAnsi="Times New Roman" w:cs="Times New Roman"/>
        </w:rPr>
        <w:t>the prospects of success on appeal, including more particularly the question of whether the appeal is frivolous or vexatious or has been noted not with the bona fide intention of seeking to reverse the judgment but  for some indirect purpose, e</w:t>
      </w:r>
      <w:r w:rsidR="00A05107">
        <w:rPr>
          <w:rFonts w:ascii="Times New Roman" w:hAnsi="Times New Roman" w:cs="Times New Roman"/>
        </w:rPr>
        <w:t>.</w:t>
      </w:r>
      <w:r w:rsidRPr="00921805">
        <w:rPr>
          <w:rFonts w:ascii="Times New Roman" w:hAnsi="Times New Roman" w:cs="Times New Roman"/>
        </w:rPr>
        <w:t>g</w:t>
      </w:r>
      <w:r w:rsidR="00A05107">
        <w:rPr>
          <w:rFonts w:ascii="Times New Roman" w:hAnsi="Times New Roman" w:cs="Times New Roman"/>
        </w:rPr>
        <w:t>.</w:t>
      </w:r>
      <w:r w:rsidRPr="00921805">
        <w:rPr>
          <w:rFonts w:ascii="Times New Roman" w:hAnsi="Times New Roman" w:cs="Times New Roman"/>
        </w:rPr>
        <w:t xml:space="preserve"> to gain time or harass the other party; and</w:t>
      </w:r>
    </w:p>
    <w:p w:rsidR="008757AF" w:rsidRPr="005C5537" w:rsidRDefault="008757AF" w:rsidP="00484D48">
      <w:pPr>
        <w:numPr>
          <w:ilvl w:val="0"/>
          <w:numId w:val="5"/>
        </w:numPr>
        <w:spacing w:after="0" w:line="240" w:lineRule="auto"/>
        <w:jc w:val="both"/>
        <w:rPr>
          <w:rFonts w:ascii="Times New Roman" w:hAnsi="Times New Roman" w:cs="Times New Roman"/>
          <w:sz w:val="24"/>
          <w:szCs w:val="24"/>
        </w:rPr>
      </w:pPr>
      <w:r w:rsidRPr="00921805">
        <w:rPr>
          <w:rFonts w:ascii="Times New Roman" w:hAnsi="Times New Roman" w:cs="Times New Roman"/>
        </w:rPr>
        <w:t>where there is the potentiality of irreparable harm or prejudice to both appellant and respondent, the balance of hardship or convenience, as the case may be.”</w:t>
      </w:r>
    </w:p>
    <w:p w:rsidR="0006625B" w:rsidRPr="005C5537" w:rsidRDefault="0006625B" w:rsidP="00484D48">
      <w:pPr>
        <w:spacing w:after="0" w:line="360" w:lineRule="auto"/>
        <w:jc w:val="both"/>
        <w:rPr>
          <w:rFonts w:ascii="Times New Roman" w:hAnsi="Times New Roman" w:cs="Times New Roman"/>
          <w:sz w:val="24"/>
          <w:szCs w:val="24"/>
        </w:rPr>
      </w:pPr>
    </w:p>
    <w:p w:rsidR="005B5256" w:rsidRPr="005C5537" w:rsidRDefault="00207686" w:rsidP="00484D48">
      <w:pPr>
        <w:spacing w:after="0" w:line="360" w:lineRule="auto"/>
        <w:ind w:firstLine="720"/>
        <w:jc w:val="both"/>
        <w:rPr>
          <w:rFonts w:ascii="Times New Roman" w:hAnsi="Times New Roman" w:cs="Times New Roman"/>
          <w:sz w:val="24"/>
          <w:szCs w:val="24"/>
        </w:rPr>
      </w:pPr>
      <w:r w:rsidRPr="005C5537">
        <w:rPr>
          <w:rFonts w:ascii="Times New Roman" w:hAnsi="Times New Roman" w:cs="Times New Roman"/>
          <w:sz w:val="24"/>
          <w:szCs w:val="24"/>
        </w:rPr>
        <w:t>Having highlighted the 1</w:t>
      </w:r>
      <w:r w:rsidRPr="005C5537">
        <w:rPr>
          <w:rFonts w:ascii="Times New Roman" w:hAnsi="Times New Roman" w:cs="Times New Roman"/>
          <w:sz w:val="24"/>
          <w:szCs w:val="24"/>
          <w:vertAlign w:val="superscript"/>
        </w:rPr>
        <w:t>st</w:t>
      </w:r>
      <w:r w:rsidR="00921805">
        <w:rPr>
          <w:rFonts w:ascii="Times New Roman" w:hAnsi="Times New Roman" w:cs="Times New Roman"/>
          <w:sz w:val="24"/>
          <w:szCs w:val="24"/>
        </w:rPr>
        <w:t xml:space="preserve"> r</w:t>
      </w:r>
      <w:r w:rsidRPr="005C5537">
        <w:rPr>
          <w:rFonts w:ascii="Times New Roman" w:hAnsi="Times New Roman" w:cs="Times New Roman"/>
          <w:sz w:val="24"/>
          <w:szCs w:val="24"/>
        </w:rPr>
        <w:t>espondent’s conduct above,</w:t>
      </w:r>
      <w:r w:rsidR="00682D30" w:rsidRPr="005C5537">
        <w:rPr>
          <w:rFonts w:ascii="Times New Roman" w:hAnsi="Times New Roman" w:cs="Times New Roman"/>
          <w:sz w:val="24"/>
          <w:szCs w:val="24"/>
        </w:rPr>
        <w:t xml:space="preserve"> it is pertinent to emphasise that the granting of </w:t>
      </w:r>
      <w:r w:rsidR="00C06F03" w:rsidRPr="005C5537">
        <w:rPr>
          <w:rFonts w:ascii="Times New Roman" w:hAnsi="Times New Roman" w:cs="Times New Roman"/>
          <w:sz w:val="24"/>
          <w:szCs w:val="24"/>
        </w:rPr>
        <w:t xml:space="preserve">the </w:t>
      </w:r>
      <w:r w:rsidR="00682D30" w:rsidRPr="005C5537">
        <w:rPr>
          <w:rFonts w:ascii="Times New Roman" w:hAnsi="Times New Roman" w:cs="Times New Roman"/>
          <w:sz w:val="24"/>
          <w:szCs w:val="24"/>
        </w:rPr>
        <w:t>present application is just and equitable in the circumstances.</w:t>
      </w:r>
      <w:r w:rsidR="0006625B" w:rsidRPr="005C5537">
        <w:rPr>
          <w:rFonts w:ascii="Times New Roman" w:hAnsi="Times New Roman" w:cs="Times New Roman"/>
          <w:sz w:val="24"/>
          <w:szCs w:val="24"/>
        </w:rPr>
        <w:t xml:space="preserve"> </w:t>
      </w:r>
      <w:r w:rsidR="00921805">
        <w:rPr>
          <w:rFonts w:ascii="Times New Roman" w:hAnsi="Times New Roman" w:cs="Times New Roman"/>
          <w:sz w:val="24"/>
          <w:szCs w:val="24"/>
        </w:rPr>
        <w:t>The a</w:t>
      </w:r>
      <w:r w:rsidR="009C0E41" w:rsidRPr="005C5537">
        <w:rPr>
          <w:rFonts w:ascii="Times New Roman" w:hAnsi="Times New Roman" w:cs="Times New Roman"/>
          <w:sz w:val="24"/>
          <w:szCs w:val="24"/>
        </w:rPr>
        <w:t>pplicant is in the mining business. If the present application is not granted, this will</w:t>
      </w:r>
      <w:r w:rsidR="00D95A7A" w:rsidRPr="005C5537">
        <w:rPr>
          <w:rFonts w:ascii="Times New Roman" w:hAnsi="Times New Roman" w:cs="Times New Roman"/>
          <w:sz w:val="24"/>
          <w:szCs w:val="24"/>
        </w:rPr>
        <w:t xml:space="preserve"> result in irrepa</w:t>
      </w:r>
      <w:r w:rsidR="00921805">
        <w:rPr>
          <w:rFonts w:ascii="Times New Roman" w:hAnsi="Times New Roman" w:cs="Times New Roman"/>
          <w:sz w:val="24"/>
          <w:szCs w:val="24"/>
        </w:rPr>
        <w:t>rable prejudice or harm to the a</w:t>
      </w:r>
      <w:r w:rsidR="00D95A7A" w:rsidRPr="005C5537">
        <w:rPr>
          <w:rFonts w:ascii="Times New Roman" w:hAnsi="Times New Roman" w:cs="Times New Roman"/>
          <w:sz w:val="24"/>
          <w:szCs w:val="24"/>
        </w:rPr>
        <w:t>pplicant’s mining business</w:t>
      </w:r>
      <w:r w:rsidR="004E7079" w:rsidRPr="005C5537">
        <w:rPr>
          <w:rFonts w:ascii="Times New Roman" w:hAnsi="Times New Roman" w:cs="Times New Roman"/>
          <w:sz w:val="24"/>
          <w:szCs w:val="24"/>
        </w:rPr>
        <w:t xml:space="preserve"> given the conduct of the 1</w:t>
      </w:r>
      <w:r w:rsidR="004E7079" w:rsidRPr="005C5537">
        <w:rPr>
          <w:rFonts w:ascii="Times New Roman" w:hAnsi="Times New Roman" w:cs="Times New Roman"/>
          <w:sz w:val="24"/>
          <w:szCs w:val="24"/>
          <w:vertAlign w:val="superscript"/>
        </w:rPr>
        <w:t>st</w:t>
      </w:r>
      <w:r w:rsidR="00921805">
        <w:rPr>
          <w:rFonts w:ascii="Times New Roman" w:hAnsi="Times New Roman" w:cs="Times New Roman"/>
          <w:sz w:val="24"/>
          <w:szCs w:val="24"/>
        </w:rPr>
        <w:t xml:space="preserve"> r</w:t>
      </w:r>
      <w:r w:rsidR="004E7079" w:rsidRPr="005C5537">
        <w:rPr>
          <w:rFonts w:ascii="Times New Roman" w:hAnsi="Times New Roman" w:cs="Times New Roman"/>
          <w:sz w:val="24"/>
          <w:szCs w:val="24"/>
        </w:rPr>
        <w:t>espondent</w:t>
      </w:r>
      <w:r w:rsidR="00D95A7A" w:rsidRPr="005C5537">
        <w:rPr>
          <w:rFonts w:ascii="Times New Roman" w:hAnsi="Times New Roman" w:cs="Times New Roman"/>
          <w:sz w:val="24"/>
          <w:szCs w:val="24"/>
        </w:rPr>
        <w:t>.</w:t>
      </w:r>
      <w:r w:rsidR="003F51B6" w:rsidRPr="005C5537">
        <w:rPr>
          <w:rFonts w:ascii="Times New Roman" w:hAnsi="Times New Roman" w:cs="Times New Roman"/>
          <w:sz w:val="24"/>
          <w:szCs w:val="24"/>
        </w:rPr>
        <w:t xml:space="preserve"> </w:t>
      </w:r>
      <w:r w:rsidR="00254F50" w:rsidRPr="005C5537">
        <w:rPr>
          <w:rFonts w:ascii="Times New Roman" w:hAnsi="Times New Roman" w:cs="Times New Roman"/>
          <w:sz w:val="24"/>
          <w:szCs w:val="24"/>
        </w:rPr>
        <w:t>The bala</w:t>
      </w:r>
      <w:r w:rsidR="00921805">
        <w:rPr>
          <w:rFonts w:ascii="Times New Roman" w:hAnsi="Times New Roman" w:cs="Times New Roman"/>
          <w:sz w:val="24"/>
          <w:szCs w:val="24"/>
        </w:rPr>
        <w:t>nce of convenience favours the a</w:t>
      </w:r>
      <w:r w:rsidR="00254F50" w:rsidRPr="005C5537">
        <w:rPr>
          <w:rFonts w:ascii="Times New Roman" w:hAnsi="Times New Roman" w:cs="Times New Roman"/>
          <w:sz w:val="24"/>
          <w:szCs w:val="24"/>
        </w:rPr>
        <w:t xml:space="preserve">pplicant who is </w:t>
      </w:r>
      <w:r w:rsidR="00EB6B9E" w:rsidRPr="005C5537">
        <w:rPr>
          <w:rFonts w:ascii="Times New Roman" w:hAnsi="Times New Roman" w:cs="Times New Roman"/>
          <w:sz w:val="24"/>
          <w:szCs w:val="24"/>
        </w:rPr>
        <w:t xml:space="preserve">in </w:t>
      </w:r>
      <w:r w:rsidR="00254F50" w:rsidRPr="005C5537">
        <w:rPr>
          <w:rFonts w:ascii="Times New Roman" w:hAnsi="Times New Roman" w:cs="Times New Roman"/>
          <w:sz w:val="24"/>
          <w:szCs w:val="24"/>
        </w:rPr>
        <w:t>possession</w:t>
      </w:r>
      <w:r w:rsidR="00EB6B9E" w:rsidRPr="005C5537">
        <w:rPr>
          <w:rFonts w:ascii="Times New Roman" w:hAnsi="Times New Roman" w:cs="Times New Roman"/>
          <w:sz w:val="24"/>
          <w:szCs w:val="24"/>
        </w:rPr>
        <w:t xml:space="preserve"> of mining documents while the </w:t>
      </w:r>
      <w:r w:rsidR="000F107E" w:rsidRPr="005C5537">
        <w:rPr>
          <w:rFonts w:ascii="Times New Roman" w:hAnsi="Times New Roman" w:cs="Times New Roman"/>
          <w:sz w:val="24"/>
          <w:szCs w:val="24"/>
        </w:rPr>
        <w:t>1</w:t>
      </w:r>
      <w:r w:rsidR="000F107E" w:rsidRPr="005C5537">
        <w:rPr>
          <w:rFonts w:ascii="Times New Roman" w:hAnsi="Times New Roman" w:cs="Times New Roman"/>
          <w:sz w:val="24"/>
          <w:szCs w:val="24"/>
          <w:vertAlign w:val="superscript"/>
        </w:rPr>
        <w:t>st</w:t>
      </w:r>
      <w:r w:rsidR="00921805">
        <w:rPr>
          <w:rFonts w:ascii="Times New Roman" w:hAnsi="Times New Roman" w:cs="Times New Roman"/>
          <w:sz w:val="24"/>
          <w:szCs w:val="24"/>
        </w:rPr>
        <w:t xml:space="preserve"> r</w:t>
      </w:r>
      <w:r w:rsidR="000F107E" w:rsidRPr="005C5537">
        <w:rPr>
          <w:rFonts w:ascii="Times New Roman" w:hAnsi="Times New Roman" w:cs="Times New Roman"/>
          <w:sz w:val="24"/>
          <w:szCs w:val="24"/>
        </w:rPr>
        <w:t xml:space="preserve">espondent has failed to </w:t>
      </w:r>
      <w:r w:rsidR="00B50512" w:rsidRPr="005C5537">
        <w:rPr>
          <w:rFonts w:ascii="Times New Roman" w:hAnsi="Times New Roman" w:cs="Times New Roman"/>
          <w:sz w:val="24"/>
          <w:szCs w:val="24"/>
        </w:rPr>
        <w:t>produce the</w:t>
      </w:r>
      <w:r w:rsidR="00C922CB" w:rsidRPr="005C5537">
        <w:rPr>
          <w:rFonts w:ascii="Times New Roman" w:hAnsi="Times New Roman" w:cs="Times New Roman"/>
          <w:sz w:val="24"/>
          <w:szCs w:val="24"/>
        </w:rPr>
        <w:t xml:space="preserve"> legal documents for prospecting business.</w:t>
      </w:r>
      <w:r w:rsidR="003B67A2" w:rsidRPr="005C5537">
        <w:rPr>
          <w:rFonts w:ascii="Times New Roman" w:hAnsi="Times New Roman" w:cs="Times New Roman"/>
          <w:sz w:val="24"/>
          <w:szCs w:val="24"/>
        </w:rPr>
        <w:t xml:space="preserve"> The 1</w:t>
      </w:r>
      <w:r w:rsidR="003B67A2" w:rsidRPr="005C5537">
        <w:rPr>
          <w:rFonts w:ascii="Times New Roman" w:hAnsi="Times New Roman" w:cs="Times New Roman"/>
          <w:sz w:val="24"/>
          <w:szCs w:val="24"/>
          <w:vertAlign w:val="superscript"/>
        </w:rPr>
        <w:t>st</w:t>
      </w:r>
      <w:r w:rsidR="00921805">
        <w:rPr>
          <w:rFonts w:ascii="Times New Roman" w:hAnsi="Times New Roman" w:cs="Times New Roman"/>
          <w:sz w:val="24"/>
          <w:szCs w:val="24"/>
        </w:rPr>
        <w:t xml:space="preserve"> r</w:t>
      </w:r>
      <w:r w:rsidR="003B67A2" w:rsidRPr="005C5537">
        <w:rPr>
          <w:rFonts w:ascii="Times New Roman" w:hAnsi="Times New Roman" w:cs="Times New Roman"/>
          <w:sz w:val="24"/>
          <w:szCs w:val="24"/>
        </w:rPr>
        <w:t xml:space="preserve">espondent will not suffer any prejudice as he has </w:t>
      </w:r>
      <w:r w:rsidR="006A649F">
        <w:rPr>
          <w:rFonts w:ascii="Times New Roman" w:hAnsi="Times New Roman" w:cs="Times New Roman"/>
          <w:sz w:val="24"/>
          <w:szCs w:val="24"/>
        </w:rPr>
        <w:t>faile</w:t>
      </w:r>
      <w:r w:rsidR="00D02E88">
        <w:rPr>
          <w:rFonts w:ascii="Times New Roman" w:hAnsi="Times New Roman" w:cs="Times New Roman"/>
          <w:sz w:val="24"/>
          <w:szCs w:val="24"/>
        </w:rPr>
        <w:t xml:space="preserve">d, on two occasions, to tender </w:t>
      </w:r>
      <w:r w:rsidR="006A649F">
        <w:rPr>
          <w:rFonts w:ascii="Times New Roman" w:hAnsi="Times New Roman" w:cs="Times New Roman"/>
          <w:sz w:val="24"/>
          <w:szCs w:val="24"/>
        </w:rPr>
        <w:t xml:space="preserve">approved </w:t>
      </w:r>
      <w:r w:rsidR="003B67A2" w:rsidRPr="005C5537">
        <w:rPr>
          <w:rFonts w:ascii="Times New Roman" w:hAnsi="Times New Roman" w:cs="Times New Roman"/>
          <w:sz w:val="24"/>
          <w:szCs w:val="24"/>
        </w:rPr>
        <w:t>prospecting document</w:t>
      </w:r>
      <w:r w:rsidR="006A649F">
        <w:rPr>
          <w:rFonts w:ascii="Times New Roman" w:hAnsi="Times New Roman" w:cs="Times New Roman"/>
          <w:sz w:val="24"/>
          <w:szCs w:val="24"/>
        </w:rPr>
        <w:t>s before the court</w:t>
      </w:r>
      <w:r w:rsidR="003B67A2" w:rsidRPr="005C5537">
        <w:rPr>
          <w:rFonts w:ascii="Times New Roman" w:hAnsi="Times New Roman" w:cs="Times New Roman"/>
          <w:sz w:val="24"/>
          <w:szCs w:val="24"/>
        </w:rPr>
        <w:t xml:space="preserve">. </w:t>
      </w:r>
    </w:p>
    <w:p w:rsidR="00AE527F" w:rsidRPr="005C5537" w:rsidRDefault="00496DAD" w:rsidP="00484D48">
      <w:pPr>
        <w:spacing w:after="0" w:line="360" w:lineRule="auto"/>
        <w:ind w:firstLine="720"/>
        <w:jc w:val="both"/>
        <w:rPr>
          <w:rFonts w:ascii="Times New Roman" w:hAnsi="Times New Roman" w:cs="Times New Roman"/>
          <w:sz w:val="24"/>
          <w:szCs w:val="24"/>
        </w:rPr>
      </w:pPr>
      <w:r w:rsidRPr="005C5537">
        <w:rPr>
          <w:rFonts w:ascii="Times New Roman" w:hAnsi="Times New Roman" w:cs="Times New Roman"/>
          <w:sz w:val="24"/>
          <w:szCs w:val="24"/>
        </w:rPr>
        <w:t>The 1</w:t>
      </w:r>
      <w:r w:rsidRPr="005C5537">
        <w:rPr>
          <w:rFonts w:ascii="Times New Roman" w:hAnsi="Times New Roman" w:cs="Times New Roman"/>
          <w:sz w:val="24"/>
          <w:szCs w:val="24"/>
          <w:vertAlign w:val="superscript"/>
        </w:rPr>
        <w:t>st</w:t>
      </w:r>
      <w:r w:rsidR="00FA47CC">
        <w:rPr>
          <w:rFonts w:ascii="Times New Roman" w:hAnsi="Times New Roman" w:cs="Times New Roman"/>
          <w:sz w:val="24"/>
          <w:szCs w:val="24"/>
        </w:rPr>
        <w:t xml:space="preserve"> r</w:t>
      </w:r>
      <w:r w:rsidRPr="005C5537">
        <w:rPr>
          <w:rFonts w:ascii="Times New Roman" w:hAnsi="Times New Roman" w:cs="Times New Roman"/>
          <w:sz w:val="24"/>
          <w:szCs w:val="24"/>
        </w:rPr>
        <w:t xml:space="preserve">espondent’s counsel submitted that the present application is incompetent at law as it is not crafted as the provisional order.  He also submitted that the order has a </w:t>
      </w:r>
      <w:r w:rsidR="00D02E88">
        <w:rPr>
          <w:rFonts w:ascii="Times New Roman" w:hAnsi="Times New Roman" w:cs="Times New Roman"/>
          <w:sz w:val="24"/>
          <w:szCs w:val="24"/>
        </w:rPr>
        <w:t>final effect. In response, the a</w:t>
      </w:r>
      <w:r w:rsidRPr="005C5537">
        <w:rPr>
          <w:rFonts w:ascii="Times New Roman" w:hAnsi="Times New Roman" w:cs="Times New Roman"/>
          <w:sz w:val="24"/>
          <w:szCs w:val="24"/>
        </w:rPr>
        <w:t xml:space="preserve">pplicant’s counsel referred me to the case of </w:t>
      </w:r>
      <w:r w:rsidR="00506532" w:rsidRPr="00D02E88">
        <w:rPr>
          <w:rFonts w:ascii="Times New Roman" w:hAnsi="Times New Roman" w:cs="Times New Roman"/>
          <w:i/>
          <w:sz w:val="24"/>
          <w:szCs w:val="24"/>
        </w:rPr>
        <w:t>Jonga v Chabata</w:t>
      </w:r>
      <w:r w:rsidR="00C615F0" w:rsidRPr="005C5537">
        <w:rPr>
          <w:rStyle w:val="FootnoteReference"/>
          <w:rFonts w:ascii="Times New Roman" w:hAnsi="Times New Roman" w:cs="Times New Roman"/>
          <w:sz w:val="24"/>
          <w:szCs w:val="24"/>
        </w:rPr>
        <w:footnoteReference w:id="5"/>
      </w:r>
      <w:r w:rsidR="004719B8" w:rsidRPr="005C5537">
        <w:rPr>
          <w:rFonts w:ascii="Times New Roman" w:hAnsi="Times New Roman" w:cs="Times New Roman"/>
          <w:sz w:val="24"/>
          <w:szCs w:val="24"/>
        </w:rPr>
        <w:t>.</w:t>
      </w:r>
      <w:r w:rsidR="001A4B74" w:rsidRPr="005C5537">
        <w:rPr>
          <w:rFonts w:ascii="Times New Roman" w:hAnsi="Times New Roman" w:cs="Times New Roman"/>
          <w:sz w:val="24"/>
          <w:szCs w:val="24"/>
        </w:rPr>
        <w:t xml:space="preserve"> </w:t>
      </w:r>
      <w:r w:rsidR="002F1E7C" w:rsidRPr="005C5537">
        <w:rPr>
          <w:rFonts w:ascii="Times New Roman" w:hAnsi="Times New Roman" w:cs="Times New Roman"/>
          <w:sz w:val="24"/>
          <w:szCs w:val="24"/>
        </w:rPr>
        <w:t>He also submitted that the</w:t>
      </w:r>
      <w:r w:rsidR="00AE527F" w:rsidRPr="005C5537">
        <w:rPr>
          <w:rFonts w:ascii="Times New Roman" w:hAnsi="Times New Roman" w:cs="Times New Roman"/>
          <w:sz w:val="24"/>
          <w:szCs w:val="24"/>
        </w:rPr>
        <w:t xml:space="preserve"> contemplated order does not need to have the return</w:t>
      </w:r>
      <w:r w:rsidR="007159DF">
        <w:rPr>
          <w:rFonts w:ascii="Times New Roman" w:hAnsi="Times New Roman" w:cs="Times New Roman"/>
          <w:sz w:val="24"/>
          <w:szCs w:val="24"/>
        </w:rPr>
        <w:t xml:space="preserve"> day</w:t>
      </w:r>
      <w:r w:rsidR="00AE527F" w:rsidRPr="005C5537">
        <w:rPr>
          <w:rFonts w:ascii="Times New Roman" w:hAnsi="Times New Roman" w:cs="Times New Roman"/>
          <w:sz w:val="24"/>
          <w:szCs w:val="24"/>
        </w:rPr>
        <w:t xml:space="preserve"> as doing so would create multiplicity of cases before this court. </w:t>
      </w:r>
    </w:p>
    <w:p w:rsidR="00AE527F" w:rsidRPr="005C5537" w:rsidRDefault="00AE527F" w:rsidP="00484D48">
      <w:pPr>
        <w:spacing w:after="0" w:line="360" w:lineRule="auto"/>
        <w:jc w:val="both"/>
        <w:rPr>
          <w:rFonts w:ascii="Times New Roman" w:hAnsi="Times New Roman" w:cs="Times New Roman"/>
          <w:sz w:val="24"/>
          <w:szCs w:val="24"/>
        </w:rPr>
      </w:pPr>
      <w:r w:rsidRPr="005C5537">
        <w:rPr>
          <w:rFonts w:ascii="Times New Roman" w:hAnsi="Times New Roman" w:cs="Times New Roman"/>
          <w:sz w:val="24"/>
          <w:szCs w:val="24"/>
        </w:rPr>
        <w:t xml:space="preserve"> </w:t>
      </w:r>
      <w:r w:rsidR="002F1E7C" w:rsidRPr="005C5537">
        <w:rPr>
          <w:rFonts w:ascii="Times New Roman" w:hAnsi="Times New Roman" w:cs="Times New Roman"/>
          <w:sz w:val="24"/>
          <w:szCs w:val="24"/>
        </w:rPr>
        <w:t xml:space="preserve"> </w:t>
      </w:r>
      <w:r w:rsidR="004719B8" w:rsidRPr="005C5537">
        <w:rPr>
          <w:rFonts w:ascii="Times New Roman" w:hAnsi="Times New Roman" w:cs="Times New Roman"/>
          <w:sz w:val="24"/>
          <w:szCs w:val="24"/>
        </w:rPr>
        <w:t xml:space="preserve"> </w:t>
      </w:r>
      <w:r w:rsidR="00921805">
        <w:rPr>
          <w:rFonts w:ascii="Times New Roman" w:hAnsi="Times New Roman" w:cs="Times New Roman"/>
          <w:sz w:val="24"/>
          <w:szCs w:val="24"/>
        </w:rPr>
        <w:tab/>
      </w:r>
      <w:r w:rsidR="004719B8" w:rsidRPr="005C5537">
        <w:rPr>
          <w:rFonts w:ascii="Times New Roman" w:hAnsi="Times New Roman" w:cs="Times New Roman"/>
          <w:sz w:val="24"/>
          <w:szCs w:val="24"/>
        </w:rPr>
        <w:t xml:space="preserve">In </w:t>
      </w:r>
      <w:r w:rsidRPr="005C5537">
        <w:rPr>
          <w:rFonts w:ascii="Times New Roman" w:hAnsi="Times New Roman" w:cs="Times New Roman"/>
          <w:sz w:val="24"/>
          <w:szCs w:val="24"/>
        </w:rPr>
        <w:t xml:space="preserve">the case of </w:t>
      </w:r>
      <w:r w:rsidRPr="00921805">
        <w:rPr>
          <w:rFonts w:ascii="Times New Roman" w:hAnsi="Times New Roman" w:cs="Times New Roman"/>
          <w:i/>
          <w:sz w:val="24"/>
          <w:szCs w:val="24"/>
        </w:rPr>
        <w:t>Jonga v Chabata</w:t>
      </w:r>
      <w:r w:rsidRPr="005C5537">
        <w:rPr>
          <w:rFonts w:ascii="Times New Roman" w:hAnsi="Times New Roman" w:cs="Times New Roman"/>
          <w:sz w:val="24"/>
          <w:szCs w:val="24"/>
        </w:rPr>
        <w:t xml:space="preserve"> (</w:t>
      </w:r>
      <w:r w:rsidR="007159DF">
        <w:rPr>
          <w:rFonts w:ascii="Times New Roman" w:hAnsi="Times New Roman" w:cs="Times New Roman"/>
          <w:i/>
          <w:sz w:val="24"/>
          <w:szCs w:val="24"/>
        </w:rPr>
        <w:t>supra)</w:t>
      </w:r>
      <w:r w:rsidR="007159DF">
        <w:rPr>
          <w:rFonts w:ascii="Times New Roman" w:hAnsi="Times New Roman" w:cs="Times New Roman"/>
          <w:sz w:val="24"/>
          <w:szCs w:val="24"/>
        </w:rPr>
        <w:t xml:space="preserve">, </w:t>
      </w:r>
      <w:r w:rsidR="004719B8" w:rsidRPr="005C5537">
        <w:rPr>
          <w:rFonts w:ascii="Times New Roman" w:hAnsi="Times New Roman" w:cs="Times New Roman"/>
          <w:sz w:val="24"/>
          <w:szCs w:val="24"/>
        </w:rPr>
        <w:t>the court held that</w:t>
      </w:r>
      <w:r w:rsidRPr="005C5537">
        <w:rPr>
          <w:rFonts w:ascii="Times New Roman" w:hAnsi="Times New Roman" w:cs="Times New Roman"/>
          <w:sz w:val="24"/>
          <w:szCs w:val="24"/>
        </w:rPr>
        <w:t>:</w:t>
      </w:r>
    </w:p>
    <w:p w:rsidR="00AE527F" w:rsidRPr="00921805" w:rsidRDefault="004719B8" w:rsidP="00484D48">
      <w:pPr>
        <w:spacing w:after="0" w:line="240" w:lineRule="auto"/>
        <w:jc w:val="both"/>
        <w:rPr>
          <w:rFonts w:ascii="Times New Roman" w:hAnsi="Times New Roman" w:cs="Times New Roman"/>
        </w:rPr>
      </w:pPr>
      <w:r w:rsidRPr="005C5537">
        <w:rPr>
          <w:rFonts w:ascii="Times New Roman" w:hAnsi="Times New Roman" w:cs="Times New Roman"/>
          <w:sz w:val="24"/>
          <w:szCs w:val="24"/>
        </w:rPr>
        <w:t xml:space="preserve"> </w:t>
      </w:r>
      <w:r w:rsidR="00921805">
        <w:rPr>
          <w:rFonts w:ascii="Times New Roman" w:hAnsi="Times New Roman" w:cs="Times New Roman"/>
          <w:sz w:val="24"/>
          <w:szCs w:val="24"/>
        </w:rPr>
        <w:tab/>
      </w:r>
      <w:r w:rsidR="00AE527F" w:rsidRPr="00921805">
        <w:rPr>
          <w:rFonts w:ascii="Times New Roman" w:hAnsi="Times New Roman" w:cs="Times New Roman"/>
        </w:rPr>
        <w:t>“</w:t>
      </w:r>
      <w:r w:rsidR="00A05107">
        <w:rPr>
          <w:rFonts w:ascii="Times New Roman" w:hAnsi="Times New Roman" w:cs="Times New Roman"/>
        </w:rPr>
        <w:t>T</w:t>
      </w:r>
      <w:r w:rsidRPr="00921805">
        <w:rPr>
          <w:rFonts w:ascii="Times New Roman" w:hAnsi="Times New Roman" w:cs="Times New Roman"/>
        </w:rPr>
        <w:t>he wording of an order is within the discretion of the court.</w:t>
      </w:r>
      <w:r w:rsidR="00AE527F" w:rsidRPr="00921805">
        <w:rPr>
          <w:rFonts w:ascii="Times New Roman" w:hAnsi="Times New Roman" w:cs="Times New Roman"/>
        </w:rPr>
        <w:t>”</w:t>
      </w:r>
    </w:p>
    <w:p w:rsidR="00AE527F" w:rsidRPr="00921805" w:rsidRDefault="00AE527F" w:rsidP="00484D48">
      <w:pPr>
        <w:spacing w:after="0" w:line="240" w:lineRule="auto"/>
        <w:jc w:val="both"/>
        <w:rPr>
          <w:rFonts w:ascii="Times New Roman" w:hAnsi="Times New Roman" w:cs="Times New Roman"/>
        </w:rPr>
      </w:pPr>
    </w:p>
    <w:p w:rsidR="00AF7D1F" w:rsidRPr="005C5537" w:rsidRDefault="009F435B" w:rsidP="00484D48">
      <w:pPr>
        <w:spacing w:after="0" w:line="360" w:lineRule="auto"/>
        <w:ind w:firstLine="720"/>
        <w:jc w:val="both"/>
        <w:rPr>
          <w:rFonts w:ascii="Times New Roman" w:hAnsi="Times New Roman" w:cs="Times New Roman"/>
          <w:sz w:val="24"/>
          <w:szCs w:val="24"/>
        </w:rPr>
      </w:pPr>
      <w:r w:rsidRPr="005C5537">
        <w:rPr>
          <w:rFonts w:ascii="Times New Roman" w:hAnsi="Times New Roman" w:cs="Times New Roman"/>
          <w:sz w:val="24"/>
          <w:szCs w:val="24"/>
        </w:rPr>
        <w:t>I fully associate myself with the court’s sentiments in the case of J</w:t>
      </w:r>
      <w:r w:rsidRPr="00921805">
        <w:rPr>
          <w:rFonts w:ascii="Times New Roman" w:hAnsi="Times New Roman" w:cs="Times New Roman"/>
          <w:i/>
          <w:sz w:val="24"/>
          <w:szCs w:val="24"/>
        </w:rPr>
        <w:t>onga v Chabata</w:t>
      </w:r>
      <w:r w:rsidRPr="005C5537">
        <w:rPr>
          <w:rFonts w:ascii="Times New Roman" w:hAnsi="Times New Roman" w:cs="Times New Roman"/>
          <w:sz w:val="24"/>
          <w:szCs w:val="24"/>
        </w:rPr>
        <w:t xml:space="preserve"> (</w:t>
      </w:r>
      <w:r w:rsidRPr="005C5537">
        <w:rPr>
          <w:rFonts w:ascii="Times New Roman" w:hAnsi="Times New Roman" w:cs="Times New Roman"/>
          <w:i/>
          <w:sz w:val="24"/>
          <w:szCs w:val="24"/>
        </w:rPr>
        <w:t>supra</w:t>
      </w:r>
      <w:r w:rsidRPr="005C5537">
        <w:rPr>
          <w:rFonts w:ascii="Times New Roman" w:hAnsi="Times New Roman" w:cs="Times New Roman"/>
          <w:sz w:val="24"/>
          <w:szCs w:val="24"/>
        </w:rPr>
        <w:t>).</w:t>
      </w:r>
      <w:r w:rsidR="00F042D1" w:rsidRPr="005C5537">
        <w:rPr>
          <w:rFonts w:ascii="Times New Roman" w:hAnsi="Times New Roman" w:cs="Times New Roman"/>
          <w:sz w:val="24"/>
          <w:szCs w:val="24"/>
        </w:rPr>
        <w:t xml:space="preserve"> </w:t>
      </w:r>
      <w:r w:rsidR="00921805">
        <w:rPr>
          <w:rFonts w:ascii="Times New Roman" w:hAnsi="Times New Roman" w:cs="Times New Roman"/>
          <w:sz w:val="24"/>
          <w:szCs w:val="24"/>
        </w:rPr>
        <w:t xml:space="preserve">  </w:t>
      </w:r>
      <w:r w:rsidR="00F042D1" w:rsidRPr="005C5537">
        <w:rPr>
          <w:rFonts w:ascii="Times New Roman" w:hAnsi="Times New Roman" w:cs="Times New Roman"/>
          <w:sz w:val="24"/>
          <w:szCs w:val="24"/>
        </w:rPr>
        <w:t>Application for leave to execute judgment pending appeal has got its sunset clause in the form of the hearing day of the appeal.</w:t>
      </w:r>
      <w:r w:rsidR="007014F3" w:rsidRPr="005C5537">
        <w:rPr>
          <w:rFonts w:ascii="Times New Roman" w:hAnsi="Times New Roman" w:cs="Times New Roman"/>
          <w:sz w:val="24"/>
          <w:szCs w:val="24"/>
        </w:rPr>
        <w:t xml:space="preserve"> Having </w:t>
      </w:r>
      <w:r w:rsidR="00517DD0" w:rsidRPr="005C5537">
        <w:rPr>
          <w:rFonts w:ascii="Times New Roman" w:hAnsi="Times New Roman" w:cs="Times New Roman"/>
          <w:sz w:val="24"/>
          <w:szCs w:val="24"/>
        </w:rPr>
        <w:t>a return day in</w:t>
      </w:r>
      <w:r w:rsidR="00133F1C" w:rsidRPr="005C5537">
        <w:rPr>
          <w:rFonts w:ascii="Times New Roman" w:hAnsi="Times New Roman" w:cs="Times New Roman"/>
          <w:sz w:val="24"/>
          <w:szCs w:val="24"/>
        </w:rPr>
        <w:t xml:space="preserve"> </w:t>
      </w:r>
      <w:r w:rsidR="009B2E3C" w:rsidRPr="005C5537">
        <w:rPr>
          <w:rFonts w:ascii="Times New Roman" w:hAnsi="Times New Roman" w:cs="Times New Roman"/>
          <w:sz w:val="24"/>
          <w:szCs w:val="24"/>
        </w:rPr>
        <w:t>applications of this nature</w:t>
      </w:r>
      <w:r w:rsidR="0099758C" w:rsidRPr="005C5537">
        <w:rPr>
          <w:rFonts w:ascii="Times New Roman" w:hAnsi="Times New Roman" w:cs="Times New Roman"/>
          <w:sz w:val="24"/>
          <w:szCs w:val="24"/>
        </w:rPr>
        <w:t xml:space="preserve"> is unnecessary as parties will have no business</w:t>
      </w:r>
      <w:r w:rsidR="007159DF">
        <w:rPr>
          <w:rFonts w:ascii="Times New Roman" w:hAnsi="Times New Roman" w:cs="Times New Roman"/>
          <w:sz w:val="24"/>
          <w:szCs w:val="24"/>
        </w:rPr>
        <w:t xml:space="preserve"> to </w:t>
      </w:r>
      <w:r w:rsidR="007614E7" w:rsidRPr="005C5537">
        <w:rPr>
          <w:rFonts w:ascii="Times New Roman" w:hAnsi="Times New Roman" w:cs="Times New Roman"/>
          <w:sz w:val="24"/>
          <w:szCs w:val="24"/>
        </w:rPr>
        <w:t>do</w:t>
      </w:r>
      <w:r w:rsidR="00921805">
        <w:rPr>
          <w:rFonts w:ascii="Times New Roman" w:hAnsi="Times New Roman" w:cs="Times New Roman"/>
          <w:sz w:val="24"/>
          <w:szCs w:val="24"/>
        </w:rPr>
        <w:t xml:space="preserve"> on the return day </w:t>
      </w:r>
      <w:r w:rsidR="00007AAF">
        <w:rPr>
          <w:rFonts w:ascii="Times New Roman" w:hAnsi="Times New Roman" w:cs="Times New Roman"/>
          <w:sz w:val="24"/>
          <w:szCs w:val="24"/>
        </w:rPr>
        <w:t>other than the hearing day of the appeal</w:t>
      </w:r>
      <w:r w:rsidR="0099758C" w:rsidRPr="005C5537">
        <w:rPr>
          <w:rFonts w:ascii="Times New Roman" w:hAnsi="Times New Roman" w:cs="Times New Roman"/>
          <w:sz w:val="24"/>
          <w:szCs w:val="24"/>
        </w:rPr>
        <w:t>.</w:t>
      </w:r>
      <w:r w:rsidR="00AB1D39" w:rsidRPr="005C5537">
        <w:rPr>
          <w:rFonts w:ascii="Times New Roman" w:hAnsi="Times New Roman" w:cs="Times New Roman"/>
          <w:sz w:val="24"/>
          <w:szCs w:val="24"/>
        </w:rPr>
        <w:t xml:space="preserve"> No party can pray for </w:t>
      </w:r>
      <w:r w:rsidR="00203950" w:rsidRPr="005C5537">
        <w:rPr>
          <w:rFonts w:ascii="Times New Roman" w:hAnsi="Times New Roman" w:cs="Times New Roman"/>
          <w:sz w:val="24"/>
          <w:szCs w:val="24"/>
        </w:rPr>
        <w:t xml:space="preserve">the </w:t>
      </w:r>
      <w:r w:rsidR="00AB1D39" w:rsidRPr="005C5537">
        <w:rPr>
          <w:rFonts w:ascii="Times New Roman" w:hAnsi="Times New Roman" w:cs="Times New Roman"/>
          <w:sz w:val="24"/>
          <w:szCs w:val="24"/>
        </w:rPr>
        <w:t>confirmation or discharge of the provisional order on the return day before the hearing of the appeal</w:t>
      </w:r>
      <w:r w:rsidR="00203950" w:rsidRPr="005C5537">
        <w:rPr>
          <w:rFonts w:ascii="Times New Roman" w:hAnsi="Times New Roman" w:cs="Times New Roman"/>
          <w:sz w:val="24"/>
          <w:szCs w:val="24"/>
        </w:rPr>
        <w:t xml:space="preserve"> as doing so would make the appeal purely academic</w:t>
      </w:r>
      <w:r w:rsidR="00AB1D39" w:rsidRPr="005C5537">
        <w:rPr>
          <w:rFonts w:ascii="Times New Roman" w:hAnsi="Times New Roman" w:cs="Times New Roman"/>
          <w:sz w:val="24"/>
          <w:szCs w:val="24"/>
        </w:rPr>
        <w:t xml:space="preserve">. </w:t>
      </w:r>
      <w:r w:rsidR="007614E7" w:rsidRPr="005C5537">
        <w:rPr>
          <w:rFonts w:ascii="Times New Roman" w:hAnsi="Times New Roman" w:cs="Times New Roman"/>
          <w:sz w:val="24"/>
          <w:szCs w:val="24"/>
        </w:rPr>
        <w:t xml:space="preserve"> </w:t>
      </w:r>
      <w:r w:rsidR="00AB1D39" w:rsidRPr="005C5537">
        <w:rPr>
          <w:rFonts w:ascii="Times New Roman" w:hAnsi="Times New Roman" w:cs="Times New Roman"/>
          <w:sz w:val="24"/>
          <w:szCs w:val="24"/>
        </w:rPr>
        <w:t xml:space="preserve"> </w:t>
      </w:r>
      <w:r w:rsidR="0099758C" w:rsidRPr="005C5537">
        <w:rPr>
          <w:rFonts w:ascii="Times New Roman" w:hAnsi="Times New Roman" w:cs="Times New Roman"/>
          <w:sz w:val="24"/>
          <w:szCs w:val="24"/>
        </w:rPr>
        <w:t xml:space="preserve"> It is rather prudent to wait for the outcome of the appeal.</w:t>
      </w:r>
      <w:r w:rsidR="007614E7" w:rsidRPr="005C5537">
        <w:rPr>
          <w:rFonts w:ascii="Times New Roman" w:hAnsi="Times New Roman" w:cs="Times New Roman"/>
          <w:sz w:val="24"/>
          <w:szCs w:val="24"/>
        </w:rPr>
        <w:t xml:space="preserve"> Thus, the appeal noted by the 1</w:t>
      </w:r>
      <w:r w:rsidR="007614E7" w:rsidRPr="005C5537">
        <w:rPr>
          <w:rFonts w:ascii="Times New Roman" w:hAnsi="Times New Roman" w:cs="Times New Roman"/>
          <w:sz w:val="24"/>
          <w:szCs w:val="24"/>
          <w:vertAlign w:val="superscript"/>
        </w:rPr>
        <w:t>st</w:t>
      </w:r>
      <w:r w:rsidR="00921805">
        <w:rPr>
          <w:rFonts w:ascii="Times New Roman" w:hAnsi="Times New Roman" w:cs="Times New Roman"/>
          <w:sz w:val="24"/>
          <w:szCs w:val="24"/>
        </w:rPr>
        <w:t xml:space="preserve"> r</w:t>
      </w:r>
      <w:r w:rsidR="007614E7" w:rsidRPr="005C5537">
        <w:rPr>
          <w:rFonts w:ascii="Times New Roman" w:hAnsi="Times New Roman" w:cs="Times New Roman"/>
          <w:sz w:val="24"/>
          <w:szCs w:val="24"/>
        </w:rPr>
        <w:t xml:space="preserve">espondent under case number </w:t>
      </w:r>
      <w:r w:rsidR="009121C6" w:rsidRPr="005C5537">
        <w:rPr>
          <w:rFonts w:ascii="Times New Roman" w:hAnsi="Times New Roman" w:cs="Times New Roman"/>
          <w:sz w:val="24"/>
          <w:szCs w:val="24"/>
        </w:rPr>
        <w:t>SC</w:t>
      </w:r>
      <w:r w:rsidR="00921805">
        <w:rPr>
          <w:rFonts w:ascii="Times New Roman" w:hAnsi="Times New Roman" w:cs="Times New Roman"/>
          <w:sz w:val="24"/>
          <w:szCs w:val="24"/>
        </w:rPr>
        <w:t xml:space="preserve"> 460/</w:t>
      </w:r>
      <w:r w:rsidR="007614E7" w:rsidRPr="005C5537">
        <w:rPr>
          <w:rFonts w:ascii="Times New Roman" w:hAnsi="Times New Roman" w:cs="Times New Roman"/>
          <w:sz w:val="24"/>
          <w:szCs w:val="24"/>
        </w:rPr>
        <w:t>21 has the capacity to bring fina</w:t>
      </w:r>
      <w:r w:rsidR="00921805">
        <w:rPr>
          <w:rFonts w:ascii="Times New Roman" w:hAnsi="Times New Roman" w:cs="Times New Roman"/>
          <w:sz w:val="24"/>
          <w:szCs w:val="24"/>
        </w:rPr>
        <w:t>lity to litigation between the a</w:t>
      </w:r>
      <w:r w:rsidR="007614E7" w:rsidRPr="005C5537">
        <w:rPr>
          <w:rFonts w:ascii="Times New Roman" w:hAnsi="Times New Roman" w:cs="Times New Roman"/>
          <w:sz w:val="24"/>
          <w:szCs w:val="24"/>
        </w:rPr>
        <w:t>pplicant and the 1</w:t>
      </w:r>
      <w:r w:rsidR="007614E7" w:rsidRPr="005C5537">
        <w:rPr>
          <w:rFonts w:ascii="Times New Roman" w:hAnsi="Times New Roman" w:cs="Times New Roman"/>
          <w:sz w:val="24"/>
          <w:szCs w:val="24"/>
          <w:vertAlign w:val="superscript"/>
        </w:rPr>
        <w:t>st</w:t>
      </w:r>
      <w:r w:rsidR="00921805">
        <w:rPr>
          <w:rFonts w:ascii="Times New Roman" w:hAnsi="Times New Roman" w:cs="Times New Roman"/>
          <w:sz w:val="24"/>
          <w:szCs w:val="24"/>
        </w:rPr>
        <w:t xml:space="preserve"> r</w:t>
      </w:r>
      <w:r w:rsidR="007614E7" w:rsidRPr="005C5537">
        <w:rPr>
          <w:rFonts w:ascii="Times New Roman" w:hAnsi="Times New Roman" w:cs="Times New Roman"/>
          <w:sz w:val="24"/>
          <w:szCs w:val="24"/>
        </w:rPr>
        <w:t>espondent</w:t>
      </w:r>
      <w:r w:rsidR="00007AAF">
        <w:rPr>
          <w:rFonts w:ascii="Times New Roman" w:hAnsi="Times New Roman" w:cs="Times New Roman"/>
          <w:sz w:val="24"/>
          <w:szCs w:val="24"/>
        </w:rPr>
        <w:t xml:space="preserve"> and thus will act as the return day of the present application</w:t>
      </w:r>
      <w:r w:rsidR="007614E7" w:rsidRPr="005C5537">
        <w:rPr>
          <w:rFonts w:ascii="Times New Roman" w:hAnsi="Times New Roman" w:cs="Times New Roman"/>
          <w:sz w:val="24"/>
          <w:szCs w:val="24"/>
        </w:rPr>
        <w:t>.</w:t>
      </w:r>
    </w:p>
    <w:p w:rsidR="00E36E65" w:rsidRPr="005C5537" w:rsidRDefault="00FA47CC" w:rsidP="00484D48">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a</w:t>
      </w:r>
      <w:r w:rsidR="00AF7D1F" w:rsidRPr="005C5537">
        <w:rPr>
          <w:rFonts w:ascii="Times New Roman" w:hAnsi="Times New Roman" w:cs="Times New Roman"/>
          <w:sz w:val="24"/>
          <w:szCs w:val="24"/>
        </w:rPr>
        <w:t>pplicant has prayed for costs on an attorney and client scale.</w:t>
      </w:r>
      <w:r w:rsidR="001A27A6" w:rsidRPr="005C5537">
        <w:rPr>
          <w:rFonts w:ascii="Times New Roman" w:hAnsi="Times New Roman" w:cs="Times New Roman"/>
          <w:sz w:val="24"/>
          <w:szCs w:val="24"/>
        </w:rPr>
        <w:t xml:space="preserve"> I find no justification in this prayer.</w:t>
      </w:r>
      <w:r w:rsidR="00DD2A9F" w:rsidRPr="005C5537">
        <w:rPr>
          <w:rFonts w:ascii="Times New Roman" w:hAnsi="Times New Roman" w:cs="Times New Roman"/>
          <w:sz w:val="24"/>
          <w:szCs w:val="24"/>
        </w:rPr>
        <w:t xml:space="preserve"> The 1</w:t>
      </w:r>
      <w:r w:rsidR="00DD2A9F" w:rsidRPr="005C5537">
        <w:rPr>
          <w:rFonts w:ascii="Times New Roman" w:hAnsi="Times New Roman" w:cs="Times New Roman"/>
          <w:sz w:val="24"/>
          <w:szCs w:val="24"/>
          <w:vertAlign w:val="superscript"/>
        </w:rPr>
        <w:t>st</w:t>
      </w:r>
      <w:r w:rsidR="00921805">
        <w:rPr>
          <w:rFonts w:ascii="Times New Roman" w:hAnsi="Times New Roman" w:cs="Times New Roman"/>
          <w:sz w:val="24"/>
          <w:szCs w:val="24"/>
        </w:rPr>
        <w:t xml:space="preserve"> r</w:t>
      </w:r>
      <w:r w:rsidR="00DD2A9F" w:rsidRPr="005C5537">
        <w:rPr>
          <w:rFonts w:ascii="Times New Roman" w:hAnsi="Times New Roman" w:cs="Times New Roman"/>
          <w:sz w:val="24"/>
          <w:szCs w:val="24"/>
        </w:rPr>
        <w:t>espondent has got the right to lodge an appeal.</w:t>
      </w:r>
      <w:r w:rsidR="005711F4" w:rsidRPr="005C5537">
        <w:rPr>
          <w:rFonts w:ascii="Times New Roman" w:hAnsi="Times New Roman" w:cs="Times New Roman"/>
          <w:sz w:val="24"/>
          <w:szCs w:val="24"/>
        </w:rPr>
        <w:t xml:space="preserve"> </w:t>
      </w:r>
      <w:r w:rsidR="00DD2A9F" w:rsidRPr="005C5537">
        <w:rPr>
          <w:rFonts w:ascii="Times New Roman" w:hAnsi="Times New Roman" w:cs="Times New Roman"/>
          <w:sz w:val="24"/>
          <w:szCs w:val="24"/>
        </w:rPr>
        <w:t>It may not be appropriate to order costs on a punitive scale. However, it may</w:t>
      </w:r>
      <w:r w:rsidR="00921805">
        <w:rPr>
          <w:rFonts w:ascii="Times New Roman" w:hAnsi="Times New Roman" w:cs="Times New Roman"/>
          <w:sz w:val="24"/>
          <w:szCs w:val="24"/>
        </w:rPr>
        <w:t xml:space="preserve"> be justified to order the 1</w:t>
      </w:r>
      <w:r w:rsidR="00921805" w:rsidRPr="00921805">
        <w:rPr>
          <w:rFonts w:ascii="Times New Roman" w:hAnsi="Times New Roman" w:cs="Times New Roman"/>
          <w:sz w:val="24"/>
          <w:szCs w:val="24"/>
          <w:vertAlign w:val="superscript"/>
        </w:rPr>
        <w:t>st</w:t>
      </w:r>
      <w:r w:rsidR="00921805">
        <w:rPr>
          <w:rFonts w:ascii="Times New Roman" w:hAnsi="Times New Roman" w:cs="Times New Roman"/>
          <w:sz w:val="24"/>
          <w:szCs w:val="24"/>
        </w:rPr>
        <w:t xml:space="preserve"> r</w:t>
      </w:r>
      <w:r w:rsidR="00DD2A9F" w:rsidRPr="005C5537">
        <w:rPr>
          <w:rFonts w:ascii="Times New Roman" w:hAnsi="Times New Roman" w:cs="Times New Roman"/>
          <w:sz w:val="24"/>
          <w:szCs w:val="24"/>
        </w:rPr>
        <w:t xml:space="preserve">espondent </w:t>
      </w:r>
      <w:r w:rsidR="0042017C" w:rsidRPr="005C5537">
        <w:rPr>
          <w:rFonts w:ascii="Times New Roman" w:hAnsi="Times New Roman" w:cs="Times New Roman"/>
          <w:sz w:val="24"/>
          <w:szCs w:val="24"/>
        </w:rPr>
        <w:t>to bear the costs of this a</w:t>
      </w:r>
      <w:r w:rsidR="005711F4" w:rsidRPr="005C5537">
        <w:rPr>
          <w:rFonts w:ascii="Times New Roman" w:hAnsi="Times New Roman" w:cs="Times New Roman"/>
          <w:sz w:val="24"/>
          <w:szCs w:val="24"/>
        </w:rPr>
        <w:t>pplication on an ordinary scale. Such costs are just and equitable in the circumstances.</w:t>
      </w:r>
    </w:p>
    <w:p w:rsidR="00B86435" w:rsidRDefault="007159DF" w:rsidP="00484D48">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Consequently, </w:t>
      </w:r>
      <w:r w:rsidR="00B86435">
        <w:rPr>
          <w:rFonts w:ascii="Times New Roman" w:hAnsi="Times New Roman" w:cs="Times New Roman"/>
          <w:sz w:val="24"/>
          <w:szCs w:val="24"/>
        </w:rPr>
        <w:t xml:space="preserve">  it is ordered as follows:</w:t>
      </w:r>
    </w:p>
    <w:p w:rsidR="00B86435" w:rsidRDefault="00B86435" w:rsidP="00484D48">
      <w:pPr>
        <w:pStyle w:val="ListParagraph"/>
        <w:numPr>
          <w:ilvl w:val="0"/>
          <w:numId w:val="8"/>
        </w:numPr>
        <w:spacing w:after="0" w:line="360" w:lineRule="auto"/>
        <w:jc w:val="both"/>
        <w:rPr>
          <w:rFonts w:ascii="Times New Roman" w:hAnsi="Times New Roman" w:cs="Times New Roman"/>
          <w:sz w:val="24"/>
          <w:szCs w:val="24"/>
        </w:rPr>
      </w:pPr>
      <w:r w:rsidRPr="00921805">
        <w:rPr>
          <w:rFonts w:ascii="Times New Roman" w:hAnsi="Times New Roman" w:cs="Times New Roman"/>
          <w:sz w:val="24"/>
          <w:szCs w:val="24"/>
        </w:rPr>
        <w:t>Application for leave to execute an order pending appeal is her</w:t>
      </w:r>
      <w:r w:rsidR="00BD0E25" w:rsidRPr="00921805">
        <w:rPr>
          <w:rFonts w:ascii="Times New Roman" w:hAnsi="Times New Roman" w:cs="Times New Roman"/>
          <w:sz w:val="24"/>
          <w:szCs w:val="24"/>
        </w:rPr>
        <w:t>eby granted.</w:t>
      </w:r>
    </w:p>
    <w:p w:rsidR="00921805" w:rsidRDefault="00921805" w:rsidP="00484D48">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order granted in the applicant’s favour under HC 6560/21</w:t>
      </w:r>
      <w:r w:rsidR="00B86435" w:rsidRPr="00921805">
        <w:rPr>
          <w:rFonts w:ascii="Times New Roman" w:hAnsi="Times New Roman" w:cs="Times New Roman"/>
          <w:sz w:val="24"/>
          <w:szCs w:val="24"/>
        </w:rPr>
        <w:t xml:space="preserve"> shall be operational pending determination of </w:t>
      </w:r>
      <w:r>
        <w:rPr>
          <w:rFonts w:ascii="Times New Roman" w:hAnsi="Times New Roman" w:cs="Times New Roman"/>
          <w:sz w:val="24"/>
          <w:szCs w:val="24"/>
        </w:rPr>
        <w:t xml:space="preserve">the </w:t>
      </w:r>
      <w:r w:rsidR="00B86435" w:rsidRPr="00921805">
        <w:rPr>
          <w:rFonts w:ascii="Times New Roman" w:hAnsi="Times New Roman" w:cs="Times New Roman"/>
          <w:sz w:val="24"/>
          <w:szCs w:val="24"/>
        </w:rPr>
        <w:t>1</w:t>
      </w:r>
      <w:r w:rsidR="00B86435" w:rsidRPr="00921805">
        <w:rPr>
          <w:rFonts w:ascii="Times New Roman" w:hAnsi="Times New Roman" w:cs="Times New Roman"/>
          <w:sz w:val="24"/>
          <w:szCs w:val="24"/>
          <w:vertAlign w:val="superscript"/>
        </w:rPr>
        <w:t>st</w:t>
      </w:r>
      <w:r>
        <w:rPr>
          <w:rFonts w:ascii="Times New Roman" w:hAnsi="Times New Roman" w:cs="Times New Roman"/>
          <w:sz w:val="24"/>
          <w:szCs w:val="24"/>
        </w:rPr>
        <w:t xml:space="preserve"> respondent’s appeal in SC 460/</w:t>
      </w:r>
      <w:r w:rsidR="00BD0E25" w:rsidRPr="00921805">
        <w:rPr>
          <w:rFonts w:ascii="Times New Roman" w:hAnsi="Times New Roman" w:cs="Times New Roman"/>
          <w:sz w:val="24"/>
          <w:szCs w:val="24"/>
        </w:rPr>
        <w:t>21</w:t>
      </w:r>
      <w:r>
        <w:rPr>
          <w:rFonts w:ascii="Times New Roman" w:hAnsi="Times New Roman" w:cs="Times New Roman"/>
          <w:sz w:val="24"/>
          <w:szCs w:val="24"/>
        </w:rPr>
        <w:t>.</w:t>
      </w:r>
    </w:p>
    <w:p w:rsidR="0006625B" w:rsidRPr="00921805" w:rsidRDefault="00B86435" w:rsidP="00484D48">
      <w:pPr>
        <w:pStyle w:val="ListParagraph"/>
        <w:numPr>
          <w:ilvl w:val="0"/>
          <w:numId w:val="8"/>
        </w:numPr>
        <w:spacing w:after="0" w:line="360" w:lineRule="auto"/>
        <w:jc w:val="both"/>
        <w:rPr>
          <w:rFonts w:ascii="Times New Roman" w:hAnsi="Times New Roman" w:cs="Times New Roman"/>
          <w:sz w:val="24"/>
          <w:szCs w:val="24"/>
        </w:rPr>
      </w:pPr>
      <w:r w:rsidRPr="00921805">
        <w:rPr>
          <w:rFonts w:ascii="Times New Roman" w:hAnsi="Times New Roman" w:cs="Times New Roman"/>
          <w:sz w:val="24"/>
          <w:szCs w:val="24"/>
        </w:rPr>
        <w:t>The 1</w:t>
      </w:r>
      <w:r w:rsidRPr="00921805">
        <w:rPr>
          <w:rFonts w:ascii="Times New Roman" w:hAnsi="Times New Roman" w:cs="Times New Roman"/>
          <w:sz w:val="24"/>
          <w:szCs w:val="24"/>
          <w:vertAlign w:val="superscript"/>
        </w:rPr>
        <w:t>st</w:t>
      </w:r>
      <w:r w:rsidR="00921805">
        <w:rPr>
          <w:rFonts w:ascii="Times New Roman" w:hAnsi="Times New Roman" w:cs="Times New Roman"/>
          <w:sz w:val="24"/>
          <w:szCs w:val="24"/>
        </w:rPr>
        <w:t xml:space="preserve"> r</w:t>
      </w:r>
      <w:r w:rsidRPr="00921805">
        <w:rPr>
          <w:rFonts w:ascii="Times New Roman" w:hAnsi="Times New Roman" w:cs="Times New Roman"/>
          <w:sz w:val="24"/>
          <w:szCs w:val="24"/>
        </w:rPr>
        <w:t>espondent shall bear costs of suit</w:t>
      </w:r>
      <w:r w:rsidR="00BD0E25" w:rsidRPr="00921805">
        <w:rPr>
          <w:rFonts w:ascii="Times New Roman" w:hAnsi="Times New Roman" w:cs="Times New Roman"/>
          <w:sz w:val="24"/>
          <w:szCs w:val="24"/>
        </w:rPr>
        <w:t xml:space="preserve">. </w:t>
      </w:r>
    </w:p>
    <w:p w:rsidR="00063242" w:rsidRDefault="00063242" w:rsidP="00484D48">
      <w:pPr>
        <w:spacing w:after="0" w:line="360" w:lineRule="auto"/>
        <w:jc w:val="both"/>
        <w:rPr>
          <w:rFonts w:ascii="Times New Roman" w:hAnsi="Times New Roman" w:cs="Times New Roman"/>
          <w:sz w:val="24"/>
          <w:szCs w:val="24"/>
        </w:rPr>
      </w:pPr>
    </w:p>
    <w:p w:rsidR="00921805" w:rsidRDefault="00921805" w:rsidP="00484D48">
      <w:pPr>
        <w:spacing w:after="0" w:line="360" w:lineRule="auto"/>
        <w:jc w:val="both"/>
        <w:rPr>
          <w:rFonts w:ascii="Times New Roman" w:hAnsi="Times New Roman" w:cs="Times New Roman"/>
          <w:sz w:val="24"/>
          <w:szCs w:val="24"/>
        </w:rPr>
      </w:pPr>
    </w:p>
    <w:p w:rsidR="00921805" w:rsidRPr="005C5537" w:rsidRDefault="00921805" w:rsidP="00484D48">
      <w:pPr>
        <w:spacing w:after="0" w:line="360" w:lineRule="auto"/>
        <w:jc w:val="both"/>
        <w:rPr>
          <w:rFonts w:ascii="Times New Roman" w:hAnsi="Times New Roman" w:cs="Times New Roman"/>
          <w:sz w:val="24"/>
          <w:szCs w:val="24"/>
        </w:rPr>
      </w:pPr>
    </w:p>
    <w:p w:rsidR="00063242" w:rsidRPr="005C5537" w:rsidRDefault="00C75430" w:rsidP="00484D48">
      <w:pPr>
        <w:spacing w:after="0" w:line="240" w:lineRule="auto"/>
        <w:jc w:val="both"/>
        <w:rPr>
          <w:rFonts w:ascii="Times New Roman" w:hAnsi="Times New Roman" w:cs="Times New Roman"/>
          <w:sz w:val="24"/>
          <w:szCs w:val="24"/>
        </w:rPr>
      </w:pPr>
      <w:r w:rsidRPr="00921805">
        <w:rPr>
          <w:rFonts w:ascii="Times New Roman" w:hAnsi="Times New Roman" w:cs="Times New Roman"/>
          <w:i/>
          <w:sz w:val="24"/>
          <w:szCs w:val="24"/>
        </w:rPr>
        <w:t>Ushehwekunze Law Chambers</w:t>
      </w:r>
      <w:r w:rsidR="00921805">
        <w:rPr>
          <w:rFonts w:ascii="Times New Roman" w:hAnsi="Times New Roman" w:cs="Times New Roman"/>
          <w:sz w:val="24"/>
          <w:szCs w:val="24"/>
        </w:rPr>
        <w:t>, a</w:t>
      </w:r>
      <w:r w:rsidRPr="005C5537">
        <w:rPr>
          <w:rFonts w:ascii="Times New Roman" w:hAnsi="Times New Roman" w:cs="Times New Roman"/>
          <w:sz w:val="24"/>
          <w:szCs w:val="24"/>
        </w:rPr>
        <w:t>pplicant’</w:t>
      </w:r>
      <w:r w:rsidR="00921805">
        <w:rPr>
          <w:rFonts w:ascii="Times New Roman" w:hAnsi="Times New Roman" w:cs="Times New Roman"/>
          <w:sz w:val="24"/>
          <w:szCs w:val="24"/>
        </w:rPr>
        <w:t>s l</w:t>
      </w:r>
      <w:r w:rsidR="008E68B3" w:rsidRPr="005C5537">
        <w:rPr>
          <w:rFonts w:ascii="Times New Roman" w:hAnsi="Times New Roman" w:cs="Times New Roman"/>
          <w:sz w:val="24"/>
          <w:szCs w:val="24"/>
        </w:rPr>
        <w:t>egal</w:t>
      </w:r>
      <w:r w:rsidR="00921805">
        <w:rPr>
          <w:rFonts w:ascii="Times New Roman" w:hAnsi="Times New Roman" w:cs="Times New Roman"/>
          <w:sz w:val="24"/>
          <w:szCs w:val="24"/>
        </w:rPr>
        <w:t xml:space="preserve"> practitioners</w:t>
      </w:r>
    </w:p>
    <w:p w:rsidR="00C75430" w:rsidRPr="005C5537" w:rsidRDefault="00C75430" w:rsidP="00484D48">
      <w:pPr>
        <w:spacing w:after="0" w:line="240" w:lineRule="auto"/>
        <w:jc w:val="both"/>
        <w:rPr>
          <w:rFonts w:ascii="Times New Roman" w:hAnsi="Times New Roman" w:cs="Times New Roman"/>
          <w:sz w:val="24"/>
          <w:szCs w:val="24"/>
        </w:rPr>
      </w:pPr>
      <w:r w:rsidRPr="00921805">
        <w:rPr>
          <w:rFonts w:ascii="Times New Roman" w:hAnsi="Times New Roman" w:cs="Times New Roman"/>
          <w:i/>
          <w:sz w:val="24"/>
          <w:szCs w:val="24"/>
        </w:rPr>
        <w:t>Muronda Malinga</w:t>
      </w:r>
      <w:r w:rsidR="00AC4562">
        <w:rPr>
          <w:rFonts w:ascii="Times New Roman" w:hAnsi="Times New Roman" w:cs="Times New Roman"/>
          <w:sz w:val="24"/>
          <w:szCs w:val="24"/>
        </w:rPr>
        <w:t>, first</w:t>
      </w:r>
      <w:r w:rsidR="00921805">
        <w:rPr>
          <w:rFonts w:ascii="Times New Roman" w:hAnsi="Times New Roman" w:cs="Times New Roman"/>
          <w:sz w:val="24"/>
          <w:szCs w:val="24"/>
        </w:rPr>
        <w:t xml:space="preserve"> r</w:t>
      </w:r>
      <w:r w:rsidR="008E68B3" w:rsidRPr="005C5537">
        <w:rPr>
          <w:rFonts w:ascii="Times New Roman" w:hAnsi="Times New Roman" w:cs="Times New Roman"/>
          <w:sz w:val="24"/>
          <w:szCs w:val="24"/>
        </w:rPr>
        <w:t xml:space="preserve">espondent’s </w:t>
      </w:r>
      <w:r w:rsidR="00921805">
        <w:rPr>
          <w:rFonts w:ascii="Times New Roman" w:hAnsi="Times New Roman" w:cs="Times New Roman"/>
          <w:sz w:val="24"/>
          <w:szCs w:val="24"/>
        </w:rPr>
        <w:t>legal practitioners</w:t>
      </w:r>
    </w:p>
    <w:p w:rsidR="00C75430" w:rsidRDefault="007159DF" w:rsidP="00484D48">
      <w:pPr>
        <w:spacing w:after="0" w:line="360" w:lineRule="auto"/>
        <w:jc w:val="both"/>
        <w:rPr>
          <w:rFonts w:ascii="Times New Roman" w:hAnsi="Times New Roman" w:cs="Times New Roman"/>
          <w:sz w:val="24"/>
          <w:szCs w:val="24"/>
        </w:rPr>
      </w:pPr>
      <w:r w:rsidRPr="00921805">
        <w:rPr>
          <w:rFonts w:ascii="Times New Roman" w:hAnsi="Times New Roman" w:cs="Times New Roman"/>
          <w:i/>
          <w:sz w:val="24"/>
          <w:szCs w:val="24"/>
        </w:rPr>
        <w:t>Civil Division</w:t>
      </w:r>
      <w:r>
        <w:rPr>
          <w:rFonts w:ascii="Times New Roman" w:hAnsi="Times New Roman" w:cs="Times New Roman"/>
          <w:sz w:val="24"/>
          <w:szCs w:val="24"/>
        </w:rPr>
        <w:t xml:space="preserve">, </w:t>
      </w:r>
      <w:r w:rsidR="00AC4562">
        <w:rPr>
          <w:rFonts w:ascii="Times New Roman" w:hAnsi="Times New Roman" w:cs="Times New Roman"/>
          <w:sz w:val="24"/>
          <w:szCs w:val="24"/>
        </w:rPr>
        <w:t>second</w:t>
      </w:r>
      <w:r w:rsidR="00C75430" w:rsidRPr="005C5537">
        <w:rPr>
          <w:rFonts w:ascii="Times New Roman" w:hAnsi="Times New Roman" w:cs="Times New Roman"/>
          <w:sz w:val="24"/>
          <w:szCs w:val="24"/>
        </w:rPr>
        <w:t xml:space="preserve">, </w:t>
      </w:r>
      <w:r w:rsidR="00AC4562">
        <w:rPr>
          <w:rFonts w:ascii="Times New Roman" w:hAnsi="Times New Roman" w:cs="Times New Roman"/>
          <w:sz w:val="24"/>
          <w:szCs w:val="24"/>
        </w:rPr>
        <w:t>third</w:t>
      </w:r>
      <w:r w:rsidR="00C75430" w:rsidRPr="005C5537">
        <w:rPr>
          <w:rFonts w:ascii="Times New Roman" w:hAnsi="Times New Roman" w:cs="Times New Roman"/>
          <w:sz w:val="24"/>
          <w:szCs w:val="24"/>
        </w:rPr>
        <w:t xml:space="preserve"> and </w:t>
      </w:r>
      <w:r w:rsidR="00AC4562">
        <w:rPr>
          <w:rFonts w:ascii="Times New Roman" w:hAnsi="Times New Roman" w:cs="Times New Roman"/>
          <w:sz w:val="24"/>
          <w:szCs w:val="24"/>
        </w:rPr>
        <w:t>fourth</w:t>
      </w:r>
      <w:r w:rsidR="00921805">
        <w:rPr>
          <w:rFonts w:ascii="Times New Roman" w:hAnsi="Times New Roman" w:cs="Times New Roman"/>
          <w:sz w:val="24"/>
          <w:szCs w:val="24"/>
        </w:rPr>
        <w:t xml:space="preserve"> respondents’ legal practitioners</w:t>
      </w:r>
    </w:p>
    <w:p w:rsidR="00484D48" w:rsidRPr="005C5537" w:rsidRDefault="00484D48" w:rsidP="00484D48">
      <w:pPr>
        <w:spacing w:after="0" w:line="360" w:lineRule="auto"/>
        <w:jc w:val="both"/>
        <w:rPr>
          <w:rFonts w:ascii="Times New Roman" w:hAnsi="Times New Roman" w:cs="Times New Roman"/>
          <w:sz w:val="24"/>
          <w:szCs w:val="24"/>
        </w:rPr>
      </w:pPr>
    </w:p>
    <w:sectPr w:rsidR="00484D48" w:rsidRPr="005C55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1E7" w:rsidRDefault="004B11E7" w:rsidP="004F1535">
      <w:pPr>
        <w:spacing w:after="0" w:line="240" w:lineRule="auto"/>
      </w:pPr>
      <w:r>
        <w:separator/>
      </w:r>
    </w:p>
  </w:endnote>
  <w:endnote w:type="continuationSeparator" w:id="0">
    <w:p w:rsidR="004B11E7" w:rsidRDefault="004B11E7" w:rsidP="004F1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1E7" w:rsidRDefault="004B11E7" w:rsidP="004F1535">
      <w:pPr>
        <w:spacing w:after="0" w:line="240" w:lineRule="auto"/>
      </w:pPr>
      <w:r>
        <w:separator/>
      </w:r>
    </w:p>
  </w:footnote>
  <w:footnote w:type="continuationSeparator" w:id="0">
    <w:p w:rsidR="004B11E7" w:rsidRDefault="004B11E7" w:rsidP="004F1535">
      <w:pPr>
        <w:spacing w:after="0" w:line="240" w:lineRule="auto"/>
      </w:pPr>
      <w:r>
        <w:continuationSeparator/>
      </w:r>
    </w:p>
  </w:footnote>
  <w:footnote w:id="1">
    <w:p w:rsidR="00BF43F7" w:rsidRDefault="00BF43F7">
      <w:pPr>
        <w:pStyle w:val="FootnoteText"/>
      </w:pPr>
      <w:r>
        <w:rPr>
          <w:rStyle w:val="FootnoteReference"/>
        </w:rPr>
        <w:footnoteRef/>
      </w:r>
      <w:r>
        <w:t xml:space="preserve"> 2014 (1) ZLR 674 (H).</w:t>
      </w:r>
    </w:p>
  </w:footnote>
  <w:footnote w:id="2">
    <w:p w:rsidR="00F040D2" w:rsidRDefault="00F040D2">
      <w:pPr>
        <w:pStyle w:val="FootnoteText"/>
      </w:pPr>
      <w:r>
        <w:rPr>
          <w:rStyle w:val="FootnoteReference"/>
        </w:rPr>
        <w:footnoteRef/>
      </w:r>
      <w:r>
        <w:t xml:space="preserve"> 1998 (1) ZLR 188 (H).</w:t>
      </w:r>
    </w:p>
  </w:footnote>
  <w:footnote w:id="3">
    <w:p w:rsidR="004F1535" w:rsidRDefault="004F1535">
      <w:pPr>
        <w:pStyle w:val="FootnoteText"/>
      </w:pPr>
      <w:r>
        <w:rPr>
          <w:rStyle w:val="FootnoteReference"/>
        </w:rPr>
        <w:footnoteRef/>
      </w:r>
      <w:r>
        <w:t xml:space="preserve"> HH 39-07.</w:t>
      </w:r>
    </w:p>
  </w:footnote>
  <w:footnote w:id="4">
    <w:p w:rsidR="008757AF" w:rsidRDefault="008757AF">
      <w:pPr>
        <w:pStyle w:val="FootnoteText"/>
      </w:pPr>
      <w:r>
        <w:rPr>
          <w:rStyle w:val="FootnoteReference"/>
        </w:rPr>
        <w:footnoteRef/>
      </w:r>
      <w:r>
        <w:t xml:space="preserve">  1977 (3) SA 534(A)   at 545</w:t>
      </w:r>
    </w:p>
  </w:footnote>
  <w:footnote w:id="5">
    <w:p w:rsidR="00C615F0" w:rsidRDefault="00C615F0">
      <w:pPr>
        <w:pStyle w:val="FootnoteText"/>
      </w:pPr>
      <w:r>
        <w:rPr>
          <w:rStyle w:val="FootnoteReference"/>
        </w:rPr>
        <w:footnoteRef/>
      </w:r>
      <w:r>
        <w:t xml:space="preserve"> HH276-17.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6672807"/>
      <w:docPartObj>
        <w:docPartGallery w:val="Page Numbers (Top of Page)"/>
        <w:docPartUnique/>
      </w:docPartObj>
    </w:sdtPr>
    <w:sdtEndPr>
      <w:rPr>
        <w:noProof/>
      </w:rPr>
    </w:sdtEndPr>
    <w:sdtContent>
      <w:p w:rsidR="00484D48" w:rsidRDefault="00484D48">
        <w:pPr>
          <w:pStyle w:val="Header"/>
          <w:jc w:val="right"/>
          <w:rPr>
            <w:noProof/>
          </w:rPr>
        </w:pPr>
        <w:r>
          <w:fldChar w:fldCharType="begin"/>
        </w:r>
        <w:r>
          <w:instrText xml:space="preserve"> PAGE   \* MERGEFORMAT </w:instrText>
        </w:r>
        <w:r>
          <w:fldChar w:fldCharType="separate"/>
        </w:r>
        <w:r w:rsidR="008531CC">
          <w:rPr>
            <w:noProof/>
          </w:rPr>
          <w:t>1</w:t>
        </w:r>
        <w:r>
          <w:rPr>
            <w:noProof/>
          </w:rPr>
          <w:fldChar w:fldCharType="end"/>
        </w:r>
      </w:p>
      <w:p w:rsidR="00484D48" w:rsidRDefault="00484D48">
        <w:pPr>
          <w:pStyle w:val="Header"/>
          <w:jc w:val="right"/>
          <w:rPr>
            <w:noProof/>
          </w:rPr>
        </w:pPr>
        <w:r>
          <w:rPr>
            <w:noProof/>
          </w:rPr>
          <w:t xml:space="preserve">HH </w:t>
        </w:r>
        <w:r w:rsidR="00690BBD">
          <w:rPr>
            <w:noProof/>
          </w:rPr>
          <w:t>16-22</w:t>
        </w:r>
      </w:p>
      <w:p w:rsidR="00484D48" w:rsidRDefault="00484D48">
        <w:pPr>
          <w:pStyle w:val="Header"/>
          <w:jc w:val="right"/>
          <w:rPr>
            <w:noProof/>
          </w:rPr>
        </w:pPr>
        <w:r>
          <w:rPr>
            <w:noProof/>
          </w:rPr>
          <w:t>HC 7336/21</w:t>
        </w:r>
      </w:p>
      <w:p w:rsidR="00484D48" w:rsidRDefault="00484D48">
        <w:pPr>
          <w:pStyle w:val="Header"/>
          <w:jc w:val="right"/>
          <w:rPr>
            <w:noProof/>
          </w:rPr>
        </w:pPr>
        <w:r>
          <w:rPr>
            <w:noProof/>
          </w:rPr>
          <w:t>Ref: HC 6560/21</w:t>
        </w:r>
      </w:p>
      <w:p w:rsidR="00484D48" w:rsidRDefault="00484D48">
        <w:pPr>
          <w:pStyle w:val="Header"/>
          <w:jc w:val="right"/>
        </w:pPr>
        <w:r>
          <w:rPr>
            <w:noProof/>
          </w:rPr>
          <w:t>S</w:t>
        </w:r>
        <w:r w:rsidR="00D02E88">
          <w:rPr>
            <w:noProof/>
          </w:rPr>
          <w:t>C 460/21</w:t>
        </w:r>
      </w:p>
    </w:sdtContent>
  </w:sdt>
  <w:p w:rsidR="00484D48" w:rsidRDefault="00484D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F4CCF"/>
    <w:multiLevelType w:val="hybridMultilevel"/>
    <w:tmpl w:val="9A30D2D4"/>
    <w:lvl w:ilvl="0" w:tplc="1C09000F">
      <w:start w:val="2"/>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24476A69"/>
    <w:multiLevelType w:val="hybridMultilevel"/>
    <w:tmpl w:val="E1504452"/>
    <w:lvl w:ilvl="0" w:tplc="273EDB3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259511C4"/>
    <w:multiLevelType w:val="hybridMultilevel"/>
    <w:tmpl w:val="45DA1BCA"/>
    <w:lvl w:ilvl="0" w:tplc="2BF231C8">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nsid w:val="328011E9"/>
    <w:multiLevelType w:val="hybridMultilevel"/>
    <w:tmpl w:val="DE8A0AC2"/>
    <w:lvl w:ilvl="0" w:tplc="ED56C512">
      <w:start w:val="2"/>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3E5046D6"/>
    <w:multiLevelType w:val="hybridMultilevel"/>
    <w:tmpl w:val="B754C03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638F3F82"/>
    <w:multiLevelType w:val="hybridMultilevel"/>
    <w:tmpl w:val="6CE8829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66632966"/>
    <w:multiLevelType w:val="hybridMultilevel"/>
    <w:tmpl w:val="9760D4A2"/>
    <w:lvl w:ilvl="0" w:tplc="1C09000F">
      <w:start w:val="2"/>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7E7F314A"/>
    <w:multiLevelType w:val="hybridMultilevel"/>
    <w:tmpl w:val="1B82CE4E"/>
    <w:lvl w:ilvl="0" w:tplc="1C28A464">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0"/>
  </w:num>
  <w:num w:numId="5">
    <w:abstractNumId w:val="1"/>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15E"/>
    <w:rsid w:val="00007AAF"/>
    <w:rsid w:val="00063242"/>
    <w:rsid w:val="0006625B"/>
    <w:rsid w:val="00067054"/>
    <w:rsid w:val="000774EF"/>
    <w:rsid w:val="00095A93"/>
    <w:rsid w:val="000A5686"/>
    <w:rsid w:val="000D2648"/>
    <w:rsid w:val="000F107E"/>
    <w:rsid w:val="000F7055"/>
    <w:rsid w:val="000F7E28"/>
    <w:rsid w:val="00131093"/>
    <w:rsid w:val="00133F1C"/>
    <w:rsid w:val="00141182"/>
    <w:rsid w:val="001440D3"/>
    <w:rsid w:val="0016175C"/>
    <w:rsid w:val="001852C2"/>
    <w:rsid w:val="00186985"/>
    <w:rsid w:val="00191AB2"/>
    <w:rsid w:val="001A27A6"/>
    <w:rsid w:val="001A4B74"/>
    <w:rsid w:val="001C323E"/>
    <w:rsid w:val="001C4DF6"/>
    <w:rsid w:val="00203950"/>
    <w:rsid w:val="00207686"/>
    <w:rsid w:val="00213397"/>
    <w:rsid w:val="0023247C"/>
    <w:rsid w:val="00250269"/>
    <w:rsid w:val="00254F50"/>
    <w:rsid w:val="0027016C"/>
    <w:rsid w:val="00275163"/>
    <w:rsid w:val="002771E7"/>
    <w:rsid w:val="002822C7"/>
    <w:rsid w:val="002875ED"/>
    <w:rsid w:val="0029151A"/>
    <w:rsid w:val="00296297"/>
    <w:rsid w:val="002E34E6"/>
    <w:rsid w:val="002E3DC3"/>
    <w:rsid w:val="002F1E7C"/>
    <w:rsid w:val="002F38F5"/>
    <w:rsid w:val="00302CFB"/>
    <w:rsid w:val="003070AC"/>
    <w:rsid w:val="00310706"/>
    <w:rsid w:val="00315070"/>
    <w:rsid w:val="0033709B"/>
    <w:rsid w:val="0034407A"/>
    <w:rsid w:val="0034453E"/>
    <w:rsid w:val="00371241"/>
    <w:rsid w:val="0039380F"/>
    <w:rsid w:val="003A15CE"/>
    <w:rsid w:val="003A1BC9"/>
    <w:rsid w:val="003A7DD3"/>
    <w:rsid w:val="003B0345"/>
    <w:rsid w:val="003B6386"/>
    <w:rsid w:val="003B67A2"/>
    <w:rsid w:val="003F491D"/>
    <w:rsid w:val="003F51B6"/>
    <w:rsid w:val="00400060"/>
    <w:rsid w:val="00401EF3"/>
    <w:rsid w:val="0042017C"/>
    <w:rsid w:val="00425006"/>
    <w:rsid w:val="00425DB5"/>
    <w:rsid w:val="004517B5"/>
    <w:rsid w:val="004719B8"/>
    <w:rsid w:val="0047474E"/>
    <w:rsid w:val="00484D48"/>
    <w:rsid w:val="00495E62"/>
    <w:rsid w:val="00496DAD"/>
    <w:rsid w:val="004B11E7"/>
    <w:rsid w:val="004E7079"/>
    <w:rsid w:val="004F1535"/>
    <w:rsid w:val="00506532"/>
    <w:rsid w:val="0051133A"/>
    <w:rsid w:val="00517DD0"/>
    <w:rsid w:val="00555EAB"/>
    <w:rsid w:val="005711F4"/>
    <w:rsid w:val="005A417E"/>
    <w:rsid w:val="005B5256"/>
    <w:rsid w:val="005C22D5"/>
    <w:rsid w:val="005C4259"/>
    <w:rsid w:val="005C5537"/>
    <w:rsid w:val="005D2CA4"/>
    <w:rsid w:val="005E0573"/>
    <w:rsid w:val="00602BA4"/>
    <w:rsid w:val="006057DB"/>
    <w:rsid w:val="00611C2A"/>
    <w:rsid w:val="00615D51"/>
    <w:rsid w:val="006306A9"/>
    <w:rsid w:val="0063268E"/>
    <w:rsid w:val="00682D30"/>
    <w:rsid w:val="0068515E"/>
    <w:rsid w:val="00690BBD"/>
    <w:rsid w:val="00694441"/>
    <w:rsid w:val="00696A7E"/>
    <w:rsid w:val="0069714A"/>
    <w:rsid w:val="006A649F"/>
    <w:rsid w:val="006B5D84"/>
    <w:rsid w:val="006C23ED"/>
    <w:rsid w:val="006C7932"/>
    <w:rsid w:val="006D1B63"/>
    <w:rsid w:val="006D65E5"/>
    <w:rsid w:val="006E0E97"/>
    <w:rsid w:val="006F6197"/>
    <w:rsid w:val="007014F3"/>
    <w:rsid w:val="007159DF"/>
    <w:rsid w:val="00720B17"/>
    <w:rsid w:val="007258BF"/>
    <w:rsid w:val="007369DE"/>
    <w:rsid w:val="0074441F"/>
    <w:rsid w:val="007614E7"/>
    <w:rsid w:val="007644B4"/>
    <w:rsid w:val="00767139"/>
    <w:rsid w:val="00791C08"/>
    <w:rsid w:val="007A4108"/>
    <w:rsid w:val="007A4595"/>
    <w:rsid w:val="007A7142"/>
    <w:rsid w:val="007B391B"/>
    <w:rsid w:val="007B42B8"/>
    <w:rsid w:val="007B79C4"/>
    <w:rsid w:val="007C12F3"/>
    <w:rsid w:val="007C1E07"/>
    <w:rsid w:val="007C437C"/>
    <w:rsid w:val="007F161C"/>
    <w:rsid w:val="008126A9"/>
    <w:rsid w:val="00813BE7"/>
    <w:rsid w:val="00814684"/>
    <w:rsid w:val="00827EAB"/>
    <w:rsid w:val="008320BA"/>
    <w:rsid w:val="00846E52"/>
    <w:rsid w:val="008531CC"/>
    <w:rsid w:val="008569F4"/>
    <w:rsid w:val="00861048"/>
    <w:rsid w:val="008757AF"/>
    <w:rsid w:val="00876B2B"/>
    <w:rsid w:val="0088319B"/>
    <w:rsid w:val="0089259D"/>
    <w:rsid w:val="008B0ED8"/>
    <w:rsid w:val="008B3B2E"/>
    <w:rsid w:val="008B58E9"/>
    <w:rsid w:val="008E0E5E"/>
    <w:rsid w:val="008E177A"/>
    <w:rsid w:val="008E68B3"/>
    <w:rsid w:val="008F062F"/>
    <w:rsid w:val="00900FDB"/>
    <w:rsid w:val="00903415"/>
    <w:rsid w:val="009121C6"/>
    <w:rsid w:val="00921805"/>
    <w:rsid w:val="009265C2"/>
    <w:rsid w:val="009436C6"/>
    <w:rsid w:val="0096125E"/>
    <w:rsid w:val="0096304E"/>
    <w:rsid w:val="00964FDC"/>
    <w:rsid w:val="00965EA9"/>
    <w:rsid w:val="00967732"/>
    <w:rsid w:val="00975DFA"/>
    <w:rsid w:val="00982280"/>
    <w:rsid w:val="00995C43"/>
    <w:rsid w:val="009965F3"/>
    <w:rsid w:val="0099758C"/>
    <w:rsid w:val="009A0619"/>
    <w:rsid w:val="009B2E3C"/>
    <w:rsid w:val="009C0E41"/>
    <w:rsid w:val="009F435B"/>
    <w:rsid w:val="009F7994"/>
    <w:rsid w:val="00A05107"/>
    <w:rsid w:val="00A136B5"/>
    <w:rsid w:val="00A2281E"/>
    <w:rsid w:val="00A2283B"/>
    <w:rsid w:val="00A36719"/>
    <w:rsid w:val="00A46C88"/>
    <w:rsid w:val="00A6002A"/>
    <w:rsid w:val="00A676B7"/>
    <w:rsid w:val="00A974A9"/>
    <w:rsid w:val="00AB1D39"/>
    <w:rsid w:val="00AC1796"/>
    <w:rsid w:val="00AC4562"/>
    <w:rsid w:val="00AD17A8"/>
    <w:rsid w:val="00AD1EB6"/>
    <w:rsid w:val="00AE12F0"/>
    <w:rsid w:val="00AE1B8E"/>
    <w:rsid w:val="00AE527F"/>
    <w:rsid w:val="00AF7D1F"/>
    <w:rsid w:val="00B10793"/>
    <w:rsid w:val="00B1167E"/>
    <w:rsid w:val="00B117A1"/>
    <w:rsid w:val="00B43086"/>
    <w:rsid w:val="00B50512"/>
    <w:rsid w:val="00B80BEA"/>
    <w:rsid w:val="00B85251"/>
    <w:rsid w:val="00B86435"/>
    <w:rsid w:val="00B90C7B"/>
    <w:rsid w:val="00B9606E"/>
    <w:rsid w:val="00BA7620"/>
    <w:rsid w:val="00BB662E"/>
    <w:rsid w:val="00BD0E25"/>
    <w:rsid w:val="00BF43F7"/>
    <w:rsid w:val="00C06F03"/>
    <w:rsid w:val="00C23C33"/>
    <w:rsid w:val="00C24929"/>
    <w:rsid w:val="00C25D93"/>
    <w:rsid w:val="00C50659"/>
    <w:rsid w:val="00C60101"/>
    <w:rsid w:val="00C6034B"/>
    <w:rsid w:val="00C615F0"/>
    <w:rsid w:val="00C643D3"/>
    <w:rsid w:val="00C700E8"/>
    <w:rsid w:val="00C75430"/>
    <w:rsid w:val="00C7621E"/>
    <w:rsid w:val="00C91465"/>
    <w:rsid w:val="00C922CB"/>
    <w:rsid w:val="00CB16CD"/>
    <w:rsid w:val="00CC00E4"/>
    <w:rsid w:val="00CD7BD4"/>
    <w:rsid w:val="00CD7DC3"/>
    <w:rsid w:val="00D02E88"/>
    <w:rsid w:val="00D061FA"/>
    <w:rsid w:val="00D22FFE"/>
    <w:rsid w:val="00D276CB"/>
    <w:rsid w:val="00D32839"/>
    <w:rsid w:val="00D37916"/>
    <w:rsid w:val="00D42D47"/>
    <w:rsid w:val="00D83F07"/>
    <w:rsid w:val="00D91D23"/>
    <w:rsid w:val="00D934EA"/>
    <w:rsid w:val="00D95A7A"/>
    <w:rsid w:val="00DA63AC"/>
    <w:rsid w:val="00DD26F2"/>
    <w:rsid w:val="00DD2A9F"/>
    <w:rsid w:val="00DF1671"/>
    <w:rsid w:val="00E02B75"/>
    <w:rsid w:val="00E27A98"/>
    <w:rsid w:val="00E36E65"/>
    <w:rsid w:val="00E46C31"/>
    <w:rsid w:val="00E63FAA"/>
    <w:rsid w:val="00E822C1"/>
    <w:rsid w:val="00EA0C63"/>
    <w:rsid w:val="00EB2B1B"/>
    <w:rsid w:val="00EB6B9E"/>
    <w:rsid w:val="00EC0997"/>
    <w:rsid w:val="00EC1AEA"/>
    <w:rsid w:val="00EE5F44"/>
    <w:rsid w:val="00EF0FA4"/>
    <w:rsid w:val="00F00668"/>
    <w:rsid w:val="00F00F59"/>
    <w:rsid w:val="00F040D2"/>
    <w:rsid w:val="00F042D1"/>
    <w:rsid w:val="00F05B0D"/>
    <w:rsid w:val="00F25E58"/>
    <w:rsid w:val="00F324B5"/>
    <w:rsid w:val="00F73D9E"/>
    <w:rsid w:val="00F93035"/>
    <w:rsid w:val="00F933F0"/>
    <w:rsid w:val="00FA47CC"/>
    <w:rsid w:val="00FA4D87"/>
    <w:rsid w:val="00FD0120"/>
    <w:rsid w:val="00FF529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7D3B68-24DC-421D-979D-548463476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1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B75"/>
    <w:pPr>
      <w:ind w:left="720"/>
      <w:contextualSpacing/>
    </w:pPr>
  </w:style>
  <w:style w:type="paragraph" w:styleId="FootnoteText">
    <w:name w:val="footnote text"/>
    <w:basedOn w:val="Normal"/>
    <w:link w:val="FootnoteTextChar"/>
    <w:uiPriority w:val="99"/>
    <w:semiHidden/>
    <w:unhideWhenUsed/>
    <w:rsid w:val="004F15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1535"/>
    <w:rPr>
      <w:sz w:val="20"/>
      <w:szCs w:val="20"/>
    </w:rPr>
  </w:style>
  <w:style w:type="character" w:styleId="FootnoteReference">
    <w:name w:val="footnote reference"/>
    <w:basedOn w:val="DefaultParagraphFont"/>
    <w:uiPriority w:val="99"/>
    <w:semiHidden/>
    <w:unhideWhenUsed/>
    <w:rsid w:val="004F1535"/>
    <w:rPr>
      <w:vertAlign w:val="superscript"/>
    </w:rPr>
  </w:style>
  <w:style w:type="paragraph" w:styleId="Header">
    <w:name w:val="header"/>
    <w:basedOn w:val="Normal"/>
    <w:link w:val="HeaderChar"/>
    <w:uiPriority w:val="99"/>
    <w:unhideWhenUsed/>
    <w:rsid w:val="00484D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D48"/>
  </w:style>
  <w:style w:type="paragraph" w:styleId="Footer">
    <w:name w:val="footer"/>
    <w:basedOn w:val="Normal"/>
    <w:link w:val="FooterChar"/>
    <w:uiPriority w:val="99"/>
    <w:unhideWhenUsed/>
    <w:rsid w:val="00484D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D48"/>
  </w:style>
  <w:style w:type="paragraph" w:styleId="BalloonText">
    <w:name w:val="Balloon Text"/>
    <w:basedOn w:val="Normal"/>
    <w:link w:val="BalloonTextChar"/>
    <w:uiPriority w:val="99"/>
    <w:semiHidden/>
    <w:unhideWhenUsed/>
    <w:rsid w:val="00D02E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E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25336-63AB-4521-B80E-E4EDBEE76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2541</Words>
  <Characters>14486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User</cp:lastModifiedBy>
  <cp:revision>2</cp:revision>
  <cp:lastPrinted>2022-01-11T10:24:00Z</cp:lastPrinted>
  <dcterms:created xsi:type="dcterms:W3CDTF">2022-01-14T09:23:00Z</dcterms:created>
  <dcterms:modified xsi:type="dcterms:W3CDTF">2022-01-14T09:23:00Z</dcterms:modified>
</cp:coreProperties>
</file>