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367" w:rsidRPr="001C25CA" w:rsidRDefault="008C3367" w:rsidP="008C3367">
      <w:pPr>
        <w:keepNext/>
        <w:spacing w:line="360" w:lineRule="auto"/>
        <w:jc w:val="center"/>
        <w:outlineLvl w:val="0"/>
        <w:rPr>
          <w:rFonts w:ascii="Arial" w:hAnsi="Arial" w:cs="Arial"/>
          <w:b/>
          <w:bCs/>
          <w:sz w:val="24"/>
          <w:szCs w:val="24"/>
        </w:rPr>
      </w:pPr>
      <w:r w:rsidRPr="001C25CA">
        <w:rPr>
          <w:rFonts w:ascii="Arial" w:hAnsi="Arial" w:cs="Arial"/>
          <w:b/>
          <w:bCs/>
          <w:noProof/>
          <w:sz w:val="24"/>
          <w:szCs w:val="24"/>
          <w:lang w:eastAsia="en-ZA"/>
        </w:rPr>
        <w:drawing>
          <wp:inline distT="0" distB="0" distL="0" distR="0" wp14:anchorId="3E29A9B8" wp14:editId="5F60D787">
            <wp:extent cx="1073150" cy="113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73150" cy="1132840"/>
                    </a:xfrm>
                    <a:prstGeom prst="rect">
                      <a:avLst/>
                    </a:prstGeom>
                    <a:noFill/>
                    <a:ln w="9525">
                      <a:noFill/>
                      <a:miter lim="800000"/>
                      <a:headEnd/>
                      <a:tailEnd/>
                    </a:ln>
                  </pic:spPr>
                </pic:pic>
              </a:graphicData>
            </a:graphic>
          </wp:inline>
        </w:drawing>
      </w:r>
    </w:p>
    <w:p w:rsidR="008C3367" w:rsidRPr="001C25CA" w:rsidRDefault="008C3367" w:rsidP="008C3367">
      <w:pPr>
        <w:spacing w:line="480" w:lineRule="auto"/>
        <w:ind w:left="1701"/>
        <w:jc w:val="right"/>
        <w:rPr>
          <w:rFonts w:ascii="Arial" w:hAnsi="Arial" w:cs="Arial"/>
          <w:b/>
          <w:sz w:val="24"/>
          <w:szCs w:val="24"/>
        </w:rPr>
      </w:pPr>
      <w:r w:rsidRPr="001C25CA">
        <w:rPr>
          <w:rFonts w:ascii="Arial" w:hAnsi="Arial" w:cs="Arial"/>
          <w:b/>
          <w:sz w:val="24"/>
          <w:szCs w:val="24"/>
        </w:rPr>
        <w:t>REPORTABLE</w:t>
      </w:r>
    </w:p>
    <w:p w:rsidR="008C3367" w:rsidRPr="001C25CA" w:rsidRDefault="008C3367" w:rsidP="007C732D">
      <w:pPr>
        <w:spacing w:after="0" w:line="240" w:lineRule="auto"/>
        <w:jc w:val="right"/>
        <w:rPr>
          <w:rFonts w:ascii="Arial" w:hAnsi="Arial" w:cs="Arial"/>
          <w:sz w:val="24"/>
          <w:szCs w:val="24"/>
        </w:rPr>
      </w:pPr>
      <w:r w:rsidRPr="001C25CA">
        <w:rPr>
          <w:rFonts w:ascii="Arial" w:hAnsi="Arial" w:cs="Arial"/>
          <w:sz w:val="24"/>
          <w:szCs w:val="24"/>
        </w:rPr>
        <w:t xml:space="preserve">CASE NO: SA </w:t>
      </w:r>
      <w:r w:rsidR="002212AD" w:rsidRPr="001C25CA">
        <w:rPr>
          <w:rFonts w:ascii="Arial" w:hAnsi="Arial" w:cs="Arial"/>
          <w:sz w:val="24"/>
          <w:szCs w:val="24"/>
        </w:rPr>
        <w:t>74</w:t>
      </w:r>
      <w:r w:rsidRPr="001C25CA">
        <w:rPr>
          <w:rFonts w:ascii="Arial" w:hAnsi="Arial" w:cs="Arial"/>
          <w:sz w:val="24"/>
          <w:szCs w:val="24"/>
        </w:rPr>
        <w:t>/201</w:t>
      </w:r>
      <w:r w:rsidR="007104EF" w:rsidRPr="001C25CA">
        <w:rPr>
          <w:rFonts w:ascii="Arial" w:hAnsi="Arial" w:cs="Arial"/>
          <w:sz w:val="24"/>
          <w:szCs w:val="24"/>
        </w:rPr>
        <w:t>6</w:t>
      </w:r>
    </w:p>
    <w:p w:rsidR="008C3367" w:rsidRPr="001C25CA" w:rsidRDefault="008C3367" w:rsidP="008C3367">
      <w:pPr>
        <w:spacing w:line="240" w:lineRule="auto"/>
        <w:ind w:left="-142"/>
        <w:jc w:val="both"/>
        <w:rPr>
          <w:rFonts w:ascii="Arial" w:hAnsi="Arial" w:cs="Arial"/>
          <w:b/>
          <w:sz w:val="24"/>
          <w:szCs w:val="24"/>
        </w:rPr>
      </w:pPr>
    </w:p>
    <w:p w:rsidR="008C3367" w:rsidRPr="001C25CA" w:rsidRDefault="008C3367" w:rsidP="00B40CD3">
      <w:pPr>
        <w:spacing w:line="240" w:lineRule="auto"/>
        <w:jc w:val="both"/>
        <w:rPr>
          <w:rFonts w:ascii="Arial" w:hAnsi="Arial" w:cs="Arial"/>
          <w:b/>
          <w:sz w:val="24"/>
          <w:szCs w:val="24"/>
        </w:rPr>
      </w:pPr>
      <w:r w:rsidRPr="001C25CA">
        <w:rPr>
          <w:rFonts w:ascii="Arial" w:hAnsi="Arial" w:cs="Arial"/>
          <w:b/>
          <w:sz w:val="24"/>
          <w:szCs w:val="24"/>
        </w:rPr>
        <w:t>IN THE SUPREME COURT OF NAMIBIA</w:t>
      </w:r>
    </w:p>
    <w:p w:rsidR="008C3367" w:rsidRPr="001C25CA" w:rsidRDefault="008C3367" w:rsidP="00B40CD3">
      <w:pPr>
        <w:spacing w:line="240" w:lineRule="auto"/>
        <w:jc w:val="both"/>
        <w:rPr>
          <w:rFonts w:ascii="Arial" w:hAnsi="Arial" w:cs="Arial"/>
          <w:sz w:val="24"/>
          <w:szCs w:val="24"/>
        </w:rPr>
      </w:pPr>
    </w:p>
    <w:p w:rsidR="008C3367" w:rsidRPr="001C25CA" w:rsidRDefault="008C3367" w:rsidP="00B40CD3">
      <w:pPr>
        <w:spacing w:line="240" w:lineRule="auto"/>
        <w:jc w:val="both"/>
        <w:rPr>
          <w:rFonts w:ascii="Arial" w:hAnsi="Arial" w:cs="Arial"/>
          <w:sz w:val="24"/>
          <w:szCs w:val="24"/>
        </w:rPr>
      </w:pPr>
      <w:r w:rsidRPr="001C25CA">
        <w:rPr>
          <w:rFonts w:ascii="Arial" w:hAnsi="Arial" w:cs="Arial"/>
          <w:sz w:val="24"/>
          <w:szCs w:val="24"/>
        </w:rPr>
        <w:t>In the matter between:</w:t>
      </w:r>
    </w:p>
    <w:p w:rsidR="008C3367" w:rsidRPr="001C25CA" w:rsidRDefault="008C3367" w:rsidP="00B40CD3">
      <w:pPr>
        <w:spacing w:line="240" w:lineRule="auto"/>
        <w:jc w:val="both"/>
        <w:rPr>
          <w:rFonts w:ascii="Arial" w:hAnsi="Arial" w:cs="Arial"/>
          <w:sz w:val="24"/>
          <w:szCs w:val="24"/>
        </w:rPr>
      </w:pPr>
    </w:p>
    <w:tbl>
      <w:tblPr>
        <w:tblW w:w="9215" w:type="dxa"/>
        <w:tblInd w:w="-142" w:type="dxa"/>
        <w:tblLook w:val="04A0" w:firstRow="1" w:lastRow="0" w:firstColumn="1" w:lastColumn="0" w:noHBand="0" w:noVBand="1"/>
      </w:tblPr>
      <w:tblGrid>
        <w:gridCol w:w="6204"/>
        <w:gridCol w:w="3011"/>
      </w:tblGrid>
      <w:tr w:rsidR="008C3367" w:rsidRPr="001C25CA" w:rsidTr="00B40CD3">
        <w:tc>
          <w:tcPr>
            <w:tcW w:w="6204" w:type="dxa"/>
            <w:shd w:val="clear" w:color="auto" w:fill="auto"/>
          </w:tcPr>
          <w:p w:rsidR="002212AD" w:rsidRPr="001C25CA" w:rsidRDefault="002212AD" w:rsidP="00B40CD3">
            <w:pPr>
              <w:spacing w:line="240" w:lineRule="auto"/>
              <w:jc w:val="both"/>
              <w:rPr>
                <w:rFonts w:ascii="Arial" w:hAnsi="Arial" w:cs="Arial"/>
                <w:b/>
                <w:sz w:val="24"/>
                <w:szCs w:val="24"/>
              </w:rPr>
            </w:pPr>
            <w:r w:rsidRPr="001C25CA">
              <w:rPr>
                <w:rFonts w:ascii="Arial" w:hAnsi="Arial" w:cs="Arial"/>
                <w:b/>
                <w:sz w:val="24"/>
                <w:szCs w:val="24"/>
              </w:rPr>
              <w:t xml:space="preserve">KAMBAZEMBI GUEST FARM CC t/a WATERBERG </w:t>
            </w:r>
          </w:p>
          <w:p w:rsidR="002212AD" w:rsidRPr="001C25CA" w:rsidRDefault="002212AD" w:rsidP="00B40CD3">
            <w:pPr>
              <w:spacing w:line="240" w:lineRule="auto"/>
              <w:jc w:val="both"/>
              <w:rPr>
                <w:rFonts w:ascii="Arial" w:hAnsi="Arial" w:cs="Arial"/>
                <w:b/>
                <w:sz w:val="24"/>
                <w:szCs w:val="24"/>
              </w:rPr>
            </w:pPr>
            <w:r w:rsidRPr="001C25CA">
              <w:rPr>
                <w:rFonts w:ascii="Arial" w:hAnsi="Arial" w:cs="Arial"/>
                <w:b/>
                <w:sz w:val="24"/>
                <w:szCs w:val="24"/>
              </w:rPr>
              <w:t>WILDERNESS</w:t>
            </w:r>
          </w:p>
        </w:tc>
        <w:tc>
          <w:tcPr>
            <w:tcW w:w="3011" w:type="dxa"/>
            <w:shd w:val="clear" w:color="auto" w:fill="auto"/>
          </w:tcPr>
          <w:p w:rsidR="002212AD" w:rsidRPr="001C25CA" w:rsidRDefault="002212AD" w:rsidP="00B40CD3">
            <w:pPr>
              <w:spacing w:line="240" w:lineRule="auto"/>
              <w:jc w:val="right"/>
              <w:rPr>
                <w:rFonts w:ascii="Arial" w:hAnsi="Arial" w:cs="Arial"/>
                <w:b/>
                <w:sz w:val="24"/>
                <w:szCs w:val="24"/>
              </w:rPr>
            </w:pPr>
          </w:p>
          <w:p w:rsidR="008C3367" w:rsidRPr="001C25CA" w:rsidRDefault="008C3367" w:rsidP="00B40CD3">
            <w:pPr>
              <w:spacing w:line="240" w:lineRule="auto"/>
              <w:jc w:val="right"/>
              <w:rPr>
                <w:rFonts w:ascii="Arial" w:hAnsi="Arial" w:cs="Arial"/>
                <w:b/>
                <w:sz w:val="24"/>
                <w:szCs w:val="24"/>
              </w:rPr>
            </w:pPr>
            <w:r w:rsidRPr="001C25CA">
              <w:rPr>
                <w:rFonts w:ascii="Arial" w:hAnsi="Arial" w:cs="Arial"/>
                <w:b/>
                <w:sz w:val="24"/>
                <w:szCs w:val="24"/>
              </w:rPr>
              <w:t>Appellant</w:t>
            </w:r>
          </w:p>
        </w:tc>
      </w:tr>
      <w:tr w:rsidR="008C3367" w:rsidRPr="001C25CA" w:rsidTr="00B40CD3">
        <w:tc>
          <w:tcPr>
            <w:tcW w:w="6204" w:type="dxa"/>
            <w:shd w:val="clear" w:color="auto" w:fill="auto"/>
          </w:tcPr>
          <w:p w:rsidR="008C3367" w:rsidRPr="001C25CA" w:rsidRDefault="008C3367" w:rsidP="00B40CD3">
            <w:pPr>
              <w:spacing w:line="240" w:lineRule="auto"/>
              <w:jc w:val="both"/>
              <w:rPr>
                <w:rFonts w:ascii="Arial" w:hAnsi="Arial" w:cs="Arial"/>
                <w:b/>
                <w:sz w:val="24"/>
                <w:szCs w:val="24"/>
              </w:rPr>
            </w:pPr>
          </w:p>
        </w:tc>
        <w:tc>
          <w:tcPr>
            <w:tcW w:w="3011" w:type="dxa"/>
            <w:shd w:val="clear" w:color="auto" w:fill="auto"/>
          </w:tcPr>
          <w:p w:rsidR="008C3367" w:rsidRPr="001C25CA" w:rsidRDefault="008C3367" w:rsidP="00B40CD3">
            <w:pPr>
              <w:spacing w:line="240" w:lineRule="auto"/>
              <w:jc w:val="right"/>
              <w:rPr>
                <w:rFonts w:ascii="Arial" w:hAnsi="Arial" w:cs="Arial"/>
                <w:b/>
                <w:sz w:val="24"/>
                <w:szCs w:val="24"/>
              </w:rPr>
            </w:pPr>
          </w:p>
        </w:tc>
      </w:tr>
      <w:tr w:rsidR="008C3367" w:rsidRPr="001C25CA" w:rsidTr="00B40CD3">
        <w:tc>
          <w:tcPr>
            <w:tcW w:w="6204" w:type="dxa"/>
            <w:shd w:val="clear" w:color="auto" w:fill="auto"/>
          </w:tcPr>
          <w:p w:rsidR="008C3367" w:rsidRPr="001C25CA" w:rsidRDefault="00516B05" w:rsidP="00B40CD3">
            <w:pPr>
              <w:spacing w:line="240" w:lineRule="auto"/>
              <w:jc w:val="both"/>
              <w:rPr>
                <w:rFonts w:ascii="Arial" w:hAnsi="Arial" w:cs="Arial"/>
                <w:sz w:val="24"/>
                <w:szCs w:val="24"/>
              </w:rPr>
            </w:pPr>
            <w:r w:rsidRPr="001C25CA">
              <w:rPr>
                <w:rFonts w:ascii="Arial" w:hAnsi="Arial" w:cs="Arial"/>
                <w:sz w:val="24"/>
                <w:szCs w:val="24"/>
              </w:rPr>
              <w:t>A</w:t>
            </w:r>
            <w:r w:rsidR="008C3367" w:rsidRPr="001C25CA">
              <w:rPr>
                <w:rFonts w:ascii="Arial" w:hAnsi="Arial" w:cs="Arial"/>
                <w:sz w:val="24"/>
                <w:szCs w:val="24"/>
              </w:rPr>
              <w:t>nd</w:t>
            </w:r>
          </w:p>
        </w:tc>
        <w:tc>
          <w:tcPr>
            <w:tcW w:w="3011" w:type="dxa"/>
            <w:shd w:val="clear" w:color="auto" w:fill="auto"/>
          </w:tcPr>
          <w:p w:rsidR="008C3367" w:rsidRPr="001C25CA" w:rsidRDefault="008C3367" w:rsidP="00B40CD3">
            <w:pPr>
              <w:spacing w:line="240" w:lineRule="auto"/>
              <w:jc w:val="both"/>
              <w:rPr>
                <w:rFonts w:ascii="Arial" w:hAnsi="Arial" w:cs="Arial"/>
                <w:b/>
                <w:sz w:val="24"/>
                <w:szCs w:val="24"/>
              </w:rPr>
            </w:pPr>
          </w:p>
        </w:tc>
      </w:tr>
      <w:tr w:rsidR="008C3367" w:rsidRPr="001C25CA" w:rsidTr="00B40CD3">
        <w:tc>
          <w:tcPr>
            <w:tcW w:w="6204" w:type="dxa"/>
            <w:shd w:val="clear" w:color="auto" w:fill="auto"/>
          </w:tcPr>
          <w:p w:rsidR="008C3367" w:rsidRPr="001C25CA" w:rsidRDefault="008C3367" w:rsidP="00B40CD3">
            <w:pPr>
              <w:spacing w:line="240" w:lineRule="auto"/>
              <w:jc w:val="both"/>
              <w:rPr>
                <w:rFonts w:ascii="Arial" w:hAnsi="Arial" w:cs="Arial"/>
                <w:b/>
                <w:sz w:val="24"/>
                <w:szCs w:val="24"/>
              </w:rPr>
            </w:pPr>
          </w:p>
        </w:tc>
        <w:tc>
          <w:tcPr>
            <w:tcW w:w="3011" w:type="dxa"/>
            <w:shd w:val="clear" w:color="auto" w:fill="auto"/>
          </w:tcPr>
          <w:p w:rsidR="008C3367" w:rsidRPr="001C25CA" w:rsidRDefault="008C3367" w:rsidP="00B40CD3">
            <w:pPr>
              <w:spacing w:line="240" w:lineRule="auto"/>
              <w:jc w:val="both"/>
              <w:rPr>
                <w:rFonts w:ascii="Arial" w:hAnsi="Arial" w:cs="Arial"/>
                <w:b/>
                <w:sz w:val="24"/>
                <w:szCs w:val="24"/>
              </w:rPr>
            </w:pPr>
          </w:p>
        </w:tc>
      </w:tr>
      <w:tr w:rsidR="008C3367" w:rsidRPr="001C25CA" w:rsidTr="00B40CD3">
        <w:tc>
          <w:tcPr>
            <w:tcW w:w="6204" w:type="dxa"/>
            <w:shd w:val="clear" w:color="auto" w:fill="auto"/>
          </w:tcPr>
          <w:p w:rsidR="008C3367" w:rsidRPr="001C25CA" w:rsidRDefault="002212AD" w:rsidP="00B40CD3">
            <w:pPr>
              <w:spacing w:line="240" w:lineRule="auto"/>
              <w:jc w:val="both"/>
              <w:rPr>
                <w:rFonts w:ascii="Arial" w:hAnsi="Arial" w:cs="Arial"/>
                <w:b/>
                <w:sz w:val="24"/>
                <w:szCs w:val="24"/>
              </w:rPr>
            </w:pPr>
            <w:r w:rsidRPr="001C25CA">
              <w:rPr>
                <w:rFonts w:ascii="Arial" w:hAnsi="Arial" w:cs="Arial"/>
                <w:b/>
                <w:sz w:val="24"/>
                <w:szCs w:val="24"/>
              </w:rPr>
              <w:t>MINISTER OF LANDS AND RESETTLEMENT</w:t>
            </w:r>
          </w:p>
        </w:tc>
        <w:tc>
          <w:tcPr>
            <w:tcW w:w="3011" w:type="dxa"/>
            <w:shd w:val="clear" w:color="auto" w:fill="auto"/>
          </w:tcPr>
          <w:p w:rsidR="00584213" w:rsidRPr="001C25CA" w:rsidRDefault="009C70E6" w:rsidP="00B40CD3">
            <w:pPr>
              <w:spacing w:line="240" w:lineRule="auto"/>
              <w:jc w:val="right"/>
              <w:rPr>
                <w:rFonts w:ascii="Arial" w:hAnsi="Arial" w:cs="Arial"/>
                <w:b/>
                <w:sz w:val="24"/>
                <w:szCs w:val="24"/>
              </w:rPr>
            </w:pPr>
            <w:r w:rsidRPr="001C25CA">
              <w:rPr>
                <w:rFonts w:ascii="Arial" w:hAnsi="Arial" w:cs="Arial"/>
                <w:b/>
                <w:sz w:val="24"/>
                <w:szCs w:val="24"/>
              </w:rPr>
              <w:t xml:space="preserve">First </w:t>
            </w:r>
            <w:r w:rsidR="00584213" w:rsidRPr="001C25CA">
              <w:rPr>
                <w:rFonts w:ascii="Arial" w:hAnsi="Arial" w:cs="Arial"/>
                <w:b/>
                <w:sz w:val="24"/>
                <w:szCs w:val="24"/>
              </w:rPr>
              <w:t>Respondent</w:t>
            </w:r>
          </w:p>
        </w:tc>
      </w:tr>
      <w:tr w:rsidR="009C70E6" w:rsidRPr="001C25CA" w:rsidTr="00B40CD3">
        <w:tc>
          <w:tcPr>
            <w:tcW w:w="6204" w:type="dxa"/>
            <w:shd w:val="clear" w:color="auto" w:fill="auto"/>
          </w:tcPr>
          <w:p w:rsidR="009C70E6" w:rsidRPr="001C25CA" w:rsidRDefault="00A66719" w:rsidP="00B40CD3">
            <w:pPr>
              <w:spacing w:line="240" w:lineRule="auto"/>
              <w:jc w:val="both"/>
              <w:rPr>
                <w:rFonts w:ascii="Arial" w:hAnsi="Arial" w:cs="Arial"/>
                <w:b/>
                <w:sz w:val="24"/>
                <w:szCs w:val="24"/>
              </w:rPr>
            </w:pPr>
            <w:r w:rsidRPr="001C25CA">
              <w:rPr>
                <w:rFonts w:ascii="Arial" w:hAnsi="Arial" w:cs="Arial"/>
                <w:b/>
                <w:sz w:val="24"/>
                <w:szCs w:val="24"/>
              </w:rPr>
              <w:t>MINISTER OF AGRICULTURE, WATER AND</w:t>
            </w:r>
          </w:p>
          <w:p w:rsidR="00A66719" w:rsidRPr="001C25CA" w:rsidRDefault="00A66719" w:rsidP="00B40CD3">
            <w:pPr>
              <w:spacing w:line="240" w:lineRule="auto"/>
              <w:jc w:val="both"/>
              <w:rPr>
                <w:rFonts w:ascii="Arial" w:hAnsi="Arial" w:cs="Arial"/>
                <w:b/>
                <w:sz w:val="24"/>
                <w:szCs w:val="24"/>
              </w:rPr>
            </w:pPr>
            <w:r w:rsidRPr="001C25CA">
              <w:rPr>
                <w:rFonts w:ascii="Arial" w:hAnsi="Arial" w:cs="Arial"/>
                <w:b/>
                <w:sz w:val="24"/>
                <w:szCs w:val="24"/>
              </w:rPr>
              <w:t>FORESTRY</w:t>
            </w:r>
          </w:p>
        </w:tc>
        <w:tc>
          <w:tcPr>
            <w:tcW w:w="3011" w:type="dxa"/>
            <w:shd w:val="clear" w:color="auto" w:fill="auto"/>
          </w:tcPr>
          <w:p w:rsidR="00A66719" w:rsidRPr="001C25CA" w:rsidRDefault="00A66719" w:rsidP="00B40CD3">
            <w:pPr>
              <w:spacing w:line="240" w:lineRule="auto"/>
              <w:jc w:val="right"/>
              <w:rPr>
                <w:rFonts w:ascii="Arial" w:hAnsi="Arial" w:cs="Arial"/>
                <w:b/>
                <w:sz w:val="24"/>
                <w:szCs w:val="24"/>
              </w:rPr>
            </w:pPr>
          </w:p>
          <w:p w:rsidR="009C70E6" w:rsidRPr="001C25CA" w:rsidRDefault="009C70E6" w:rsidP="00B40CD3">
            <w:pPr>
              <w:spacing w:line="240" w:lineRule="auto"/>
              <w:jc w:val="right"/>
              <w:rPr>
                <w:rFonts w:ascii="Arial" w:hAnsi="Arial" w:cs="Arial"/>
                <w:b/>
                <w:sz w:val="24"/>
                <w:szCs w:val="24"/>
              </w:rPr>
            </w:pPr>
            <w:r w:rsidRPr="001C25CA">
              <w:rPr>
                <w:rFonts w:ascii="Arial" w:hAnsi="Arial" w:cs="Arial"/>
                <w:b/>
                <w:sz w:val="24"/>
                <w:szCs w:val="24"/>
              </w:rPr>
              <w:t>Second Respondent</w:t>
            </w:r>
          </w:p>
        </w:tc>
      </w:tr>
      <w:tr w:rsidR="009C70E6" w:rsidRPr="001C25CA" w:rsidTr="00B40CD3">
        <w:tc>
          <w:tcPr>
            <w:tcW w:w="6204" w:type="dxa"/>
            <w:shd w:val="clear" w:color="auto" w:fill="auto"/>
          </w:tcPr>
          <w:p w:rsidR="009C70E6" w:rsidRPr="001C25CA" w:rsidRDefault="00A66719" w:rsidP="00AA4F7E">
            <w:pPr>
              <w:spacing w:line="240" w:lineRule="auto"/>
              <w:jc w:val="both"/>
              <w:rPr>
                <w:rFonts w:ascii="Arial" w:hAnsi="Arial" w:cs="Arial"/>
                <w:b/>
                <w:sz w:val="24"/>
                <w:szCs w:val="24"/>
              </w:rPr>
            </w:pPr>
            <w:r w:rsidRPr="001C25CA">
              <w:rPr>
                <w:rFonts w:ascii="Arial" w:hAnsi="Arial" w:cs="Arial"/>
                <w:b/>
                <w:sz w:val="24"/>
                <w:szCs w:val="24"/>
              </w:rPr>
              <w:t>MINISTER OF FINANCE</w:t>
            </w:r>
          </w:p>
        </w:tc>
        <w:tc>
          <w:tcPr>
            <w:tcW w:w="3011" w:type="dxa"/>
            <w:shd w:val="clear" w:color="auto" w:fill="auto"/>
          </w:tcPr>
          <w:p w:rsidR="009C70E6" w:rsidRPr="001C25CA" w:rsidRDefault="009C70E6" w:rsidP="00B40CD3">
            <w:pPr>
              <w:spacing w:line="240" w:lineRule="auto"/>
              <w:jc w:val="right"/>
              <w:rPr>
                <w:rFonts w:ascii="Arial" w:hAnsi="Arial" w:cs="Arial"/>
                <w:b/>
                <w:sz w:val="24"/>
                <w:szCs w:val="24"/>
              </w:rPr>
            </w:pPr>
            <w:r w:rsidRPr="001C25CA">
              <w:rPr>
                <w:rFonts w:ascii="Arial" w:hAnsi="Arial" w:cs="Arial"/>
                <w:b/>
                <w:sz w:val="24"/>
                <w:szCs w:val="24"/>
              </w:rPr>
              <w:t>Third Respondent</w:t>
            </w:r>
          </w:p>
        </w:tc>
      </w:tr>
      <w:tr w:rsidR="009C70E6" w:rsidRPr="001C25CA" w:rsidTr="00B40CD3">
        <w:tc>
          <w:tcPr>
            <w:tcW w:w="6204" w:type="dxa"/>
            <w:shd w:val="clear" w:color="auto" w:fill="auto"/>
          </w:tcPr>
          <w:p w:rsidR="009C70E6" w:rsidRPr="001C25CA" w:rsidRDefault="00A66719" w:rsidP="00B40CD3">
            <w:pPr>
              <w:spacing w:line="240" w:lineRule="auto"/>
              <w:jc w:val="both"/>
              <w:rPr>
                <w:rFonts w:ascii="Arial" w:hAnsi="Arial" w:cs="Arial"/>
                <w:b/>
                <w:sz w:val="24"/>
                <w:szCs w:val="24"/>
              </w:rPr>
            </w:pPr>
            <w:r w:rsidRPr="001C25CA">
              <w:rPr>
                <w:rFonts w:ascii="Arial" w:hAnsi="Arial" w:cs="Arial"/>
                <w:b/>
                <w:sz w:val="24"/>
                <w:szCs w:val="24"/>
              </w:rPr>
              <w:t>CHAIRPERSON OF THE LAND REFORM</w:t>
            </w:r>
          </w:p>
          <w:p w:rsidR="00A66719" w:rsidRPr="001C25CA" w:rsidRDefault="00A66719" w:rsidP="00B40CD3">
            <w:pPr>
              <w:spacing w:line="240" w:lineRule="auto"/>
              <w:jc w:val="both"/>
              <w:rPr>
                <w:rFonts w:ascii="Arial" w:hAnsi="Arial" w:cs="Arial"/>
                <w:b/>
                <w:sz w:val="24"/>
                <w:szCs w:val="24"/>
              </w:rPr>
            </w:pPr>
            <w:r w:rsidRPr="001C25CA">
              <w:rPr>
                <w:rFonts w:ascii="Arial" w:hAnsi="Arial" w:cs="Arial"/>
                <w:b/>
                <w:sz w:val="24"/>
                <w:szCs w:val="24"/>
              </w:rPr>
              <w:t>ADVISORY COMMISSION</w:t>
            </w:r>
          </w:p>
        </w:tc>
        <w:tc>
          <w:tcPr>
            <w:tcW w:w="3011" w:type="dxa"/>
            <w:shd w:val="clear" w:color="auto" w:fill="auto"/>
          </w:tcPr>
          <w:p w:rsidR="00A66719" w:rsidRPr="001C25CA" w:rsidRDefault="00A66719" w:rsidP="00B40CD3">
            <w:pPr>
              <w:spacing w:line="240" w:lineRule="auto"/>
              <w:jc w:val="right"/>
              <w:rPr>
                <w:rFonts w:ascii="Arial" w:hAnsi="Arial" w:cs="Arial"/>
                <w:b/>
                <w:sz w:val="24"/>
                <w:szCs w:val="24"/>
              </w:rPr>
            </w:pPr>
          </w:p>
          <w:p w:rsidR="009C70E6" w:rsidRPr="001C25CA" w:rsidRDefault="009C70E6" w:rsidP="00B40CD3">
            <w:pPr>
              <w:spacing w:line="240" w:lineRule="auto"/>
              <w:jc w:val="right"/>
              <w:rPr>
                <w:rFonts w:ascii="Arial" w:hAnsi="Arial" w:cs="Arial"/>
                <w:b/>
                <w:sz w:val="24"/>
                <w:szCs w:val="24"/>
              </w:rPr>
            </w:pPr>
            <w:r w:rsidRPr="001C25CA">
              <w:rPr>
                <w:rFonts w:ascii="Arial" w:hAnsi="Arial" w:cs="Arial"/>
                <w:b/>
                <w:sz w:val="24"/>
                <w:szCs w:val="24"/>
              </w:rPr>
              <w:t>Fourth Respondent</w:t>
            </w:r>
          </w:p>
        </w:tc>
      </w:tr>
      <w:tr w:rsidR="009C70E6" w:rsidRPr="001C25CA" w:rsidTr="00B40CD3">
        <w:tc>
          <w:tcPr>
            <w:tcW w:w="6204" w:type="dxa"/>
            <w:shd w:val="clear" w:color="auto" w:fill="auto"/>
          </w:tcPr>
          <w:p w:rsidR="009C70E6" w:rsidRPr="001C25CA" w:rsidRDefault="00A66719" w:rsidP="00B40CD3">
            <w:pPr>
              <w:spacing w:line="240" w:lineRule="auto"/>
              <w:jc w:val="both"/>
              <w:rPr>
                <w:rFonts w:ascii="Arial" w:hAnsi="Arial" w:cs="Arial"/>
                <w:b/>
                <w:sz w:val="24"/>
                <w:szCs w:val="24"/>
              </w:rPr>
            </w:pPr>
            <w:r w:rsidRPr="001C25CA">
              <w:rPr>
                <w:rFonts w:ascii="Arial" w:hAnsi="Arial" w:cs="Arial"/>
                <w:b/>
                <w:sz w:val="24"/>
                <w:szCs w:val="24"/>
              </w:rPr>
              <w:t>COMMISSIONER FOR INLAND REVENUE</w:t>
            </w:r>
          </w:p>
        </w:tc>
        <w:tc>
          <w:tcPr>
            <w:tcW w:w="3011" w:type="dxa"/>
            <w:shd w:val="clear" w:color="auto" w:fill="auto"/>
          </w:tcPr>
          <w:p w:rsidR="009C70E6" w:rsidRPr="001C25CA" w:rsidRDefault="009C70E6" w:rsidP="00B40CD3">
            <w:pPr>
              <w:spacing w:line="240" w:lineRule="auto"/>
              <w:jc w:val="right"/>
              <w:rPr>
                <w:rFonts w:ascii="Arial" w:hAnsi="Arial" w:cs="Arial"/>
                <w:b/>
                <w:sz w:val="24"/>
                <w:szCs w:val="24"/>
              </w:rPr>
            </w:pPr>
            <w:r w:rsidRPr="001C25CA">
              <w:rPr>
                <w:rFonts w:ascii="Arial" w:hAnsi="Arial" w:cs="Arial"/>
                <w:b/>
                <w:sz w:val="24"/>
                <w:szCs w:val="24"/>
              </w:rPr>
              <w:t>Fifth Respondent</w:t>
            </w:r>
          </w:p>
        </w:tc>
      </w:tr>
      <w:tr w:rsidR="002212AD" w:rsidRPr="001C25CA" w:rsidTr="00B40CD3">
        <w:tc>
          <w:tcPr>
            <w:tcW w:w="6204" w:type="dxa"/>
            <w:shd w:val="clear" w:color="auto" w:fill="auto"/>
          </w:tcPr>
          <w:p w:rsidR="002212AD" w:rsidRPr="001C25CA" w:rsidRDefault="00A66719" w:rsidP="00B40CD3">
            <w:pPr>
              <w:spacing w:line="240" w:lineRule="auto"/>
              <w:jc w:val="both"/>
              <w:rPr>
                <w:rFonts w:ascii="Arial" w:hAnsi="Arial" w:cs="Arial"/>
                <w:b/>
                <w:sz w:val="24"/>
                <w:szCs w:val="24"/>
              </w:rPr>
            </w:pPr>
            <w:r w:rsidRPr="001C25CA">
              <w:rPr>
                <w:rFonts w:ascii="Arial" w:hAnsi="Arial" w:cs="Arial"/>
                <w:b/>
                <w:sz w:val="24"/>
                <w:szCs w:val="24"/>
              </w:rPr>
              <w:t>ATTORNEY-GENERAL OF NAMIBIA</w:t>
            </w:r>
          </w:p>
        </w:tc>
        <w:tc>
          <w:tcPr>
            <w:tcW w:w="3011" w:type="dxa"/>
            <w:shd w:val="clear" w:color="auto" w:fill="auto"/>
          </w:tcPr>
          <w:p w:rsidR="002212AD" w:rsidRPr="001C25CA" w:rsidRDefault="002212AD" w:rsidP="00B40CD3">
            <w:pPr>
              <w:spacing w:line="240" w:lineRule="auto"/>
              <w:jc w:val="right"/>
              <w:rPr>
                <w:rFonts w:ascii="Arial" w:hAnsi="Arial" w:cs="Arial"/>
                <w:b/>
                <w:sz w:val="24"/>
                <w:szCs w:val="24"/>
              </w:rPr>
            </w:pPr>
            <w:r w:rsidRPr="001C25CA">
              <w:rPr>
                <w:rFonts w:ascii="Arial" w:hAnsi="Arial" w:cs="Arial"/>
                <w:b/>
                <w:sz w:val="24"/>
                <w:szCs w:val="24"/>
              </w:rPr>
              <w:t>Sixth Respondent</w:t>
            </w:r>
          </w:p>
        </w:tc>
      </w:tr>
      <w:tr w:rsidR="002212AD" w:rsidRPr="001C25CA" w:rsidTr="00B40CD3">
        <w:tc>
          <w:tcPr>
            <w:tcW w:w="6204" w:type="dxa"/>
            <w:shd w:val="clear" w:color="auto" w:fill="auto"/>
          </w:tcPr>
          <w:p w:rsidR="002212AD" w:rsidRPr="001C25CA" w:rsidRDefault="00A66719" w:rsidP="00B40CD3">
            <w:pPr>
              <w:spacing w:line="240" w:lineRule="auto"/>
              <w:jc w:val="both"/>
              <w:rPr>
                <w:rFonts w:ascii="Arial" w:hAnsi="Arial" w:cs="Arial"/>
                <w:b/>
                <w:sz w:val="24"/>
                <w:szCs w:val="24"/>
              </w:rPr>
            </w:pPr>
            <w:r w:rsidRPr="001C25CA">
              <w:rPr>
                <w:rFonts w:ascii="Arial" w:hAnsi="Arial" w:cs="Arial"/>
                <w:b/>
                <w:sz w:val="24"/>
                <w:szCs w:val="24"/>
              </w:rPr>
              <w:t>VALUATION COURT</w:t>
            </w:r>
          </w:p>
        </w:tc>
        <w:tc>
          <w:tcPr>
            <w:tcW w:w="3011" w:type="dxa"/>
            <w:shd w:val="clear" w:color="auto" w:fill="auto"/>
          </w:tcPr>
          <w:p w:rsidR="002212AD" w:rsidRPr="001C25CA" w:rsidRDefault="002212AD" w:rsidP="00B40CD3">
            <w:pPr>
              <w:spacing w:line="240" w:lineRule="auto"/>
              <w:jc w:val="right"/>
              <w:rPr>
                <w:rFonts w:ascii="Arial" w:hAnsi="Arial" w:cs="Arial"/>
                <w:b/>
                <w:sz w:val="24"/>
                <w:szCs w:val="24"/>
              </w:rPr>
            </w:pPr>
            <w:r w:rsidRPr="001C25CA">
              <w:rPr>
                <w:rFonts w:ascii="Arial" w:hAnsi="Arial" w:cs="Arial"/>
                <w:b/>
                <w:sz w:val="24"/>
                <w:szCs w:val="24"/>
              </w:rPr>
              <w:t>Seventh Respondent</w:t>
            </w:r>
          </w:p>
          <w:p w:rsidR="002212AD" w:rsidRPr="001C25CA" w:rsidRDefault="002212AD" w:rsidP="00B40CD3">
            <w:pPr>
              <w:spacing w:line="240" w:lineRule="auto"/>
              <w:jc w:val="right"/>
              <w:rPr>
                <w:rFonts w:ascii="Arial" w:hAnsi="Arial" w:cs="Arial"/>
                <w:b/>
                <w:sz w:val="24"/>
                <w:szCs w:val="24"/>
              </w:rPr>
            </w:pPr>
          </w:p>
        </w:tc>
      </w:tr>
      <w:tr w:rsidR="00584213" w:rsidRPr="001C25CA" w:rsidTr="00B40CD3">
        <w:tc>
          <w:tcPr>
            <w:tcW w:w="6204" w:type="dxa"/>
            <w:shd w:val="clear" w:color="auto" w:fill="auto"/>
          </w:tcPr>
          <w:p w:rsidR="00584213" w:rsidRPr="001C25CA" w:rsidRDefault="00584213" w:rsidP="00B40CD3">
            <w:pPr>
              <w:spacing w:line="240" w:lineRule="auto"/>
              <w:ind w:firstLine="142"/>
              <w:jc w:val="both"/>
              <w:rPr>
                <w:rFonts w:ascii="Arial" w:hAnsi="Arial" w:cs="Arial"/>
                <w:b/>
                <w:sz w:val="24"/>
                <w:szCs w:val="24"/>
              </w:rPr>
            </w:pPr>
          </w:p>
        </w:tc>
        <w:tc>
          <w:tcPr>
            <w:tcW w:w="3011" w:type="dxa"/>
            <w:shd w:val="clear" w:color="auto" w:fill="auto"/>
          </w:tcPr>
          <w:p w:rsidR="00584213" w:rsidRPr="001C25CA" w:rsidRDefault="00584213" w:rsidP="00B40CD3">
            <w:pPr>
              <w:spacing w:line="240" w:lineRule="auto"/>
              <w:ind w:firstLine="142"/>
              <w:jc w:val="right"/>
              <w:rPr>
                <w:rFonts w:ascii="Arial" w:hAnsi="Arial" w:cs="Arial"/>
                <w:b/>
                <w:sz w:val="24"/>
                <w:szCs w:val="24"/>
              </w:rPr>
            </w:pPr>
          </w:p>
        </w:tc>
      </w:tr>
    </w:tbl>
    <w:p w:rsidR="008C3367" w:rsidRPr="001C25CA" w:rsidRDefault="008C3367" w:rsidP="00B40CD3">
      <w:pPr>
        <w:spacing w:line="240" w:lineRule="auto"/>
        <w:ind w:left="-142" w:firstLine="142"/>
        <w:jc w:val="both"/>
        <w:rPr>
          <w:rFonts w:ascii="Arial" w:hAnsi="Arial" w:cs="Arial"/>
          <w:sz w:val="24"/>
          <w:szCs w:val="24"/>
        </w:rPr>
      </w:pPr>
      <w:bookmarkStart w:id="0" w:name="_GoBack"/>
      <w:bookmarkEnd w:id="0"/>
      <w:r w:rsidRPr="001C25CA">
        <w:rPr>
          <w:rFonts w:ascii="Arial" w:hAnsi="Arial" w:cs="Arial"/>
          <w:b/>
          <w:sz w:val="24"/>
          <w:szCs w:val="24"/>
        </w:rPr>
        <w:t>Coram:</w:t>
      </w:r>
      <w:r w:rsidRPr="001C25CA">
        <w:rPr>
          <w:rFonts w:ascii="Arial" w:hAnsi="Arial" w:cs="Arial"/>
          <w:sz w:val="24"/>
          <w:szCs w:val="24"/>
        </w:rPr>
        <w:tab/>
      </w:r>
      <w:r w:rsidRPr="001C25CA">
        <w:rPr>
          <w:rFonts w:ascii="Arial" w:hAnsi="Arial" w:cs="Arial"/>
          <w:sz w:val="24"/>
          <w:szCs w:val="24"/>
        </w:rPr>
        <w:tab/>
      </w:r>
      <w:r w:rsidR="002212AD" w:rsidRPr="001C25CA">
        <w:rPr>
          <w:rFonts w:ascii="Arial" w:hAnsi="Arial" w:cs="Arial"/>
          <w:sz w:val="24"/>
          <w:szCs w:val="24"/>
        </w:rPr>
        <w:t>MAINGA JA</w:t>
      </w:r>
      <w:r w:rsidRPr="001C25CA">
        <w:rPr>
          <w:rFonts w:ascii="Arial" w:hAnsi="Arial" w:cs="Arial"/>
          <w:sz w:val="24"/>
          <w:szCs w:val="24"/>
        </w:rPr>
        <w:t>, SMUTS JA</w:t>
      </w:r>
      <w:r w:rsidR="009C70E6" w:rsidRPr="001C25CA">
        <w:rPr>
          <w:rFonts w:ascii="Arial" w:hAnsi="Arial" w:cs="Arial"/>
          <w:sz w:val="24"/>
          <w:szCs w:val="24"/>
        </w:rPr>
        <w:t xml:space="preserve"> and </w:t>
      </w:r>
      <w:r w:rsidR="002212AD" w:rsidRPr="001C25CA">
        <w:rPr>
          <w:rFonts w:ascii="Arial" w:hAnsi="Arial" w:cs="Arial"/>
          <w:sz w:val="24"/>
          <w:szCs w:val="24"/>
        </w:rPr>
        <w:t>MOKGORO</w:t>
      </w:r>
      <w:r w:rsidR="009C70E6" w:rsidRPr="001C25CA">
        <w:rPr>
          <w:rFonts w:ascii="Arial" w:hAnsi="Arial" w:cs="Arial"/>
          <w:sz w:val="24"/>
          <w:szCs w:val="24"/>
        </w:rPr>
        <w:t xml:space="preserve"> </w:t>
      </w:r>
      <w:r w:rsidR="00CB754A" w:rsidRPr="001C25CA">
        <w:rPr>
          <w:rFonts w:ascii="Arial" w:hAnsi="Arial" w:cs="Arial"/>
          <w:sz w:val="24"/>
          <w:szCs w:val="24"/>
        </w:rPr>
        <w:t>A</w:t>
      </w:r>
      <w:r w:rsidR="009C70E6" w:rsidRPr="001C25CA">
        <w:rPr>
          <w:rFonts w:ascii="Arial" w:hAnsi="Arial" w:cs="Arial"/>
          <w:sz w:val="24"/>
          <w:szCs w:val="24"/>
        </w:rPr>
        <w:t>JA</w:t>
      </w:r>
    </w:p>
    <w:p w:rsidR="008C3367" w:rsidRPr="001C25CA" w:rsidRDefault="008C3367" w:rsidP="00B40CD3">
      <w:pPr>
        <w:spacing w:line="240" w:lineRule="auto"/>
        <w:ind w:left="-142" w:firstLine="142"/>
        <w:jc w:val="both"/>
        <w:rPr>
          <w:rFonts w:ascii="Arial" w:hAnsi="Arial" w:cs="Arial"/>
          <w:b/>
          <w:sz w:val="24"/>
          <w:szCs w:val="24"/>
        </w:rPr>
      </w:pPr>
      <w:r w:rsidRPr="001C25CA">
        <w:rPr>
          <w:rFonts w:ascii="Arial" w:hAnsi="Arial" w:cs="Arial"/>
          <w:b/>
          <w:sz w:val="24"/>
          <w:szCs w:val="24"/>
        </w:rPr>
        <w:t>Heard:</w:t>
      </w:r>
      <w:r w:rsidRPr="001C25CA">
        <w:rPr>
          <w:rFonts w:ascii="Arial" w:hAnsi="Arial" w:cs="Arial"/>
          <w:b/>
          <w:sz w:val="24"/>
          <w:szCs w:val="24"/>
        </w:rPr>
        <w:tab/>
      </w:r>
      <w:r w:rsidRPr="001C25CA">
        <w:rPr>
          <w:rFonts w:ascii="Arial" w:hAnsi="Arial" w:cs="Arial"/>
          <w:b/>
          <w:sz w:val="24"/>
          <w:szCs w:val="24"/>
        </w:rPr>
        <w:tab/>
      </w:r>
      <w:r w:rsidR="002212AD" w:rsidRPr="001C25CA">
        <w:rPr>
          <w:rFonts w:ascii="Arial" w:hAnsi="Arial" w:cs="Arial"/>
          <w:b/>
          <w:sz w:val="24"/>
          <w:szCs w:val="24"/>
        </w:rPr>
        <w:t>2 July</w:t>
      </w:r>
      <w:r w:rsidR="009C70E6" w:rsidRPr="001C25CA">
        <w:rPr>
          <w:rFonts w:ascii="Arial" w:hAnsi="Arial" w:cs="Arial"/>
          <w:b/>
          <w:sz w:val="24"/>
          <w:szCs w:val="24"/>
        </w:rPr>
        <w:t xml:space="preserve"> 2018</w:t>
      </w:r>
    </w:p>
    <w:p w:rsidR="008C3367" w:rsidRPr="001C25CA" w:rsidRDefault="008C3367" w:rsidP="00B40CD3">
      <w:pPr>
        <w:spacing w:line="240" w:lineRule="auto"/>
        <w:jc w:val="both"/>
        <w:rPr>
          <w:rFonts w:ascii="Arial" w:hAnsi="Arial" w:cs="Arial"/>
          <w:b/>
          <w:sz w:val="24"/>
          <w:szCs w:val="24"/>
        </w:rPr>
      </w:pPr>
      <w:r w:rsidRPr="001C25CA">
        <w:rPr>
          <w:rFonts w:ascii="Arial" w:hAnsi="Arial" w:cs="Arial"/>
          <w:b/>
          <w:sz w:val="24"/>
          <w:szCs w:val="24"/>
        </w:rPr>
        <w:t>Delivered:</w:t>
      </w:r>
      <w:r w:rsidRPr="001C25CA">
        <w:rPr>
          <w:rFonts w:ascii="Arial" w:hAnsi="Arial" w:cs="Arial"/>
          <w:b/>
          <w:sz w:val="24"/>
          <w:szCs w:val="24"/>
        </w:rPr>
        <w:tab/>
      </w:r>
      <w:r w:rsidR="00B40CD3" w:rsidRPr="001C25CA">
        <w:rPr>
          <w:rFonts w:ascii="Arial" w:hAnsi="Arial" w:cs="Arial"/>
          <w:b/>
          <w:sz w:val="24"/>
          <w:szCs w:val="24"/>
        </w:rPr>
        <w:tab/>
      </w:r>
      <w:r w:rsidR="00022452">
        <w:rPr>
          <w:rFonts w:ascii="Arial" w:hAnsi="Arial" w:cs="Arial"/>
          <w:b/>
          <w:sz w:val="24"/>
          <w:szCs w:val="24"/>
        </w:rPr>
        <w:t>27</w:t>
      </w:r>
      <w:r w:rsidR="002212AD" w:rsidRPr="001C25CA">
        <w:rPr>
          <w:rFonts w:ascii="Arial" w:hAnsi="Arial" w:cs="Arial"/>
          <w:b/>
          <w:sz w:val="24"/>
          <w:szCs w:val="24"/>
        </w:rPr>
        <w:t xml:space="preserve"> July</w:t>
      </w:r>
      <w:r w:rsidR="009C70E6" w:rsidRPr="001C25CA">
        <w:rPr>
          <w:rFonts w:ascii="Arial" w:hAnsi="Arial" w:cs="Arial"/>
          <w:b/>
          <w:sz w:val="24"/>
          <w:szCs w:val="24"/>
        </w:rPr>
        <w:t xml:space="preserve"> 2018</w:t>
      </w:r>
    </w:p>
    <w:p w:rsidR="00A26B21" w:rsidRPr="001C25CA" w:rsidRDefault="00A26B21" w:rsidP="00584213">
      <w:pPr>
        <w:spacing w:line="240" w:lineRule="auto"/>
        <w:ind w:left="-142"/>
        <w:jc w:val="both"/>
        <w:rPr>
          <w:rFonts w:ascii="Arial" w:hAnsi="Arial" w:cs="Arial"/>
          <w:b/>
          <w:sz w:val="24"/>
          <w:szCs w:val="24"/>
          <w:lang w:val="en-GB"/>
        </w:rPr>
      </w:pPr>
    </w:p>
    <w:p w:rsidR="00EF6EF1" w:rsidRPr="00EF6EF1" w:rsidRDefault="008C3367" w:rsidP="00832B89">
      <w:pPr>
        <w:pStyle w:val="NoSpacing"/>
        <w:spacing w:line="360" w:lineRule="auto"/>
        <w:jc w:val="both"/>
        <w:rPr>
          <w:rFonts w:ascii="Arial" w:hAnsi="Arial" w:cs="Arial"/>
          <w:sz w:val="24"/>
          <w:szCs w:val="24"/>
        </w:rPr>
      </w:pPr>
      <w:r w:rsidRPr="00EF6EF1">
        <w:rPr>
          <w:rFonts w:ascii="Arial" w:hAnsi="Arial" w:cs="Arial"/>
          <w:b/>
          <w:sz w:val="24"/>
          <w:szCs w:val="24"/>
          <w:lang w:val="en-GB"/>
        </w:rPr>
        <w:t>Summary:</w:t>
      </w:r>
      <w:r w:rsidR="00721889" w:rsidRPr="00EF6EF1">
        <w:rPr>
          <w:rFonts w:ascii="Arial" w:hAnsi="Arial" w:cs="Arial"/>
          <w:b/>
          <w:sz w:val="24"/>
          <w:szCs w:val="24"/>
          <w:lang w:val="en-GB"/>
        </w:rPr>
        <w:tab/>
      </w:r>
      <w:r w:rsidR="00EF6EF1" w:rsidRPr="00EF6EF1">
        <w:rPr>
          <w:rFonts w:ascii="Arial" w:hAnsi="Arial" w:cs="Arial"/>
          <w:sz w:val="24"/>
          <w:szCs w:val="24"/>
        </w:rPr>
        <w:t xml:space="preserve">The appellant launched a number of constitutional applications in the court </w:t>
      </w:r>
      <w:r w:rsidR="00EF6EF1" w:rsidRPr="00EF6EF1">
        <w:rPr>
          <w:rFonts w:ascii="Arial" w:hAnsi="Arial" w:cs="Arial"/>
          <w:i/>
          <w:sz w:val="24"/>
          <w:szCs w:val="24"/>
        </w:rPr>
        <w:t>a quo</w:t>
      </w:r>
      <w:r w:rsidR="00EF6EF1" w:rsidRPr="00EF6EF1">
        <w:rPr>
          <w:rFonts w:ascii="Arial" w:hAnsi="Arial" w:cs="Arial"/>
          <w:sz w:val="24"/>
          <w:szCs w:val="24"/>
        </w:rPr>
        <w:t xml:space="preserve"> in which its main attack was directed against ss 76 to 80 of the Agricultural (Commercial) Land Reform Act, 6 of 1995 (‘the Act’) which provide for the imposition of land tax. The appellant also challenged the legality of the regulations made under that Act (issued under Government Notice 120 of 18 June 2007) and sought to have them declared inconsistent with Arts 63(2), 8, 10, 12(1)(a), 18 and 22 of the Namibian Constitution and therefore invalid, the rate of tax as well as recent assessments of land tax. A full bench of the High Court found that the land tax imposed under these sections passes constitutional muster and dismissed the challenges to the regulations and other decisions taken pursuant to them. The appellant appeals against these findings.</w:t>
      </w:r>
    </w:p>
    <w:p w:rsidR="00EF6EF1" w:rsidRPr="00EF6EF1" w:rsidRDefault="00EF6EF1" w:rsidP="00832B89">
      <w:pPr>
        <w:pStyle w:val="NoSpacing"/>
        <w:spacing w:line="360" w:lineRule="auto"/>
        <w:jc w:val="both"/>
        <w:rPr>
          <w:rFonts w:ascii="Arial" w:hAnsi="Arial" w:cs="Arial"/>
          <w:sz w:val="24"/>
          <w:szCs w:val="24"/>
        </w:rPr>
      </w:pPr>
    </w:p>
    <w:p w:rsidR="00EF6EF1" w:rsidRPr="00EF6EF1" w:rsidRDefault="00EF6EF1" w:rsidP="00832B89">
      <w:pPr>
        <w:pStyle w:val="NoSpacing"/>
        <w:spacing w:line="360" w:lineRule="auto"/>
        <w:jc w:val="both"/>
        <w:rPr>
          <w:rFonts w:ascii="Arial" w:hAnsi="Arial" w:cs="Arial"/>
          <w:sz w:val="24"/>
          <w:szCs w:val="24"/>
        </w:rPr>
      </w:pPr>
      <w:r w:rsidRPr="00EF6EF1">
        <w:rPr>
          <w:rFonts w:ascii="Arial" w:hAnsi="Arial" w:cs="Arial"/>
          <w:sz w:val="24"/>
          <w:szCs w:val="24"/>
        </w:rPr>
        <w:t>The statutory scheme and constitutional imperative for land reform in Namibia is to be seen within the context of ‘the ravages of inequality brought about by Namibia’s colo</w:t>
      </w:r>
      <w:r w:rsidR="00832B89">
        <w:rPr>
          <w:rFonts w:ascii="Arial" w:hAnsi="Arial" w:cs="Arial"/>
          <w:sz w:val="24"/>
          <w:szCs w:val="24"/>
        </w:rPr>
        <w:t xml:space="preserve">nial past’. In addressing the issue </w:t>
      </w:r>
      <w:r w:rsidRPr="00EF6EF1">
        <w:rPr>
          <w:rFonts w:ascii="Arial" w:hAnsi="Arial" w:cs="Arial"/>
          <w:sz w:val="24"/>
          <w:szCs w:val="24"/>
        </w:rPr>
        <w:t>there was wide consultation by the Namibian Government in the national land conference in 1991. The resulting Act was aimed to bring about reform in ownership and access to agricultural land in Namibia in 1995. Amendments to the Act in 2000 and 2001 established the Land Acquisition and Development Fund and land tax</w:t>
      </w:r>
      <w:r w:rsidR="00832B89">
        <w:rPr>
          <w:rFonts w:ascii="Arial" w:hAnsi="Arial" w:cs="Arial"/>
          <w:sz w:val="24"/>
          <w:szCs w:val="24"/>
        </w:rPr>
        <w:t xml:space="preserve"> respectively</w:t>
      </w:r>
      <w:r w:rsidRPr="00EF6EF1">
        <w:rPr>
          <w:rFonts w:ascii="Arial" w:hAnsi="Arial" w:cs="Arial"/>
          <w:sz w:val="24"/>
          <w:szCs w:val="24"/>
        </w:rPr>
        <w:t xml:space="preserve"> as a means to fund the land reform and transformation process.</w:t>
      </w:r>
    </w:p>
    <w:p w:rsidR="00EF6EF1" w:rsidRPr="00EF6EF1" w:rsidRDefault="00EF6EF1" w:rsidP="00832B89">
      <w:pPr>
        <w:pStyle w:val="NoSpacing"/>
        <w:spacing w:line="360" w:lineRule="auto"/>
        <w:jc w:val="both"/>
        <w:rPr>
          <w:rFonts w:ascii="Arial" w:hAnsi="Arial" w:cs="Arial"/>
          <w:sz w:val="24"/>
          <w:szCs w:val="24"/>
        </w:rPr>
      </w:pPr>
    </w:p>
    <w:p w:rsidR="00EF6EF1" w:rsidRPr="00EF6EF1" w:rsidRDefault="00EF6EF1" w:rsidP="00832B89">
      <w:pPr>
        <w:pStyle w:val="NoSpacing"/>
        <w:spacing w:line="360" w:lineRule="auto"/>
        <w:jc w:val="both"/>
        <w:rPr>
          <w:rFonts w:ascii="Arial" w:hAnsi="Arial" w:cs="Arial"/>
          <w:sz w:val="24"/>
          <w:szCs w:val="24"/>
        </w:rPr>
      </w:pPr>
      <w:r w:rsidRPr="00EF6EF1">
        <w:rPr>
          <w:rFonts w:ascii="Arial" w:hAnsi="Arial" w:cs="Arial"/>
          <w:sz w:val="24"/>
          <w:szCs w:val="24"/>
        </w:rPr>
        <w:t>Appellant argued that the land tax regime in the Act, brought about by ss 76 and 77, amounted to an impermissible delegation of legislative power to the executive branch of government in the person of the Minister. Appellant contended that this is in conflict with the doctrine of separation of powers upon which the Constitution is based and in direct conflict with Art 63(2)(b) of the Constitution.</w:t>
      </w:r>
    </w:p>
    <w:p w:rsidR="00EF6EF1" w:rsidRPr="00EF6EF1" w:rsidRDefault="00EF6EF1" w:rsidP="00832B89">
      <w:pPr>
        <w:pStyle w:val="NoSpacing"/>
        <w:spacing w:line="360" w:lineRule="auto"/>
        <w:jc w:val="both"/>
        <w:rPr>
          <w:rFonts w:ascii="Arial" w:hAnsi="Arial" w:cs="Arial"/>
          <w:sz w:val="24"/>
          <w:szCs w:val="24"/>
        </w:rPr>
      </w:pPr>
    </w:p>
    <w:p w:rsidR="00EF6EF1" w:rsidRPr="00EF6EF1" w:rsidRDefault="00EF6EF1" w:rsidP="00832B89">
      <w:pPr>
        <w:spacing w:after="0" w:line="360" w:lineRule="auto"/>
        <w:jc w:val="both"/>
        <w:rPr>
          <w:rFonts w:ascii="Arial" w:hAnsi="Arial" w:cs="Arial"/>
          <w:sz w:val="24"/>
          <w:szCs w:val="24"/>
          <w:lang w:eastAsia="en-ZA"/>
        </w:rPr>
      </w:pPr>
      <w:r w:rsidRPr="00EF6EF1">
        <w:rPr>
          <w:rFonts w:ascii="Arial" w:hAnsi="Arial" w:cs="Arial"/>
          <w:sz w:val="24"/>
          <w:szCs w:val="24"/>
        </w:rPr>
        <w:t xml:space="preserve">Respondents argued that the appellant’s approach failed to take into account               Art 63(2)(b) properly construed and the nature of the tax scheme imposed under the Act. They submitted the key features of the scheme bringing about land tax were designed by Parliament, including the formula as to how the tax liability is calculated. What was left to be determined by the Minister was the rate within the formula which was to be approved by way of resolution by the National Assembly. They further </w:t>
      </w:r>
      <w:r w:rsidRPr="00EF6EF1">
        <w:rPr>
          <w:rFonts w:ascii="Arial" w:hAnsi="Arial" w:cs="Arial"/>
          <w:sz w:val="24"/>
          <w:szCs w:val="24"/>
        </w:rPr>
        <w:lastRenderedPageBreak/>
        <w:t xml:space="preserve">argued that, the wide wording in Art 63 should be considered in the light of what was stated by this court in </w:t>
      </w:r>
      <w:r w:rsidRPr="00EF6EF1">
        <w:rPr>
          <w:rFonts w:ascii="Arial" w:hAnsi="Arial" w:cs="Arial"/>
          <w:i/>
          <w:sz w:val="24"/>
          <w:szCs w:val="24"/>
        </w:rPr>
        <w:t xml:space="preserve">Du Preez v Minister of Finance </w:t>
      </w:r>
      <w:r w:rsidRPr="00EF6EF1">
        <w:rPr>
          <w:rFonts w:ascii="Arial" w:hAnsi="Arial" w:cs="Arial"/>
          <w:sz w:val="24"/>
          <w:szCs w:val="24"/>
        </w:rPr>
        <w:t>that taxation is to be understood as being ‘imposed by the legislature or other competent authority.’</w:t>
      </w:r>
      <w:r w:rsidRPr="00EF6EF1">
        <w:rPr>
          <w:rFonts w:ascii="Arial" w:hAnsi="Arial" w:cs="Arial"/>
          <w:sz w:val="24"/>
          <w:szCs w:val="24"/>
          <w:lang w:eastAsia="en-ZA"/>
        </w:rPr>
        <w:t xml:space="preserve"> </w:t>
      </w:r>
    </w:p>
    <w:p w:rsidR="00EF6EF1" w:rsidRPr="00EF6EF1" w:rsidRDefault="00EF6EF1" w:rsidP="00832B89">
      <w:pPr>
        <w:pStyle w:val="NoSpacing"/>
        <w:spacing w:line="360" w:lineRule="auto"/>
        <w:jc w:val="both"/>
        <w:rPr>
          <w:rFonts w:ascii="Arial" w:hAnsi="Arial" w:cs="Arial"/>
          <w:sz w:val="24"/>
          <w:szCs w:val="24"/>
        </w:rPr>
      </w:pPr>
    </w:p>
    <w:p w:rsidR="00EF6EF1" w:rsidRPr="00EF6EF1" w:rsidRDefault="00EF6EF1" w:rsidP="00832B89">
      <w:pPr>
        <w:pStyle w:val="NoSpacing"/>
        <w:spacing w:line="360" w:lineRule="auto"/>
        <w:jc w:val="both"/>
        <w:rPr>
          <w:rFonts w:ascii="Arial" w:hAnsi="Arial" w:cs="Arial"/>
          <w:sz w:val="24"/>
          <w:szCs w:val="24"/>
        </w:rPr>
      </w:pPr>
      <w:r w:rsidRPr="00EF6EF1">
        <w:rPr>
          <w:rFonts w:ascii="Arial" w:hAnsi="Arial" w:cs="Arial"/>
          <w:i/>
          <w:sz w:val="24"/>
          <w:szCs w:val="24"/>
        </w:rPr>
        <w:t>Held that</w:t>
      </w:r>
      <w:r w:rsidRPr="00EF6EF1">
        <w:rPr>
          <w:rFonts w:ascii="Arial" w:hAnsi="Arial" w:cs="Arial"/>
          <w:sz w:val="24"/>
          <w:szCs w:val="24"/>
        </w:rPr>
        <w:t>, s 76 does not conflict the constitutional principle of separation of powers and Art 63(2)(b) which accords the National Assembly the power ‘to provide for revenue and taxation’. The National Assembly exercised its own power</w:t>
      </w:r>
      <w:r w:rsidR="00832B89">
        <w:rPr>
          <w:rFonts w:ascii="Arial" w:hAnsi="Arial" w:cs="Arial"/>
          <w:sz w:val="24"/>
          <w:szCs w:val="24"/>
        </w:rPr>
        <w:t>s</w:t>
      </w:r>
      <w:r w:rsidRPr="00EF6EF1">
        <w:rPr>
          <w:rFonts w:ascii="Arial" w:hAnsi="Arial" w:cs="Arial"/>
          <w:sz w:val="24"/>
          <w:szCs w:val="24"/>
        </w:rPr>
        <w:t xml:space="preserve"> and provided for land tax in s 76, which Art 63(2)(b) expressly authorised it to do so. </w:t>
      </w:r>
      <w:r w:rsidR="001A666A">
        <w:rPr>
          <w:rFonts w:ascii="Arial" w:hAnsi="Arial" w:cs="Arial"/>
          <w:sz w:val="24"/>
          <w:szCs w:val="24"/>
        </w:rPr>
        <w:t>The tax</w:t>
      </w:r>
      <w:r w:rsidRPr="00EF6EF1">
        <w:rPr>
          <w:rFonts w:ascii="Arial" w:hAnsi="Arial" w:cs="Arial"/>
          <w:sz w:val="24"/>
          <w:szCs w:val="24"/>
        </w:rPr>
        <w:t xml:space="preserve"> is based upon </w:t>
      </w:r>
      <w:r w:rsidR="00832B89">
        <w:rPr>
          <w:rFonts w:ascii="Arial" w:hAnsi="Arial" w:cs="Arial"/>
          <w:sz w:val="24"/>
          <w:szCs w:val="24"/>
        </w:rPr>
        <w:t xml:space="preserve">the unimproved site </w:t>
      </w:r>
      <w:r w:rsidRPr="00EF6EF1">
        <w:rPr>
          <w:rFonts w:ascii="Arial" w:hAnsi="Arial" w:cs="Arial"/>
          <w:sz w:val="24"/>
          <w:szCs w:val="24"/>
        </w:rPr>
        <w:t>value of agricultural land</w:t>
      </w:r>
      <w:r w:rsidR="001A666A">
        <w:rPr>
          <w:rFonts w:ascii="Arial" w:hAnsi="Arial" w:cs="Arial"/>
          <w:sz w:val="24"/>
          <w:szCs w:val="24"/>
        </w:rPr>
        <w:t xml:space="preserve"> multiplied by a rate</w:t>
      </w:r>
      <w:r w:rsidRPr="00EF6EF1">
        <w:rPr>
          <w:rFonts w:ascii="Arial" w:hAnsi="Arial" w:cs="Arial"/>
          <w:sz w:val="24"/>
          <w:szCs w:val="24"/>
        </w:rPr>
        <w:t xml:space="preserve">. The Minister only determines the rate in the formula, subject to approval by resolution of National Assembly. The unimproved </w:t>
      </w:r>
      <w:r w:rsidR="00832B89">
        <w:rPr>
          <w:rFonts w:ascii="Arial" w:hAnsi="Arial" w:cs="Arial"/>
          <w:sz w:val="24"/>
          <w:szCs w:val="24"/>
        </w:rPr>
        <w:t xml:space="preserve">site </w:t>
      </w:r>
      <w:r w:rsidRPr="00EF6EF1">
        <w:rPr>
          <w:rFonts w:ascii="Arial" w:hAnsi="Arial" w:cs="Arial"/>
          <w:sz w:val="24"/>
          <w:szCs w:val="24"/>
        </w:rPr>
        <w:t xml:space="preserve">value is to be determined in accordance with a procedure set out by the Minister in </w:t>
      </w:r>
      <w:r w:rsidR="00832B89">
        <w:rPr>
          <w:rFonts w:ascii="Arial" w:hAnsi="Arial" w:cs="Arial"/>
          <w:sz w:val="24"/>
          <w:szCs w:val="24"/>
        </w:rPr>
        <w:t xml:space="preserve">the </w:t>
      </w:r>
      <w:r w:rsidRPr="00EF6EF1">
        <w:rPr>
          <w:rFonts w:ascii="Arial" w:hAnsi="Arial" w:cs="Arial"/>
          <w:sz w:val="24"/>
          <w:szCs w:val="24"/>
        </w:rPr>
        <w:t>regulation</w:t>
      </w:r>
      <w:r w:rsidR="00832B89">
        <w:rPr>
          <w:rFonts w:ascii="Arial" w:hAnsi="Arial" w:cs="Arial"/>
          <w:sz w:val="24"/>
          <w:szCs w:val="24"/>
        </w:rPr>
        <w:t>s</w:t>
      </w:r>
      <w:r w:rsidRPr="00EF6EF1">
        <w:rPr>
          <w:rFonts w:ascii="Arial" w:hAnsi="Arial" w:cs="Arial"/>
          <w:sz w:val="24"/>
          <w:szCs w:val="24"/>
        </w:rPr>
        <w:t xml:space="preserve">. </w:t>
      </w:r>
    </w:p>
    <w:p w:rsidR="00EF6EF1" w:rsidRPr="00EF6EF1" w:rsidRDefault="00EF6EF1" w:rsidP="00832B89">
      <w:pPr>
        <w:pStyle w:val="NoSpacing"/>
        <w:spacing w:line="360" w:lineRule="auto"/>
        <w:jc w:val="both"/>
        <w:rPr>
          <w:rFonts w:ascii="Arial" w:hAnsi="Arial" w:cs="Arial"/>
          <w:sz w:val="24"/>
          <w:szCs w:val="24"/>
        </w:rPr>
      </w:pPr>
    </w:p>
    <w:p w:rsidR="00EF6EF1" w:rsidRPr="00EF6EF1" w:rsidRDefault="00EF6EF1" w:rsidP="00832B89">
      <w:pPr>
        <w:pStyle w:val="NoSpacing"/>
        <w:spacing w:line="360" w:lineRule="auto"/>
        <w:jc w:val="both"/>
        <w:rPr>
          <w:rFonts w:ascii="Arial" w:hAnsi="Arial" w:cs="Arial"/>
          <w:sz w:val="24"/>
          <w:szCs w:val="24"/>
        </w:rPr>
      </w:pPr>
      <w:r w:rsidRPr="00EF6EF1">
        <w:rPr>
          <w:rFonts w:ascii="Arial" w:hAnsi="Arial" w:cs="Arial"/>
          <w:sz w:val="24"/>
          <w:szCs w:val="24"/>
        </w:rPr>
        <w:t xml:space="preserve">The court concluded that Parliament cannot be expected to deal with all details of implementing legislation and involve itself in the minute details of the </w:t>
      </w:r>
      <w:r w:rsidR="001A666A">
        <w:rPr>
          <w:rFonts w:ascii="Arial" w:hAnsi="Arial" w:cs="Arial"/>
          <w:sz w:val="24"/>
          <w:szCs w:val="24"/>
        </w:rPr>
        <w:t>tax</w:t>
      </w:r>
      <w:r w:rsidRPr="00EF6EF1">
        <w:rPr>
          <w:rFonts w:ascii="Arial" w:hAnsi="Arial" w:cs="Arial"/>
          <w:sz w:val="24"/>
          <w:szCs w:val="24"/>
        </w:rPr>
        <w:t xml:space="preserve"> and that there was nothing in the Constitution which prohibits Parliament from delegating subordinate regulatory authority to the Minister</w:t>
      </w:r>
      <w:r w:rsidR="001A666A">
        <w:rPr>
          <w:rFonts w:ascii="Arial" w:hAnsi="Arial" w:cs="Arial"/>
          <w:sz w:val="24"/>
          <w:szCs w:val="24"/>
        </w:rPr>
        <w:t xml:space="preserve"> to address</w:t>
      </w:r>
      <w:r w:rsidR="00832B89">
        <w:rPr>
          <w:rFonts w:ascii="Arial" w:hAnsi="Arial" w:cs="Arial"/>
          <w:sz w:val="24"/>
          <w:szCs w:val="24"/>
        </w:rPr>
        <w:t xml:space="preserve"> the administration and collection of the tax</w:t>
      </w:r>
      <w:r w:rsidRPr="00EF6EF1">
        <w:rPr>
          <w:rFonts w:ascii="Arial" w:hAnsi="Arial" w:cs="Arial"/>
          <w:sz w:val="24"/>
          <w:szCs w:val="24"/>
        </w:rPr>
        <w:t xml:space="preserve">. </w:t>
      </w:r>
    </w:p>
    <w:p w:rsidR="00EF6EF1" w:rsidRPr="00EF6EF1" w:rsidRDefault="00EF6EF1" w:rsidP="00832B89">
      <w:pPr>
        <w:spacing w:after="0" w:line="360" w:lineRule="auto"/>
        <w:jc w:val="both"/>
        <w:rPr>
          <w:rFonts w:ascii="Arial" w:hAnsi="Arial" w:cs="Arial"/>
          <w:sz w:val="24"/>
          <w:szCs w:val="24"/>
        </w:rPr>
      </w:pPr>
    </w:p>
    <w:p w:rsidR="00EF6EF1" w:rsidRPr="00EF6EF1" w:rsidRDefault="00832B89" w:rsidP="00832B89">
      <w:pPr>
        <w:spacing w:after="0" w:line="360" w:lineRule="auto"/>
        <w:jc w:val="both"/>
        <w:rPr>
          <w:rFonts w:ascii="Arial" w:hAnsi="Arial" w:cs="Arial"/>
          <w:sz w:val="24"/>
          <w:szCs w:val="24"/>
        </w:rPr>
      </w:pPr>
      <w:r>
        <w:rPr>
          <w:rFonts w:ascii="Arial" w:hAnsi="Arial" w:cs="Arial"/>
          <w:sz w:val="24"/>
          <w:szCs w:val="24"/>
        </w:rPr>
        <w:t>T</w:t>
      </w:r>
      <w:r w:rsidR="00EF6EF1" w:rsidRPr="00EF6EF1">
        <w:rPr>
          <w:rFonts w:ascii="Arial" w:hAnsi="Arial" w:cs="Arial"/>
          <w:sz w:val="24"/>
          <w:szCs w:val="24"/>
        </w:rPr>
        <w:t xml:space="preserve">he </w:t>
      </w:r>
      <w:r w:rsidR="001A666A">
        <w:rPr>
          <w:rFonts w:ascii="Arial" w:hAnsi="Arial" w:cs="Arial"/>
          <w:sz w:val="24"/>
          <w:szCs w:val="24"/>
        </w:rPr>
        <w:t xml:space="preserve">approach of the </w:t>
      </w:r>
      <w:r w:rsidR="00EF6EF1" w:rsidRPr="00EF6EF1">
        <w:rPr>
          <w:rFonts w:ascii="Arial" w:hAnsi="Arial" w:cs="Arial"/>
          <w:sz w:val="24"/>
          <w:szCs w:val="24"/>
        </w:rPr>
        <w:t xml:space="preserve">High Court </w:t>
      </w:r>
      <w:r>
        <w:rPr>
          <w:rFonts w:ascii="Arial" w:hAnsi="Arial" w:cs="Arial"/>
          <w:sz w:val="24"/>
          <w:szCs w:val="24"/>
        </w:rPr>
        <w:t>is</w:t>
      </w:r>
      <w:r w:rsidR="00EF6EF1" w:rsidRPr="00EF6EF1">
        <w:rPr>
          <w:rFonts w:ascii="Arial" w:hAnsi="Arial" w:cs="Arial"/>
          <w:sz w:val="24"/>
          <w:szCs w:val="24"/>
        </w:rPr>
        <w:t xml:space="preserve"> thus correct.</w:t>
      </w:r>
    </w:p>
    <w:p w:rsidR="00EF6EF1" w:rsidRPr="00EF6EF1" w:rsidRDefault="00EF6EF1" w:rsidP="00832B89">
      <w:pPr>
        <w:spacing w:after="0" w:line="360" w:lineRule="auto"/>
        <w:jc w:val="both"/>
        <w:rPr>
          <w:rFonts w:ascii="Arial" w:hAnsi="Arial" w:cs="Arial"/>
          <w:sz w:val="24"/>
          <w:szCs w:val="24"/>
        </w:rPr>
      </w:pPr>
    </w:p>
    <w:p w:rsidR="00EF6EF1" w:rsidRPr="00EF6EF1" w:rsidRDefault="00EF6EF1" w:rsidP="00832B89">
      <w:pPr>
        <w:spacing w:after="0" w:line="360" w:lineRule="auto"/>
        <w:jc w:val="both"/>
        <w:rPr>
          <w:rFonts w:ascii="Arial" w:hAnsi="Arial" w:cs="Arial"/>
          <w:sz w:val="24"/>
          <w:szCs w:val="24"/>
        </w:rPr>
      </w:pPr>
      <w:r w:rsidRPr="00EF6EF1">
        <w:rPr>
          <w:rFonts w:ascii="Arial" w:hAnsi="Arial" w:cs="Arial"/>
          <w:sz w:val="24"/>
          <w:szCs w:val="24"/>
        </w:rPr>
        <w:t>With regard to the challenge against s 76B being an impermissible delegation in conflict with the constitutional principle of equality and Art 22(b) of the Constitution.</w:t>
      </w:r>
    </w:p>
    <w:p w:rsidR="00EF6EF1" w:rsidRPr="00EF6EF1" w:rsidRDefault="00EF6EF1" w:rsidP="00832B89">
      <w:pPr>
        <w:spacing w:after="0" w:line="360" w:lineRule="auto"/>
        <w:jc w:val="both"/>
        <w:rPr>
          <w:rFonts w:ascii="Arial" w:hAnsi="Arial" w:cs="Arial"/>
          <w:sz w:val="24"/>
          <w:szCs w:val="24"/>
        </w:rPr>
      </w:pPr>
    </w:p>
    <w:p w:rsidR="00EF6EF1" w:rsidRPr="00EF6EF1" w:rsidRDefault="00EF6EF1" w:rsidP="00832B89">
      <w:pPr>
        <w:pStyle w:val="Header"/>
        <w:spacing w:line="360" w:lineRule="auto"/>
        <w:jc w:val="both"/>
        <w:rPr>
          <w:rFonts w:ascii="Arial" w:hAnsi="Arial" w:cs="Arial"/>
          <w:sz w:val="24"/>
          <w:szCs w:val="24"/>
        </w:rPr>
      </w:pPr>
      <w:r w:rsidRPr="00EF6EF1">
        <w:rPr>
          <w:rFonts w:ascii="Arial" w:hAnsi="Arial" w:cs="Arial"/>
          <w:i/>
          <w:sz w:val="24"/>
          <w:szCs w:val="24"/>
        </w:rPr>
        <w:t>It is held that</w:t>
      </w:r>
      <w:r w:rsidRPr="00EF6EF1">
        <w:rPr>
          <w:rFonts w:ascii="Arial" w:hAnsi="Arial" w:cs="Arial"/>
          <w:sz w:val="24"/>
          <w:szCs w:val="24"/>
        </w:rPr>
        <w:t xml:space="preserve">, Art 23(2) of the Constitution authorises parliament to enact legislation to </w:t>
      </w:r>
      <w:r w:rsidR="00832B89">
        <w:rPr>
          <w:rFonts w:ascii="Arial" w:hAnsi="Arial" w:cs="Arial"/>
          <w:sz w:val="24"/>
          <w:szCs w:val="24"/>
        </w:rPr>
        <w:t xml:space="preserve">provide </w:t>
      </w:r>
      <w:r w:rsidRPr="00EF6EF1">
        <w:rPr>
          <w:rFonts w:ascii="Arial" w:hAnsi="Arial" w:cs="Arial"/>
          <w:sz w:val="24"/>
          <w:szCs w:val="24"/>
        </w:rPr>
        <w:t>indirectly for the advancement of previously disadvantage persons. This s 76B does by empowering the Minister upon application to exempt such landowners from land tax. The challenge to s 76B accordingly failed.</w:t>
      </w:r>
    </w:p>
    <w:p w:rsidR="00EF6EF1" w:rsidRPr="00EF6EF1" w:rsidRDefault="00EF6EF1" w:rsidP="00832B89">
      <w:pPr>
        <w:pStyle w:val="Header"/>
        <w:spacing w:line="360" w:lineRule="auto"/>
        <w:jc w:val="both"/>
        <w:rPr>
          <w:rFonts w:ascii="Arial" w:hAnsi="Arial" w:cs="Arial"/>
          <w:sz w:val="24"/>
          <w:szCs w:val="24"/>
        </w:rPr>
      </w:pPr>
    </w:p>
    <w:p w:rsidR="00EF6EF1" w:rsidRPr="00EF6EF1" w:rsidRDefault="00EF6EF1" w:rsidP="00832B89">
      <w:pPr>
        <w:pStyle w:val="NoSpacing"/>
        <w:spacing w:line="360" w:lineRule="auto"/>
        <w:jc w:val="both"/>
        <w:rPr>
          <w:rFonts w:ascii="Arial" w:hAnsi="Arial" w:cs="Arial"/>
          <w:sz w:val="24"/>
          <w:szCs w:val="24"/>
        </w:rPr>
      </w:pPr>
      <w:r w:rsidRPr="00EF6EF1">
        <w:rPr>
          <w:rFonts w:ascii="Arial" w:hAnsi="Arial" w:cs="Arial"/>
          <w:sz w:val="24"/>
          <w:szCs w:val="24"/>
        </w:rPr>
        <w:t xml:space="preserve">The regulations challenged by the appellants set out how the land tax is to be administered. They provide for the valuation of agricultural land, the appointment, powers and duties of a valuer and the process of valuation, objections against values included in a provisional valuation roll, the establishment, powers and duties of the valuation court appointed to consider and determine objections against </w:t>
      </w:r>
      <w:r w:rsidRPr="00EF6EF1">
        <w:rPr>
          <w:rFonts w:ascii="Arial" w:hAnsi="Arial" w:cs="Arial"/>
          <w:sz w:val="24"/>
          <w:szCs w:val="24"/>
        </w:rPr>
        <w:lastRenderedPageBreak/>
        <w:t>valuations, appeals from that court to the High Court, the validity of the valuation roll and alternations to it. The regulations also provide for the furnishing of returns and the assessment of land tax, rebates and interest on tax, its recovery and the service of notices. Appellant in essence argued reg 4(4), reg (7)(a) and (b), reg 4(9)(b), reg 4(13) and reg 6(8), reg 13(1), reg 14(1) and (3), reg 15(b) offended against constitutional provisions or principles relied upon or the common law.</w:t>
      </w:r>
    </w:p>
    <w:p w:rsidR="00EF6EF1" w:rsidRPr="00EF6EF1" w:rsidRDefault="00EF6EF1" w:rsidP="00832B89">
      <w:pPr>
        <w:pStyle w:val="Header"/>
        <w:spacing w:line="360" w:lineRule="auto"/>
        <w:jc w:val="both"/>
        <w:rPr>
          <w:rFonts w:ascii="Arial" w:hAnsi="Arial" w:cs="Arial"/>
          <w:i/>
          <w:sz w:val="24"/>
          <w:szCs w:val="24"/>
        </w:rPr>
      </w:pPr>
    </w:p>
    <w:p w:rsidR="00EF6EF1" w:rsidRPr="00EF6EF1" w:rsidRDefault="00EF6EF1" w:rsidP="00832B89">
      <w:pPr>
        <w:pStyle w:val="Header"/>
        <w:spacing w:line="360" w:lineRule="auto"/>
        <w:jc w:val="both"/>
        <w:rPr>
          <w:rFonts w:ascii="Arial" w:hAnsi="Arial" w:cs="Arial"/>
          <w:sz w:val="24"/>
          <w:szCs w:val="24"/>
        </w:rPr>
      </w:pPr>
      <w:r w:rsidRPr="00EF6EF1">
        <w:rPr>
          <w:rFonts w:ascii="Arial" w:hAnsi="Arial" w:cs="Arial"/>
          <w:i/>
          <w:sz w:val="24"/>
          <w:szCs w:val="24"/>
        </w:rPr>
        <w:t>It is held that</w:t>
      </w:r>
      <w:r w:rsidRPr="00EF6EF1">
        <w:rPr>
          <w:rFonts w:ascii="Arial" w:hAnsi="Arial" w:cs="Arial"/>
          <w:sz w:val="24"/>
          <w:szCs w:val="24"/>
        </w:rPr>
        <w:t>, appellant failed to show how each of these</w:t>
      </w:r>
      <w:r w:rsidR="001A666A">
        <w:rPr>
          <w:rFonts w:ascii="Arial" w:hAnsi="Arial" w:cs="Arial"/>
          <w:sz w:val="24"/>
          <w:szCs w:val="24"/>
        </w:rPr>
        <w:t xml:space="preserve"> impugned</w:t>
      </w:r>
      <w:r w:rsidRPr="00EF6EF1">
        <w:rPr>
          <w:rFonts w:ascii="Arial" w:hAnsi="Arial" w:cs="Arial"/>
          <w:sz w:val="24"/>
          <w:szCs w:val="24"/>
        </w:rPr>
        <w:t xml:space="preserve"> regulations offended against constitutional provisions and principles relied upon or common law. The challenges were found to be without merit and the approach of the court </w:t>
      </w:r>
      <w:r w:rsidRPr="00EF6EF1">
        <w:rPr>
          <w:rFonts w:ascii="Arial" w:hAnsi="Arial" w:cs="Arial"/>
          <w:i/>
          <w:sz w:val="24"/>
          <w:szCs w:val="24"/>
        </w:rPr>
        <w:t>a quo</w:t>
      </w:r>
      <w:r w:rsidRPr="00EF6EF1">
        <w:rPr>
          <w:rFonts w:ascii="Arial" w:hAnsi="Arial" w:cs="Arial"/>
          <w:sz w:val="24"/>
          <w:szCs w:val="24"/>
        </w:rPr>
        <w:t xml:space="preserve"> upheld.</w:t>
      </w:r>
    </w:p>
    <w:p w:rsidR="00EF6EF1" w:rsidRPr="00EF6EF1" w:rsidRDefault="00EF6EF1" w:rsidP="00832B89">
      <w:pPr>
        <w:pStyle w:val="Header"/>
        <w:spacing w:line="360" w:lineRule="auto"/>
        <w:jc w:val="both"/>
        <w:rPr>
          <w:rFonts w:ascii="Arial" w:hAnsi="Arial" w:cs="Arial"/>
          <w:i/>
          <w:sz w:val="24"/>
          <w:szCs w:val="24"/>
        </w:rPr>
      </w:pPr>
    </w:p>
    <w:p w:rsidR="00EF6EF1" w:rsidRPr="00EF6EF1" w:rsidRDefault="00EF6EF1" w:rsidP="00832B89">
      <w:pPr>
        <w:pStyle w:val="Header"/>
        <w:spacing w:line="360" w:lineRule="auto"/>
        <w:jc w:val="both"/>
        <w:rPr>
          <w:rFonts w:ascii="Arial" w:hAnsi="Arial" w:cs="Arial"/>
          <w:sz w:val="24"/>
          <w:szCs w:val="24"/>
        </w:rPr>
      </w:pPr>
      <w:r w:rsidRPr="00EF6EF1">
        <w:rPr>
          <w:rFonts w:ascii="Arial" w:hAnsi="Arial" w:cs="Arial"/>
          <w:i/>
          <w:sz w:val="24"/>
          <w:szCs w:val="24"/>
        </w:rPr>
        <w:t>It is further held that</w:t>
      </w:r>
      <w:r w:rsidRPr="00EF6EF1">
        <w:rPr>
          <w:rFonts w:ascii="Arial" w:hAnsi="Arial" w:cs="Arial"/>
          <w:sz w:val="24"/>
          <w:szCs w:val="24"/>
        </w:rPr>
        <w:t xml:space="preserve">, the multiple </w:t>
      </w:r>
      <w:r w:rsidR="00832B89">
        <w:rPr>
          <w:rFonts w:ascii="Arial" w:hAnsi="Arial" w:cs="Arial"/>
          <w:sz w:val="24"/>
          <w:szCs w:val="24"/>
        </w:rPr>
        <w:t xml:space="preserve">further </w:t>
      </w:r>
      <w:r w:rsidRPr="00EF6EF1">
        <w:rPr>
          <w:rFonts w:ascii="Arial" w:hAnsi="Arial" w:cs="Arial"/>
          <w:sz w:val="24"/>
          <w:szCs w:val="24"/>
        </w:rPr>
        <w:t>applications brought under the different case numbers were also without merit and the court a quo did not err in dismissing them.</w:t>
      </w:r>
    </w:p>
    <w:p w:rsidR="00EF6EF1" w:rsidRPr="00EF6EF1" w:rsidRDefault="00EF6EF1" w:rsidP="00832B89">
      <w:pPr>
        <w:spacing w:after="0" w:line="360" w:lineRule="auto"/>
        <w:jc w:val="both"/>
        <w:rPr>
          <w:rFonts w:ascii="Arial" w:hAnsi="Arial" w:cs="Arial"/>
          <w:bCs/>
          <w:sz w:val="24"/>
          <w:szCs w:val="24"/>
        </w:rPr>
      </w:pPr>
    </w:p>
    <w:p w:rsidR="00EF6EF1" w:rsidRPr="00EF6EF1" w:rsidRDefault="00EF6EF1" w:rsidP="00832B89">
      <w:pPr>
        <w:pStyle w:val="NoSpacing"/>
        <w:spacing w:line="360" w:lineRule="auto"/>
        <w:jc w:val="both"/>
        <w:rPr>
          <w:rFonts w:ascii="Arial" w:hAnsi="Arial" w:cs="Arial"/>
          <w:sz w:val="24"/>
          <w:szCs w:val="24"/>
        </w:rPr>
      </w:pPr>
      <w:r w:rsidRPr="00EF6EF1">
        <w:rPr>
          <w:rFonts w:ascii="Arial" w:hAnsi="Arial" w:cs="Arial"/>
          <w:bCs/>
          <w:i/>
          <w:sz w:val="24"/>
          <w:szCs w:val="24"/>
        </w:rPr>
        <w:t>Held further</w:t>
      </w:r>
      <w:r w:rsidRPr="00EF6EF1">
        <w:rPr>
          <w:rFonts w:ascii="Arial" w:hAnsi="Arial" w:cs="Arial"/>
          <w:bCs/>
          <w:sz w:val="24"/>
          <w:szCs w:val="24"/>
        </w:rPr>
        <w:t xml:space="preserve"> </w:t>
      </w:r>
      <w:r w:rsidRPr="00EF6EF1">
        <w:rPr>
          <w:rFonts w:ascii="Arial" w:hAnsi="Arial" w:cs="Arial"/>
          <w:bCs/>
          <w:i/>
          <w:sz w:val="24"/>
          <w:szCs w:val="24"/>
        </w:rPr>
        <w:t>that</w:t>
      </w:r>
      <w:r w:rsidRPr="00EF6EF1">
        <w:rPr>
          <w:rFonts w:ascii="Arial" w:hAnsi="Arial" w:cs="Arial"/>
          <w:bCs/>
          <w:sz w:val="24"/>
          <w:szCs w:val="24"/>
        </w:rPr>
        <w:t xml:space="preserve">, in exercising the court’s discretion with respect to costs, this court found it unnecessary to decide whether </w:t>
      </w:r>
      <w:r w:rsidR="00832B89">
        <w:rPr>
          <w:rFonts w:ascii="Arial" w:hAnsi="Arial" w:cs="Arial"/>
          <w:bCs/>
          <w:sz w:val="24"/>
          <w:szCs w:val="24"/>
        </w:rPr>
        <w:t xml:space="preserve">to adopt </w:t>
      </w:r>
      <w:r w:rsidRPr="00EF6EF1">
        <w:rPr>
          <w:rFonts w:ascii="Arial" w:hAnsi="Arial" w:cs="Arial"/>
          <w:bCs/>
          <w:sz w:val="24"/>
          <w:szCs w:val="24"/>
        </w:rPr>
        <w:t xml:space="preserve">the general rule developed by the South African Constitutional Court as confirmed in </w:t>
      </w:r>
      <w:r w:rsidRPr="00EF6EF1">
        <w:rPr>
          <w:rFonts w:ascii="Arial" w:hAnsi="Arial" w:cs="Arial"/>
          <w:bCs/>
          <w:i/>
          <w:sz w:val="24"/>
          <w:szCs w:val="24"/>
        </w:rPr>
        <w:t>Biowatch Trust v Registrar, Genetics Resources</w:t>
      </w:r>
      <w:r w:rsidRPr="00EF6EF1">
        <w:rPr>
          <w:rFonts w:ascii="Arial" w:hAnsi="Arial" w:cs="Arial"/>
          <w:bCs/>
          <w:sz w:val="24"/>
          <w:szCs w:val="24"/>
        </w:rPr>
        <w:t xml:space="preserve"> namely that in constitutional litigation, an unsuccessful litigant asserting constitutional rights ought not ordinarily to be ordered to pay costs. This was because of t</w:t>
      </w:r>
      <w:r w:rsidRPr="00EF6EF1">
        <w:rPr>
          <w:rFonts w:ascii="Arial" w:hAnsi="Arial" w:cs="Arial"/>
          <w:sz w:val="24"/>
          <w:szCs w:val="24"/>
        </w:rPr>
        <w:t xml:space="preserve">he manner in which the multiple applications were pursued which amounted at the minimum to be within the category of manifestly inappropriate and thus outside the scope of </w:t>
      </w:r>
      <w:r w:rsidRPr="00EF6EF1">
        <w:rPr>
          <w:rFonts w:ascii="Arial" w:hAnsi="Arial" w:cs="Arial"/>
          <w:i/>
          <w:sz w:val="24"/>
          <w:szCs w:val="24"/>
        </w:rPr>
        <w:t>Biowatch</w:t>
      </w:r>
      <w:r w:rsidRPr="00EF6EF1">
        <w:rPr>
          <w:rFonts w:ascii="Arial" w:hAnsi="Arial" w:cs="Arial"/>
          <w:sz w:val="24"/>
          <w:szCs w:val="24"/>
        </w:rPr>
        <w:t xml:space="preserve">. The conduct and unnecessary proliferation of this litigation are to be discouraged, resulting in considerable costs and judicial time being spent upon it. </w:t>
      </w:r>
    </w:p>
    <w:p w:rsidR="00EF6EF1" w:rsidRPr="00EF6EF1" w:rsidRDefault="00EF6EF1" w:rsidP="00832B89">
      <w:pPr>
        <w:pStyle w:val="NoSpacing"/>
        <w:spacing w:line="360" w:lineRule="auto"/>
        <w:jc w:val="both"/>
        <w:rPr>
          <w:rFonts w:ascii="Arial" w:hAnsi="Arial" w:cs="Arial"/>
          <w:sz w:val="24"/>
          <w:szCs w:val="24"/>
        </w:rPr>
      </w:pPr>
    </w:p>
    <w:p w:rsidR="00EF6EF1" w:rsidRPr="00EF6EF1" w:rsidRDefault="00EF6EF1" w:rsidP="00832B89">
      <w:pPr>
        <w:spacing w:line="360" w:lineRule="auto"/>
        <w:jc w:val="both"/>
        <w:rPr>
          <w:rFonts w:ascii="Arial" w:hAnsi="Arial" w:cs="Arial"/>
          <w:bCs/>
          <w:sz w:val="24"/>
          <w:szCs w:val="24"/>
        </w:rPr>
      </w:pPr>
      <w:r w:rsidRPr="00EF6EF1">
        <w:rPr>
          <w:rFonts w:ascii="Arial" w:hAnsi="Arial" w:cs="Arial"/>
          <w:bCs/>
          <w:i/>
          <w:sz w:val="24"/>
          <w:szCs w:val="24"/>
        </w:rPr>
        <w:t>It is thus held that</w:t>
      </w:r>
      <w:r w:rsidRPr="00EF6EF1">
        <w:rPr>
          <w:rFonts w:ascii="Arial" w:hAnsi="Arial" w:cs="Arial"/>
          <w:bCs/>
          <w:sz w:val="24"/>
          <w:szCs w:val="24"/>
        </w:rPr>
        <w:t>, the appeal is dismissed with costs (the costs are to include the costs of one instructing and two instructed counsel).</w:t>
      </w:r>
    </w:p>
    <w:p w:rsidR="00EF6EF1" w:rsidRPr="001C25CA" w:rsidRDefault="00EF6EF1" w:rsidP="007F6CEC">
      <w:pPr>
        <w:pStyle w:val="NoSpacing"/>
        <w:spacing w:line="480" w:lineRule="auto"/>
        <w:jc w:val="both"/>
        <w:rPr>
          <w:rFonts w:ascii="Arial" w:hAnsi="Arial" w:cs="Arial"/>
          <w:sz w:val="24"/>
          <w:szCs w:val="24"/>
        </w:rPr>
      </w:pPr>
    </w:p>
    <w:p w:rsidR="008C3367" w:rsidRPr="001C25CA" w:rsidRDefault="008C3367" w:rsidP="00594EA3">
      <w:pPr>
        <w:pBdr>
          <w:top w:val="single" w:sz="12" w:space="1" w:color="auto"/>
          <w:bottom w:val="single" w:sz="12" w:space="1" w:color="auto"/>
        </w:pBdr>
        <w:spacing w:after="0" w:line="240" w:lineRule="auto"/>
        <w:jc w:val="both"/>
        <w:rPr>
          <w:rFonts w:ascii="Arial" w:hAnsi="Arial" w:cs="Arial"/>
          <w:b/>
          <w:sz w:val="24"/>
          <w:szCs w:val="24"/>
        </w:rPr>
      </w:pPr>
    </w:p>
    <w:p w:rsidR="008C3367" w:rsidRPr="001C25CA" w:rsidRDefault="008C3367" w:rsidP="00594EA3">
      <w:pPr>
        <w:pBdr>
          <w:top w:val="single" w:sz="12" w:space="1" w:color="auto"/>
          <w:bottom w:val="single" w:sz="12" w:space="1" w:color="auto"/>
        </w:pBdr>
        <w:spacing w:after="0" w:line="240" w:lineRule="auto"/>
        <w:jc w:val="center"/>
        <w:rPr>
          <w:rFonts w:ascii="Arial" w:hAnsi="Arial" w:cs="Arial"/>
          <w:b/>
          <w:sz w:val="24"/>
          <w:szCs w:val="24"/>
        </w:rPr>
      </w:pPr>
      <w:r w:rsidRPr="001C25CA">
        <w:rPr>
          <w:rFonts w:ascii="Arial" w:hAnsi="Arial" w:cs="Arial"/>
          <w:b/>
          <w:sz w:val="24"/>
          <w:szCs w:val="24"/>
        </w:rPr>
        <w:t>APPEAL JUDGMENT</w:t>
      </w:r>
    </w:p>
    <w:p w:rsidR="008C3367" w:rsidRPr="001C25CA" w:rsidRDefault="008C3367" w:rsidP="00594EA3">
      <w:pPr>
        <w:pBdr>
          <w:top w:val="single" w:sz="12" w:space="1" w:color="auto"/>
          <w:bottom w:val="single" w:sz="12" w:space="1" w:color="auto"/>
        </w:pBdr>
        <w:spacing w:after="0" w:line="240" w:lineRule="auto"/>
        <w:jc w:val="both"/>
        <w:rPr>
          <w:rFonts w:ascii="Arial" w:hAnsi="Arial" w:cs="Arial"/>
          <w:b/>
          <w:sz w:val="24"/>
          <w:szCs w:val="24"/>
        </w:rPr>
      </w:pPr>
    </w:p>
    <w:p w:rsidR="00B40CD3" w:rsidRPr="001C25CA" w:rsidRDefault="00B40CD3" w:rsidP="00A26B21">
      <w:pPr>
        <w:pStyle w:val="NoSpacing"/>
        <w:rPr>
          <w:rFonts w:ascii="Arial" w:hAnsi="Arial" w:cs="Arial"/>
          <w:sz w:val="24"/>
          <w:szCs w:val="24"/>
        </w:rPr>
      </w:pPr>
    </w:p>
    <w:p w:rsidR="008C3367" w:rsidRPr="001C25CA" w:rsidRDefault="008C3367" w:rsidP="00395B99">
      <w:pPr>
        <w:spacing w:line="480" w:lineRule="auto"/>
        <w:jc w:val="both"/>
        <w:rPr>
          <w:rFonts w:ascii="Arial" w:hAnsi="Arial" w:cs="Arial"/>
          <w:sz w:val="24"/>
          <w:szCs w:val="24"/>
        </w:rPr>
      </w:pPr>
      <w:r w:rsidRPr="001C25CA">
        <w:rPr>
          <w:rFonts w:ascii="Arial" w:hAnsi="Arial" w:cs="Arial"/>
          <w:sz w:val="24"/>
          <w:szCs w:val="24"/>
        </w:rPr>
        <w:lastRenderedPageBreak/>
        <w:t>SMUTS JA (</w:t>
      </w:r>
      <w:r w:rsidR="002212AD" w:rsidRPr="001C25CA">
        <w:rPr>
          <w:rFonts w:ascii="Arial" w:hAnsi="Arial" w:cs="Arial"/>
          <w:sz w:val="24"/>
          <w:szCs w:val="24"/>
        </w:rPr>
        <w:t>MAINGA JA</w:t>
      </w:r>
      <w:r w:rsidR="00451609" w:rsidRPr="001C25CA">
        <w:rPr>
          <w:rFonts w:ascii="Arial" w:hAnsi="Arial" w:cs="Arial"/>
          <w:sz w:val="24"/>
          <w:szCs w:val="24"/>
        </w:rPr>
        <w:t xml:space="preserve"> and</w:t>
      </w:r>
      <w:r w:rsidRPr="001C25CA">
        <w:rPr>
          <w:rFonts w:ascii="Arial" w:hAnsi="Arial" w:cs="Arial"/>
          <w:sz w:val="24"/>
          <w:szCs w:val="24"/>
        </w:rPr>
        <w:t xml:space="preserve"> </w:t>
      </w:r>
      <w:r w:rsidR="002212AD" w:rsidRPr="001C25CA">
        <w:rPr>
          <w:rFonts w:ascii="Arial" w:hAnsi="Arial" w:cs="Arial"/>
          <w:sz w:val="24"/>
          <w:szCs w:val="24"/>
        </w:rPr>
        <w:t>MOKGORO</w:t>
      </w:r>
      <w:r w:rsidR="008B2795" w:rsidRPr="001C25CA">
        <w:rPr>
          <w:rFonts w:ascii="Arial" w:hAnsi="Arial" w:cs="Arial"/>
          <w:sz w:val="24"/>
          <w:szCs w:val="24"/>
        </w:rPr>
        <w:t xml:space="preserve"> </w:t>
      </w:r>
      <w:r w:rsidR="00CB754A" w:rsidRPr="001C25CA">
        <w:rPr>
          <w:rFonts w:ascii="Arial" w:hAnsi="Arial" w:cs="Arial"/>
          <w:sz w:val="24"/>
          <w:szCs w:val="24"/>
        </w:rPr>
        <w:t>A</w:t>
      </w:r>
      <w:r w:rsidR="008B2795" w:rsidRPr="001C25CA">
        <w:rPr>
          <w:rFonts w:ascii="Arial" w:hAnsi="Arial" w:cs="Arial"/>
          <w:sz w:val="24"/>
          <w:szCs w:val="24"/>
        </w:rPr>
        <w:t>JA</w:t>
      </w:r>
      <w:r w:rsidRPr="001C25CA">
        <w:rPr>
          <w:rFonts w:ascii="Arial" w:hAnsi="Arial" w:cs="Arial"/>
          <w:sz w:val="24"/>
          <w:szCs w:val="24"/>
        </w:rPr>
        <w:t xml:space="preserve"> concurring):</w:t>
      </w:r>
    </w:p>
    <w:p w:rsidR="003D6A9C" w:rsidRPr="001C25CA" w:rsidRDefault="002212AD"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At issue in this appeal is the constitutionality of the land reform and transformation programme </w:t>
      </w:r>
      <w:r w:rsidR="00A92144" w:rsidRPr="001C25CA">
        <w:rPr>
          <w:rFonts w:ascii="Arial" w:hAnsi="Arial" w:cs="Arial"/>
          <w:sz w:val="24"/>
          <w:szCs w:val="24"/>
        </w:rPr>
        <w:t>of</w:t>
      </w:r>
      <w:r w:rsidRPr="001C25CA">
        <w:rPr>
          <w:rFonts w:ascii="Arial" w:hAnsi="Arial" w:cs="Arial"/>
          <w:sz w:val="24"/>
          <w:szCs w:val="24"/>
        </w:rPr>
        <w:t xml:space="preserve"> the Government of Namibia. Although a wide ranging attack upon the programme has bee</w:t>
      </w:r>
      <w:r w:rsidR="00A92144" w:rsidRPr="001C25CA">
        <w:rPr>
          <w:rFonts w:ascii="Arial" w:hAnsi="Arial" w:cs="Arial"/>
          <w:sz w:val="24"/>
          <w:szCs w:val="24"/>
        </w:rPr>
        <w:t>n</w:t>
      </w:r>
      <w:r w:rsidRPr="001C25CA">
        <w:rPr>
          <w:rFonts w:ascii="Arial" w:hAnsi="Arial" w:cs="Arial"/>
          <w:sz w:val="24"/>
          <w:szCs w:val="24"/>
        </w:rPr>
        <w:t xml:space="preserve"> made by the appellant, its main thrust is directed against sections 76 to 80 of the Agricultural (Commercial) Land Reform Act, 6 of 1995 (‘the Act’) which provide for the imposition of land tax. The appellant contends that the system of land tax imposed </w:t>
      </w:r>
      <w:r w:rsidR="00A106B4">
        <w:rPr>
          <w:rFonts w:ascii="Arial" w:hAnsi="Arial" w:cs="Arial"/>
          <w:sz w:val="24"/>
          <w:szCs w:val="24"/>
        </w:rPr>
        <w:t>under</w:t>
      </w:r>
      <w:r w:rsidRPr="001C25CA">
        <w:rPr>
          <w:rFonts w:ascii="Arial" w:hAnsi="Arial" w:cs="Arial"/>
          <w:sz w:val="24"/>
          <w:szCs w:val="24"/>
        </w:rPr>
        <w:t xml:space="preserve"> the Act was not duly enacted by the legislative branch and</w:t>
      </w:r>
      <w:r w:rsidR="000F61A4">
        <w:rPr>
          <w:rFonts w:ascii="Arial" w:hAnsi="Arial" w:cs="Arial"/>
          <w:sz w:val="24"/>
          <w:szCs w:val="24"/>
        </w:rPr>
        <w:t xml:space="preserve"> is</w:t>
      </w:r>
      <w:r w:rsidRPr="001C25CA">
        <w:rPr>
          <w:rFonts w:ascii="Arial" w:hAnsi="Arial" w:cs="Arial"/>
          <w:sz w:val="24"/>
          <w:szCs w:val="24"/>
        </w:rPr>
        <w:t xml:space="preserve"> </w:t>
      </w:r>
      <w:r w:rsidR="00A92144" w:rsidRPr="001C25CA">
        <w:rPr>
          <w:rFonts w:ascii="Arial" w:hAnsi="Arial" w:cs="Arial"/>
          <w:sz w:val="24"/>
          <w:szCs w:val="24"/>
        </w:rPr>
        <w:t xml:space="preserve">in </w:t>
      </w:r>
      <w:r w:rsidRPr="001C25CA">
        <w:rPr>
          <w:rFonts w:ascii="Arial" w:hAnsi="Arial" w:cs="Arial"/>
          <w:sz w:val="24"/>
          <w:szCs w:val="24"/>
        </w:rPr>
        <w:t xml:space="preserve">conflict with Art 63 of the Constitution which vests the </w:t>
      </w:r>
      <w:r w:rsidR="00A92144" w:rsidRPr="001C25CA">
        <w:rPr>
          <w:rFonts w:ascii="Arial" w:hAnsi="Arial" w:cs="Arial"/>
          <w:sz w:val="24"/>
          <w:szCs w:val="24"/>
        </w:rPr>
        <w:t xml:space="preserve">National Assembly with </w:t>
      </w:r>
      <w:r w:rsidR="00AE6161">
        <w:rPr>
          <w:rFonts w:ascii="Arial" w:hAnsi="Arial" w:cs="Arial"/>
          <w:sz w:val="24"/>
          <w:szCs w:val="24"/>
        </w:rPr>
        <w:t xml:space="preserve">the </w:t>
      </w:r>
      <w:r w:rsidRPr="001C25CA">
        <w:rPr>
          <w:rFonts w:ascii="Arial" w:hAnsi="Arial" w:cs="Arial"/>
          <w:sz w:val="24"/>
          <w:szCs w:val="24"/>
        </w:rPr>
        <w:t xml:space="preserve">power and function to provide for </w:t>
      </w:r>
      <w:r w:rsidR="00207960" w:rsidRPr="001C25CA">
        <w:rPr>
          <w:rFonts w:ascii="Arial" w:hAnsi="Arial" w:cs="Arial"/>
          <w:sz w:val="24"/>
          <w:szCs w:val="24"/>
        </w:rPr>
        <w:t>revenue and taxation and is void as a consequence.</w:t>
      </w:r>
      <w:r w:rsidR="00A92144" w:rsidRPr="001C25CA">
        <w:rPr>
          <w:rFonts w:ascii="Arial" w:hAnsi="Arial" w:cs="Arial"/>
          <w:sz w:val="24"/>
          <w:szCs w:val="24"/>
        </w:rPr>
        <w:t xml:space="preserve"> The appellant also challenge</w:t>
      </w:r>
      <w:r w:rsidR="005D6CA4">
        <w:rPr>
          <w:rFonts w:ascii="Arial" w:hAnsi="Arial" w:cs="Arial"/>
          <w:sz w:val="24"/>
          <w:szCs w:val="24"/>
        </w:rPr>
        <w:t>s</w:t>
      </w:r>
      <w:r w:rsidR="00A92144" w:rsidRPr="001C25CA">
        <w:rPr>
          <w:rFonts w:ascii="Arial" w:hAnsi="Arial" w:cs="Arial"/>
          <w:sz w:val="24"/>
          <w:szCs w:val="24"/>
        </w:rPr>
        <w:t xml:space="preserve"> the legality of </w:t>
      </w:r>
      <w:r w:rsidR="001E4C77" w:rsidRPr="001C25CA">
        <w:rPr>
          <w:rFonts w:ascii="Arial" w:hAnsi="Arial" w:cs="Arial"/>
          <w:sz w:val="24"/>
          <w:szCs w:val="24"/>
        </w:rPr>
        <w:t>regulation</w:t>
      </w:r>
      <w:r w:rsidR="00A92144" w:rsidRPr="001C25CA">
        <w:rPr>
          <w:rFonts w:ascii="Arial" w:hAnsi="Arial" w:cs="Arial"/>
          <w:sz w:val="24"/>
          <w:szCs w:val="24"/>
        </w:rPr>
        <w:t>s promulgated under the Act</w:t>
      </w:r>
      <w:r w:rsidR="00012D59" w:rsidRPr="001C25CA">
        <w:rPr>
          <w:rFonts w:ascii="Arial" w:hAnsi="Arial" w:cs="Arial"/>
          <w:sz w:val="24"/>
          <w:szCs w:val="24"/>
        </w:rPr>
        <w:t>, the rate of tax</w:t>
      </w:r>
      <w:r w:rsidR="00A92144" w:rsidRPr="001C25CA">
        <w:rPr>
          <w:rFonts w:ascii="Arial" w:hAnsi="Arial" w:cs="Arial"/>
          <w:sz w:val="24"/>
          <w:szCs w:val="24"/>
        </w:rPr>
        <w:t xml:space="preserve"> as well as </w:t>
      </w:r>
      <w:r w:rsidR="00012D59" w:rsidRPr="001C25CA">
        <w:rPr>
          <w:rFonts w:ascii="Arial" w:hAnsi="Arial" w:cs="Arial"/>
          <w:sz w:val="24"/>
          <w:szCs w:val="24"/>
        </w:rPr>
        <w:t xml:space="preserve">recent </w:t>
      </w:r>
      <w:r w:rsidR="00A92144" w:rsidRPr="001C25CA">
        <w:rPr>
          <w:rFonts w:ascii="Arial" w:hAnsi="Arial" w:cs="Arial"/>
          <w:sz w:val="24"/>
          <w:szCs w:val="24"/>
        </w:rPr>
        <w:t>assessments of land tax.</w:t>
      </w:r>
      <w:r w:rsidR="00207960" w:rsidRPr="001C25CA">
        <w:rPr>
          <w:rFonts w:ascii="Arial" w:hAnsi="Arial" w:cs="Arial"/>
          <w:sz w:val="24"/>
          <w:szCs w:val="24"/>
        </w:rPr>
        <w:t xml:space="preserve"> A full bench of the High Court found that the land tax imposed under these sections passe</w:t>
      </w:r>
      <w:r w:rsidR="00012D59" w:rsidRPr="001C25CA">
        <w:rPr>
          <w:rFonts w:ascii="Arial" w:hAnsi="Arial" w:cs="Arial"/>
          <w:sz w:val="24"/>
          <w:szCs w:val="24"/>
        </w:rPr>
        <w:t>s</w:t>
      </w:r>
      <w:r w:rsidR="00207960" w:rsidRPr="001C25CA">
        <w:rPr>
          <w:rFonts w:ascii="Arial" w:hAnsi="Arial" w:cs="Arial"/>
          <w:sz w:val="24"/>
          <w:szCs w:val="24"/>
        </w:rPr>
        <w:t xml:space="preserve"> constitutional muster</w:t>
      </w:r>
      <w:r w:rsidR="00A92144" w:rsidRPr="001C25CA">
        <w:rPr>
          <w:rFonts w:ascii="Arial" w:hAnsi="Arial" w:cs="Arial"/>
          <w:sz w:val="24"/>
          <w:szCs w:val="24"/>
        </w:rPr>
        <w:t xml:space="preserve"> and dismissed the challenges to the </w:t>
      </w:r>
      <w:r w:rsidR="001E4C77" w:rsidRPr="001C25CA">
        <w:rPr>
          <w:rFonts w:ascii="Arial" w:hAnsi="Arial" w:cs="Arial"/>
          <w:sz w:val="24"/>
          <w:szCs w:val="24"/>
        </w:rPr>
        <w:t>regulation</w:t>
      </w:r>
      <w:r w:rsidR="00012D59" w:rsidRPr="001C25CA">
        <w:rPr>
          <w:rFonts w:ascii="Arial" w:hAnsi="Arial" w:cs="Arial"/>
          <w:sz w:val="24"/>
          <w:szCs w:val="24"/>
        </w:rPr>
        <w:t>s and other decision</w:t>
      </w:r>
      <w:r w:rsidR="00A106B4">
        <w:rPr>
          <w:rFonts w:ascii="Arial" w:hAnsi="Arial" w:cs="Arial"/>
          <w:sz w:val="24"/>
          <w:szCs w:val="24"/>
        </w:rPr>
        <w:t>s</w:t>
      </w:r>
      <w:r w:rsidR="00012D59" w:rsidRPr="001C25CA">
        <w:rPr>
          <w:rFonts w:ascii="Arial" w:hAnsi="Arial" w:cs="Arial"/>
          <w:sz w:val="24"/>
          <w:szCs w:val="24"/>
        </w:rPr>
        <w:t xml:space="preserve"> taken pursuant to them</w:t>
      </w:r>
      <w:r w:rsidR="00207960" w:rsidRPr="001C25CA">
        <w:rPr>
          <w:rFonts w:ascii="Arial" w:hAnsi="Arial" w:cs="Arial"/>
          <w:sz w:val="24"/>
          <w:szCs w:val="24"/>
        </w:rPr>
        <w:t>. The appellant appeals against th</w:t>
      </w:r>
      <w:r w:rsidR="005D6CA4">
        <w:rPr>
          <w:rFonts w:ascii="Arial" w:hAnsi="Arial" w:cs="Arial"/>
          <w:sz w:val="24"/>
          <w:szCs w:val="24"/>
        </w:rPr>
        <w:t>ese</w:t>
      </w:r>
      <w:r w:rsidR="00207960" w:rsidRPr="001C25CA">
        <w:rPr>
          <w:rFonts w:ascii="Arial" w:hAnsi="Arial" w:cs="Arial"/>
          <w:sz w:val="24"/>
          <w:szCs w:val="24"/>
        </w:rPr>
        <w:t xml:space="preserve"> finding</w:t>
      </w:r>
      <w:r w:rsidR="005D6CA4">
        <w:rPr>
          <w:rFonts w:ascii="Arial" w:hAnsi="Arial" w:cs="Arial"/>
          <w:sz w:val="24"/>
          <w:szCs w:val="24"/>
        </w:rPr>
        <w:t>s</w:t>
      </w:r>
      <w:r w:rsidR="00207960" w:rsidRPr="001C25CA">
        <w:rPr>
          <w:rFonts w:ascii="Arial" w:hAnsi="Arial" w:cs="Arial"/>
          <w:sz w:val="24"/>
          <w:szCs w:val="24"/>
        </w:rPr>
        <w:t>.</w:t>
      </w:r>
    </w:p>
    <w:p w:rsidR="002212AD" w:rsidRPr="001C25CA" w:rsidRDefault="002212AD" w:rsidP="002212AD">
      <w:pPr>
        <w:pStyle w:val="NoSpacing"/>
        <w:spacing w:line="480" w:lineRule="auto"/>
        <w:jc w:val="both"/>
        <w:rPr>
          <w:rFonts w:ascii="Arial" w:hAnsi="Arial" w:cs="Arial"/>
          <w:sz w:val="24"/>
          <w:szCs w:val="24"/>
        </w:rPr>
      </w:pPr>
    </w:p>
    <w:p w:rsidR="00207960" w:rsidRPr="001C25CA" w:rsidRDefault="00207960" w:rsidP="002212AD">
      <w:pPr>
        <w:pStyle w:val="NoSpacing"/>
        <w:spacing w:line="480" w:lineRule="auto"/>
        <w:jc w:val="both"/>
        <w:rPr>
          <w:rFonts w:ascii="Arial" w:hAnsi="Arial" w:cs="Arial"/>
          <w:sz w:val="24"/>
          <w:szCs w:val="24"/>
          <w:u w:val="single"/>
        </w:rPr>
      </w:pPr>
      <w:r w:rsidRPr="001C25CA">
        <w:rPr>
          <w:rFonts w:ascii="Arial" w:hAnsi="Arial" w:cs="Arial"/>
          <w:sz w:val="24"/>
          <w:szCs w:val="24"/>
          <w:u w:val="single"/>
        </w:rPr>
        <w:t>Factual background and litigation history</w:t>
      </w:r>
    </w:p>
    <w:p w:rsidR="00A92144" w:rsidRPr="001C25CA" w:rsidRDefault="00207960"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appellant is a close corporation and is the </w:t>
      </w:r>
      <w:r w:rsidR="007531D6" w:rsidRPr="001C25CA">
        <w:rPr>
          <w:rFonts w:ascii="Arial" w:hAnsi="Arial" w:cs="Arial"/>
          <w:sz w:val="24"/>
          <w:szCs w:val="24"/>
        </w:rPr>
        <w:t>reg</w:t>
      </w:r>
      <w:r w:rsidRPr="001C25CA">
        <w:rPr>
          <w:rFonts w:ascii="Arial" w:hAnsi="Arial" w:cs="Arial"/>
          <w:sz w:val="24"/>
          <w:szCs w:val="24"/>
        </w:rPr>
        <w:t>istered owner of agricultural land in the Otjiwarongo district. The appellant in July 2013 received an assessment to pay land tax for the tax year 2012/2013.</w:t>
      </w:r>
      <w:r w:rsidR="00A92144" w:rsidRPr="001C25CA">
        <w:rPr>
          <w:rFonts w:ascii="Arial" w:hAnsi="Arial" w:cs="Arial"/>
          <w:sz w:val="24"/>
          <w:szCs w:val="24"/>
        </w:rPr>
        <w:t xml:space="preserve"> Despite paying previous land tax assessments, t</w:t>
      </w:r>
      <w:r w:rsidRPr="001C25CA">
        <w:rPr>
          <w:rFonts w:ascii="Arial" w:hAnsi="Arial" w:cs="Arial"/>
          <w:sz w:val="24"/>
          <w:szCs w:val="24"/>
        </w:rPr>
        <w:t>he appellant in August 2013 launched an application</w:t>
      </w:r>
      <w:r w:rsidR="00A92144" w:rsidRPr="001C25CA">
        <w:rPr>
          <w:rStyle w:val="FootnoteReference"/>
          <w:rFonts w:ascii="Arial" w:hAnsi="Arial" w:cs="Arial"/>
          <w:sz w:val="24"/>
          <w:szCs w:val="24"/>
        </w:rPr>
        <w:footnoteReference w:id="1"/>
      </w:r>
      <w:r w:rsidRPr="001C25CA">
        <w:rPr>
          <w:rFonts w:ascii="Arial" w:hAnsi="Arial" w:cs="Arial"/>
          <w:sz w:val="24"/>
          <w:szCs w:val="24"/>
        </w:rPr>
        <w:t xml:space="preserve"> seeking to set aside s 76 to 80 of the Act and the Land Valuation and Taxation </w:t>
      </w:r>
      <w:r w:rsidR="001E4C77" w:rsidRPr="001C25CA">
        <w:rPr>
          <w:rFonts w:ascii="Arial" w:hAnsi="Arial" w:cs="Arial"/>
          <w:sz w:val="24"/>
          <w:szCs w:val="24"/>
        </w:rPr>
        <w:t>Regulation</w:t>
      </w:r>
      <w:r w:rsidRPr="001C25CA">
        <w:rPr>
          <w:rFonts w:ascii="Arial" w:hAnsi="Arial" w:cs="Arial"/>
          <w:sz w:val="24"/>
          <w:szCs w:val="24"/>
        </w:rPr>
        <w:t>s published in Government Gazette No 2678 of December 2001 as unconstitutional.</w:t>
      </w:r>
      <w:r w:rsidR="00A92144" w:rsidRPr="001C25CA">
        <w:rPr>
          <w:rStyle w:val="FootnoteReference"/>
          <w:rFonts w:ascii="Arial" w:hAnsi="Arial" w:cs="Arial"/>
          <w:sz w:val="24"/>
          <w:szCs w:val="24"/>
        </w:rPr>
        <w:footnoteReference w:id="2"/>
      </w:r>
      <w:r w:rsidRPr="001C25CA">
        <w:rPr>
          <w:rFonts w:ascii="Arial" w:hAnsi="Arial" w:cs="Arial"/>
          <w:sz w:val="24"/>
          <w:szCs w:val="24"/>
        </w:rPr>
        <w:t xml:space="preserve"> </w:t>
      </w:r>
      <w:r w:rsidRPr="001C25CA">
        <w:rPr>
          <w:rFonts w:ascii="Arial" w:hAnsi="Arial" w:cs="Arial"/>
          <w:sz w:val="24"/>
          <w:szCs w:val="24"/>
        </w:rPr>
        <w:lastRenderedPageBreak/>
        <w:t>Th</w:t>
      </w:r>
      <w:r w:rsidR="00A92144" w:rsidRPr="001C25CA">
        <w:rPr>
          <w:rFonts w:ascii="Arial" w:hAnsi="Arial" w:cs="Arial"/>
          <w:sz w:val="24"/>
          <w:szCs w:val="24"/>
        </w:rPr>
        <w:t>is, the main</w:t>
      </w:r>
      <w:r w:rsidRPr="001C25CA">
        <w:rPr>
          <w:rFonts w:ascii="Arial" w:hAnsi="Arial" w:cs="Arial"/>
          <w:sz w:val="24"/>
          <w:szCs w:val="24"/>
        </w:rPr>
        <w:t xml:space="preserve"> application</w:t>
      </w:r>
      <w:r w:rsidR="00012D59" w:rsidRPr="001C25CA">
        <w:rPr>
          <w:rFonts w:ascii="Arial" w:hAnsi="Arial" w:cs="Arial"/>
          <w:sz w:val="24"/>
          <w:szCs w:val="24"/>
        </w:rPr>
        <w:t>,</w:t>
      </w:r>
      <w:r w:rsidRPr="001C25CA">
        <w:rPr>
          <w:rFonts w:ascii="Arial" w:hAnsi="Arial" w:cs="Arial"/>
          <w:sz w:val="24"/>
          <w:szCs w:val="24"/>
        </w:rPr>
        <w:t xml:space="preserve"> set out 38 pr</w:t>
      </w:r>
      <w:r w:rsidR="00A92144" w:rsidRPr="001C25CA">
        <w:rPr>
          <w:rFonts w:ascii="Arial" w:hAnsi="Arial" w:cs="Arial"/>
          <w:sz w:val="24"/>
          <w:szCs w:val="24"/>
        </w:rPr>
        <w:t>ayers in its notice of motion,</w:t>
      </w:r>
      <w:r w:rsidR="00AE6161">
        <w:rPr>
          <w:rFonts w:ascii="Arial" w:hAnsi="Arial" w:cs="Arial"/>
          <w:sz w:val="24"/>
          <w:szCs w:val="24"/>
        </w:rPr>
        <w:t xml:space="preserve"> challenging the constitutionality of those sections, the regulations as a whole and several individual regulations separately as well as impugning certain administrative action.</w:t>
      </w:r>
    </w:p>
    <w:p w:rsidR="00A92144" w:rsidRPr="001C25CA" w:rsidRDefault="00A92144" w:rsidP="00A92144">
      <w:pPr>
        <w:pStyle w:val="NoSpacing"/>
        <w:spacing w:line="480" w:lineRule="auto"/>
        <w:jc w:val="both"/>
        <w:rPr>
          <w:rFonts w:ascii="Arial" w:hAnsi="Arial" w:cs="Arial"/>
          <w:sz w:val="24"/>
          <w:szCs w:val="24"/>
        </w:rPr>
      </w:pPr>
    </w:p>
    <w:p w:rsidR="00273EE9" w:rsidRPr="001C25CA" w:rsidRDefault="00EC7850"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Following the Minister of Land Reform (the Minister) noting his opposition</w:t>
      </w:r>
      <w:r w:rsidR="00A92144" w:rsidRPr="001C25CA">
        <w:rPr>
          <w:rFonts w:ascii="Arial" w:hAnsi="Arial" w:cs="Arial"/>
          <w:sz w:val="24"/>
          <w:szCs w:val="24"/>
        </w:rPr>
        <w:t xml:space="preserve"> to this application</w:t>
      </w:r>
      <w:r w:rsidRPr="001C25CA">
        <w:rPr>
          <w:rFonts w:ascii="Arial" w:hAnsi="Arial" w:cs="Arial"/>
          <w:sz w:val="24"/>
          <w:szCs w:val="24"/>
        </w:rPr>
        <w:t>, a multiplicity of applications followed. In total</w:t>
      </w:r>
      <w:r w:rsidR="00A92144" w:rsidRPr="001C25CA">
        <w:rPr>
          <w:rFonts w:ascii="Arial" w:hAnsi="Arial" w:cs="Arial"/>
          <w:sz w:val="24"/>
          <w:szCs w:val="24"/>
        </w:rPr>
        <w:t>,</w:t>
      </w:r>
      <w:r w:rsidRPr="001C25CA">
        <w:rPr>
          <w:rFonts w:ascii="Arial" w:hAnsi="Arial" w:cs="Arial"/>
          <w:sz w:val="24"/>
          <w:szCs w:val="24"/>
        </w:rPr>
        <w:t xml:space="preserve"> six substantive applications were brought. Some of these</w:t>
      </w:r>
      <w:r w:rsidR="00012D59" w:rsidRPr="001C25CA">
        <w:rPr>
          <w:rFonts w:ascii="Arial" w:hAnsi="Arial" w:cs="Arial"/>
          <w:sz w:val="24"/>
          <w:szCs w:val="24"/>
        </w:rPr>
        <w:t xml:space="preserve"> in turn</w:t>
      </w:r>
      <w:r w:rsidRPr="001C25CA">
        <w:rPr>
          <w:rFonts w:ascii="Arial" w:hAnsi="Arial" w:cs="Arial"/>
          <w:sz w:val="24"/>
          <w:szCs w:val="24"/>
        </w:rPr>
        <w:t xml:space="preserve"> generated a number of interlocutory applications</w:t>
      </w:r>
      <w:r w:rsidR="00A92144" w:rsidRPr="001C25CA">
        <w:rPr>
          <w:rFonts w:ascii="Arial" w:hAnsi="Arial" w:cs="Arial"/>
          <w:sz w:val="24"/>
          <w:szCs w:val="24"/>
        </w:rPr>
        <w:t>,</w:t>
      </w:r>
      <w:r w:rsidRPr="001C25CA">
        <w:rPr>
          <w:rFonts w:ascii="Arial" w:hAnsi="Arial" w:cs="Arial"/>
          <w:sz w:val="24"/>
          <w:szCs w:val="24"/>
        </w:rPr>
        <w:t xml:space="preserve"> resulting in considerable costs and judicial time being spent on them. The second</w:t>
      </w:r>
      <w:r w:rsidR="00A92144" w:rsidRPr="001C25CA">
        <w:rPr>
          <w:rStyle w:val="FootnoteReference"/>
          <w:rFonts w:ascii="Arial" w:hAnsi="Arial" w:cs="Arial"/>
          <w:sz w:val="24"/>
          <w:szCs w:val="24"/>
        </w:rPr>
        <w:footnoteReference w:id="3"/>
      </w:r>
      <w:r w:rsidRPr="001C25CA">
        <w:rPr>
          <w:rFonts w:ascii="Arial" w:hAnsi="Arial" w:cs="Arial"/>
          <w:sz w:val="24"/>
          <w:szCs w:val="24"/>
        </w:rPr>
        <w:t xml:space="preserve"> and the third</w:t>
      </w:r>
      <w:r w:rsidR="00A92144" w:rsidRPr="001C25CA">
        <w:rPr>
          <w:rStyle w:val="FootnoteReference"/>
          <w:rFonts w:ascii="Arial" w:hAnsi="Arial" w:cs="Arial"/>
          <w:sz w:val="24"/>
          <w:szCs w:val="24"/>
        </w:rPr>
        <w:footnoteReference w:id="4"/>
      </w:r>
      <w:r w:rsidRPr="001C25CA">
        <w:rPr>
          <w:rFonts w:ascii="Arial" w:hAnsi="Arial" w:cs="Arial"/>
          <w:sz w:val="24"/>
          <w:szCs w:val="24"/>
        </w:rPr>
        <w:t xml:space="preserve"> substantive applications challenged subsequent assessments</w:t>
      </w:r>
      <w:r w:rsidR="00273EE9" w:rsidRPr="001C25CA">
        <w:rPr>
          <w:rFonts w:ascii="Arial" w:hAnsi="Arial" w:cs="Arial"/>
          <w:sz w:val="24"/>
          <w:szCs w:val="24"/>
        </w:rPr>
        <w:t xml:space="preserve"> of land tax imposed upon the appellant</w:t>
      </w:r>
      <w:r w:rsidRPr="001C25CA">
        <w:rPr>
          <w:rFonts w:ascii="Arial" w:hAnsi="Arial" w:cs="Arial"/>
          <w:sz w:val="24"/>
          <w:szCs w:val="24"/>
        </w:rPr>
        <w:t xml:space="preserve">. </w:t>
      </w:r>
    </w:p>
    <w:p w:rsidR="00273EE9" w:rsidRPr="001C25CA" w:rsidRDefault="00273EE9" w:rsidP="00273EE9">
      <w:pPr>
        <w:pStyle w:val="ListParagraph"/>
        <w:rPr>
          <w:rFonts w:ascii="Arial" w:hAnsi="Arial" w:cs="Arial"/>
          <w:sz w:val="24"/>
          <w:szCs w:val="24"/>
        </w:rPr>
      </w:pPr>
    </w:p>
    <w:p w:rsidR="002212AD" w:rsidRPr="001C25CA" w:rsidRDefault="00EC7850"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 fourth application</w:t>
      </w:r>
      <w:r w:rsidR="00273EE9" w:rsidRPr="001C25CA">
        <w:rPr>
          <w:rStyle w:val="FootnoteReference"/>
          <w:rFonts w:ascii="Arial" w:hAnsi="Arial" w:cs="Arial"/>
          <w:sz w:val="24"/>
          <w:szCs w:val="24"/>
        </w:rPr>
        <w:footnoteReference w:id="5"/>
      </w:r>
      <w:r w:rsidRPr="001C25CA">
        <w:rPr>
          <w:rFonts w:ascii="Arial" w:hAnsi="Arial" w:cs="Arial"/>
          <w:sz w:val="24"/>
          <w:szCs w:val="24"/>
        </w:rPr>
        <w:t xml:space="preserve"> applied to set aside an amendment to </w:t>
      </w:r>
      <w:r w:rsidR="001E4C77" w:rsidRPr="001C25CA">
        <w:rPr>
          <w:rFonts w:ascii="Arial" w:hAnsi="Arial" w:cs="Arial"/>
          <w:sz w:val="24"/>
          <w:szCs w:val="24"/>
        </w:rPr>
        <w:t>regulation</w:t>
      </w:r>
      <w:r w:rsidR="00273EE9" w:rsidRPr="001C25CA">
        <w:rPr>
          <w:rFonts w:ascii="Arial" w:hAnsi="Arial" w:cs="Arial"/>
          <w:sz w:val="24"/>
          <w:szCs w:val="24"/>
        </w:rPr>
        <w:t xml:space="preserve"> 17(3) of the </w:t>
      </w:r>
      <w:r w:rsidR="001E4C77" w:rsidRPr="001C25CA">
        <w:rPr>
          <w:rFonts w:ascii="Arial" w:hAnsi="Arial" w:cs="Arial"/>
          <w:sz w:val="24"/>
          <w:szCs w:val="24"/>
        </w:rPr>
        <w:t>regulation</w:t>
      </w:r>
      <w:r w:rsidR="00A106B4">
        <w:rPr>
          <w:rFonts w:ascii="Arial" w:hAnsi="Arial" w:cs="Arial"/>
          <w:sz w:val="24"/>
          <w:szCs w:val="24"/>
        </w:rPr>
        <w:t>s</w:t>
      </w:r>
      <w:r w:rsidR="00273EE9" w:rsidRPr="001C25CA">
        <w:rPr>
          <w:rFonts w:ascii="Arial" w:hAnsi="Arial" w:cs="Arial"/>
          <w:sz w:val="24"/>
          <w:szCs w:val="24"/>
        </w:rPr>
        <w:t>, published in Government Notice No 185 of 17 August 2015.</w:t>
      </w:r>
      <w:r w:rsidRPr="001C25CA">
        <w:rPr>
          <w:rFonts w:ascii="Arial" w:hAnsi="Arial" w:cs="Arial"/>
          <w:sz w:val="24"/>
          <w:szCs w:val="24"/>
        </w:rPr>
        <w:t xml:space="preserve"> The next application</w:t>
      </w:r>
      <w:r w:rsidR="00273EE9" w:rsidRPr="001C25CA">
        <w:rPr>
          <w:rStyle w:val="FootnoteReference"/>
          <w:rFonts w:ascii="Arial" w:hAnsi="Arial" w:cs="Arial"/>
          <w:sz w:val="24"/>
          <w:szCs w:val="24"/>
        </w:rPr>
        <w:footnoteReference w:id="6"/>
      </w:r>
      <w:r w:rsidRPr="001C25CA">
        <w:rPr>
          <w:rFonts w:ascii="Arial" w:hAnsi="Arial" w:cs="Arial"/>
          <w:sz w:val="24"/>
          <w:szCs w:val="24"/>
        </w:rPr>
        <w:t xml:space="preserve"> sought the same relief and to set aside the assessment for the 2015/2016 tax year. The sixth </w:t>
      </w:r>
      <w:r w:rsidR="00273EE9" w:rsidRPr="001C25CA">
        <w:rPr>
          <w:rFonts w:ascii="Arial" w:hAnsi="Arial" w:cs="Arial"/>
          <w:sz w:val="24"/>
          <w:szCs w:val="24"/>
        </w:rPr>
        <w:t xml:space="preserve">and final </w:t>
      </w:r>
      <w:r w:rsidRPr="001C25CA">
        <w:rPr>
          <w:rFonts w:ascii="Arial" w:hAnsi="Arial" w:cs="Arial"/>
          <w:sz w:val="24"/>
          <w:szCs w:val="24"/>
        </w:rPr>
        <w:t xml:space="preserve">application sought to set aside a notice by the Minister dated 1 June 2016 under </w:t>
      </w:r>
      <w:r w:rsidR="001E4C77" w:rsidRPr="001C25CA">
        <w:rPr>
          <w:rFonts w:ascii="Arial" w:hAnsi="Arial" w:cs="Arial"/>
          <w:sz w:val="24"/>
          <w:szCs w:val="24"/>
        </w:rPr>
        <w:t>regulation</w:t>
      </w:r>
      <w:r w:rsidRPr="001C25CA">
        <w:rPr>
          <w:rFonts w:ascii="Arial" w:hAnsi="Arial" w:cs="Arial"/>
          <w:sz w:val="24"/>
          <w:szCs w:val="24"/>
        </w:rPr>
        <w:t xml:space="preserve"> 6</w:t>
      </w:r>
      <w:r w:rsidR="005D6CA4">
        <w:rPr>
          <w:rFonts w:ascii="Arial" w:hAnsi="Arial" w:cs="Arial"/>
          <w:sz w:val="24"/>
          <w:szCs w:val="24"/>
        </w:rPr>
        <w:t>(</w:t>
      </w:r>
      <w:r w:rsidRPr="001C25CA">
        <w:rPr>
          <w:rFonts w:ascii="Arial" w:hAnsi="Arial" w:cs="Arial"/>
          <w:sz w:val="24"/>
          <w:szCs w:val="24"/>
        </w:rPr>
        <w:t>4</w:t>
      </w:r>
      <w:r w:rsidR="005D6CA4">
        <w:rPr>
          <w:rFonts w:ascii="Arial" w:hAnsi="Arial" w:cs="Arial"/>
          <w:sz w:val="24"/>
          <w:szCs w:val="24"/>
        </w:rPr>
        <w:t>)</w:t>
      </w:r>
      <w:r w:rsidRPr="001C25CA">
        <w:rPr>
          <w:rFonts w:ascii="Arial" w:hAnsi="Arial" w:cs="Arial"/>
          <w:sz w:val="24"/>
          <w:szCs w:val="24"/>
        </w:rPr>
        <w:t xml:space="preserve"> as a nullity.</w:t>
      </w:r>
    </w:p>
    <w:p w:rsidR="00207960" w:rsidRPr="001C25CA" w:rsidRDefault="00207960" w:rsidP="00207960">
      <w:pPr>
        <w:pStyle w:val="ListParagraph"/>
        <w:rPr>
          <w:rFonts w:ascii="Arial" w:hAnsi="Arial" w:cs="Arial"/>
          <w:sz w:val="24"/>
          <w:szCs w:val="24"/>
        </w:rPr>
      </w:pPr>
    </w:p>
    <w:p w:rsidR="00207960" w:rsidRPr="001C25CA" w:rsidRDefault="00EC7850"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Ueitele J in the High Court initiated a process which resulted in the consolidatio</w:t>
      </w:r>
      <w:r w:rsidR="00273EE9" w:rsidRPr="001C25CA">
        <w:rPr>
          <w:rFonts w:ascii="Arial" w:hAnsi="Arial" w:cs="Arial"/>
          <w:sz w:val="24"/>
          <w:szCs w:val="24"/>
        </w:rPr>
        <w:t>n of these multiple applications which had been allocated to different High Court judges</w:t>
      </w:r>
      <w:r w:rsidRPr="001C25CA">
        <w:rPr>
          <w:rFonts w:ascii="Arial" w:hAnsi="Arial" w:cs="Arial"/>
          <w:sz w:val="24"/>
          <w:szCs w:val="24"/>
        </w:rPr>
        <w:t xml:space="preserve">, introducing some order and coherence to this </w:t>
      </w:r>
      <w:r w:rsidR="005D6CA4">
        <w:rPr>
          <w:rFonts w:ascii="Arial" w:hAnsi="Arial" w:cs="Arial"/>
          <w:sz w:val="24"/>
          <w:szCs w:val="24"/>
        </w:rPr>
        <w:t>proliferation of</w:t>
      </w:r>
      <w:r w:rsidRPr="001C25CA">
        <w:rPr>
          <w:rFonts w:ascii="Arial" w:hAnsi="Arial" w:cs="Arial"/>
          <w:sz w:val="24"/>
          <w:szCs w:val="24"/>
        </w:rPr>
        <w:t xml:space="preserve"> litigation </w:t>
      </w:r>
      <w:r w:rsidR="00273EE9" w:rsidRPr="001C25CA">
        <w:rPr>
          <w:rFonts w:ascii="Arial" w:hAnsi="Arial" w:cs="Arial"/>
          <w:sz w:val="24"/>
          <w:szCs w:val="24"/>
        </w:rPr>
        <w:t>initiated</w:t>
      </w:r>
      <w:r w:rsidRPr="001C25CA">
        <w:rPr>
          <w:rFonts w:ascii="Arial" w:hAnsi="Arial" w:cs="Arial"/>
          <w:sz w:val="24"/>
          <w:szCs w:val="24"/>
        </w:rPr>
        <w:t xml:space="preserve"> by the appellant to challenge and arrest the land transformation programme under the Act. In terms of the ensuing agreement to consolidate the proceedings, approved by the </w:t>
      </w:r>
      <w:r w:rsidR="00273EE9" w:rsidRPr="001C25CA">
        <w:rPr>
          <w:rFonts w:ascii="Arial" w:hAnsi="Arial" w:cs="Arial"/>
          <w:sz w:val="24"/>
          <w:szCs w:val="24"/>
        </w:rPr>
        <w:t>High C</w:t>
      </w:r>
      <w:r w:rsidRPr="001C25CA">
        <w:rPr>
          <w:rFonts w:ascii="Arial" w:hAnsi="Arial" w:cs="Arial"/>
          <w:sz w:val="24"/>
          <w:szCs w:val="24"/>
        </w:rPr>
        <w:t xml:space="preserve">ourt in case management, the main application </w:t>
      </w:r>
      <w:r w:rsidRPr="001C25CA">
        <w:rPr>
          <w:rFonts w:ascii="Arial" w:hAnsi="Arial" w:cs="Arial"/>
          <w:sz w:val="24"/>
          <w:szCs w:val="24"/>
        </w:rPr>
        <w:lastRenderedPageBreak/>
        <w:t xml:space="preserve">(A295/2013) as well as two others where no answering affidavits had as yet been filed, </w:t>
      </w:r>
      <w:r w:rsidR="00273EE9" w:rsidRPr="001C25CA">
        <w:rPr>
          <w:rFonts w:ascii="Arial" w:hAnsi="Arial" w:cs="Arial"/>
          <w:sz w:val="24"/>
          <w:szCs w:val="24"/>
        </w:rPr>
        <w:t>were to</w:t>
      </w:r>
      <w:r w:rsidRPr="001C25CA">
        <w:rPr>
          <w:rFonts w:ascii="Arial" w:hAnsi="Arial" w:cs="Arial"/>
          <w:sz w:val="24"/>
          <w:szCs w:val="24"/>
        </w:rPr>
        <w:t xml:space="preserve"> be determined on the basis of the appellant’s founding documentation </w:t>
      </w:r>
      <w:r w:rsidR="00273EE9" w:rsidRPr="001C25CA">
        <w:rPr>
          <w:rFonts w:ascii="Arial" w:hAnsi="Arial" w:cs="Arial"/>
          <w:sz w:val="24"/>
          <w:szCs w:val="24"/>
        </w:rPr>
        <w:t>with</w:t>
      </w:r>
      <w:r w:rsidRPr="001C25CA">
        <w:rPr>
          <w:rFonts w:ascii="Arial" w:hAnsi="Arial" w:cs="Arial"/>
          <w:sz w:val="24"/>
          <w:szCs w:val="24"/>
        </w:rPr>
        <w:t xml:space="preserve"> the respondent</w:t>
      </w:r>
      <w:r w:rsidR="00273EE9" w:rsidRPr="001C25CA">
        <w:rPr>
          <w:rFonts w:ascii="Arial" w:hAnsi="Arial" w:cs="Arial"/>
          <w:sz w:val="24"/>
          <w:szCs w:val="24"/>
        </w:rPr>
        <w:t>s</w:t>
      </w:r>
      <w:r w:rsidRPr="001C25CA">
        <w:rPr>
          <w:rFonts w:ascii="Arial" w:hAnsi="Arial" w:cs="Arial"/>
          <w:sz w:val="24"/>
          <w:szCs w:val="24"/>
        </w:rPr>
        <w:t xml:space="preserve"> deemed </w:t>
      </w:r>
      <w:r w:rsidR="00273EE9" w:rsidRPr="001C25CA">
        <w:rPr>
          <w:rFonts w:ascii="Arial" w:hAnsi="Arial" w:cs="Arial"/>
          <w:sz w:val="24"/>
          <w:szCs w:val="24"/>
        </w:rPr>
        <w:t>to dispu</w:t>
      </w:r>
      <w:r w:rsidRPr="001C25CA">
        <w:rPr>
          <w:rFonts w:ascii="Arial" w:hAnsi="Arial" w:cs="Arial"/>
          <w:sz w:val="24"/>
          <w:szCs w:val="24"/>
        </w:rPr>
        <w:t xml:space="preserve">te the appellant’s </w:t>
      </w:r>
      <w:r w:rsidR="006D7412" w:rsidRPr="001C25CA">
        <w:rPr>
          <w:rFonts w:ascii="Arial" w:hAnsi="Arial" w:cs="Arial"/>
          <w:sz w:val="24"/>
          <w:szCs w:val="24"/>
        </w:rPr>
        <w:t>factual av</w:t>
      </w:r>
      <w:r w:rsidR="00273EE9" w:rsidRPr="001C25CA">
        <w:rPr>
          <w:rFonts w:ascii="Arial" w:hAnsi="Arial" w:cs="Arial"/>
          <w:sz w:val="24"/>
          <w:szCs w:val="24"/>
        </w:rPr>
        <w:t>erments and legal contentions. It was also agreed that c</w:t>
      </w:r>
      <w:r w:rsidR="006D7412" w:rsidRPr="001C25CA">
        <w:rPr>
          <w:rFonts w:ascii="Arial" w:hAnsi="Arial" w:cs="Arial"/>
          <w:sz w:val="24"/>
          <w:szCs w:val="24"/>
        </w:rPr>
        <w:t xml:space="preserve">ertain of the interlocutory applications relating to discovery or </w:t>
      </w:r>
      <w:r w:rsidR="00012D59" w:rsidRPr="001C25CA">
        <w:rPr>
          <w:rFonts w:ascii="Arial" w:hAnsi="Arial" w:cs="Arial"/>
          <w:sz w:val="24"/>
          <w:szCs w:val="24"/>
        </w:rPr>
        <w:t xml:space="preserve">which were </w:t>
      </w:r>
      <w:r w:rsidR="006D7412" w:rsidRPr="001C25CA">
        <w:rPr>
          <w:rFonts w:ascii="Arial" w:hAnsi="Arial" w:cs="Arial"/>
          <w:sz w:val="24"/>
          <w:szCs w:val="24"/>
        </w:rPr>
        <w:t>appealed against were no longer in issue.</w:t>
      </w:r>
      <w:r w:rsidR="00273EE9" w:rsidRPr="001C25CA">
        <w:rPr>
          <w:rFonts w:ascii="Arial" w:hAnsi="Arial" w:cs="Arial"/>
          <w:sz w:val="24"/>
          <w:szCs w:val="24"/>
        </w:rPr>
        <w:t xml:space="preserve"> Despite the consolidation, the earlier </w:t>
      </w:r>
      <w:r w:rsidR="00AE6161">
        <w:rPr>
          <w:rFonts w:ascii="Arial" w:hAnsi="Arial" w:cs="Arial"/>
          <w:sz w:val="24"/>
          <w:szCs w:val="24"/>
        </w:rPr>
        <w:t xml:space="preserve">litigation </w:t>
      </w:r>
      <w:r w:rsidR="00273EE9" w:rsidRPr="001C25CA">
        <w:rPr>
          <w:rFonts w:ascii="Arial" w:hAnsi="Arial" w:cs="Arial"/>
          <w:sz w:val="24"/>
          <w:szCs w:val="24"/>
        </w:rPr>
        <w:t>chaos caused by the multiplicity of applications continued to find expression in the record presented to this court.</w:t>
      </w:r>
    </w:p>
    <w:p w:rsidR="006D7412" w:rsidRPr="001C25CA" w:rsidRDefault="006D7412" w:rsidP="006D7412">
      <w:pPr>
        <w:pStyle w:val="ListParagraph"/>
        <w:rPr>
          <w:rFonts w:ascii="Arial" w:hAnsi="Arial" w:cs="Arial"/>
          <w:sz w:val="24"/>
          <w:szCs w:val="24"/>
        </w:rPr>
      </w:pPr>
    </w:p>
    <w:p w:rsidR="006D7412" w:rsidRPr="001C25CA" w:rsidRDefault="006D7412"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 consolidated case was then heard by a full bench of the High Court</w:t>
      </w:r>
      <w:r w:rsidR="00450915">
        <w:rPr>
          <w:rFonts w:ascii="Arial" w:hAnsi="Arial" w:cs="Arial"/>
          <w:sz w:val="24"/>
          <w:szCs w:val="24"/>
        </w:rPr>
        <w:t>.</w:t>
      </w:r>
      <w:r w:rsidRPr="001C25CA">
        <w:rPr>
          <w:rFonts w:ascii="Arial" w:hAnsi="Arial" w:cs="Arial"/>
          <w:sz w:val="24"/>
          <w:szCs w:val="24"/>
        </w:rPr>
        <w:t xml:space="preserve"> </w:t>
      </w:r>
      <w:r w:rsidR="00450915">
        <w:rPr>
          <w:rFonts w:ascii="Arial" w:hAnsi="Arial" w:cs="Arial"/>
          <w:sz w:val="24"/>
          <w:szCs w:val="24"/>
        </w:rPr>
        <w:t>The High Court, per</w:t>
      </w:r>
      <w:r w:rsidR="00703AD3" w:rsidRPr="001C25CA">
        <w:rPr>
          <w:rFonts w:ascii="Arial" w:hAnsi="Arial" w:cs="Arial"/>
          <w:sz w:val="24"/>
          <w:szCs w:val="24"/>
        </w:rPr>
        <w:t xml:space="preserve"> Ueitele J dismissed the consolidated application.</w:t>
      </w:r>
    </w:p>
    <w:p w:rsidR="00207960" w:rsidRPr="001C25CA" w:rsidRDefault="00207960" w:rsidP="00703AD3">
      <w:pPr>
        <w:rPr>
          <w:rFonts w:ascii="Arial" w:hAnsi="Arial" w:cs="Arial"/>
          <w:sz w:val="24"/>
          <w:szCs w:val="24"/>
        </w:rPr>
      </w:pPr>
    </w:p>
    <w:p w:rsidR="00703AD3" w:rsidRPr="001C25CA" w:rsidRDefault="00703AD3" w:rsidP="00703AD3">
      <w:pPr>
        <w:rPr>
          <w:rFonts w:ascii="Arial" w:hAnsi="Arial" w:cs="Arial"/>
          <w:sz w:val="24"/>
          <w:szCs w:val="24"/>
          <w:u w:val="single"/>
        </w:rPr>
      </w:pPr>
      <w:r w:rsidRPr="001C25CA">
        <w:rPr>
          <w:rFonts w:ascii="Arial" w:hAnsi="Arial" w:cs="Arial"/>
          <w:sz w:val="24"/>
          <w:szCs w:val="24"/>
          <w:u w:val="single"/>
        </w:rPr>
        <w:t>Appellant’s case as pleaded in the applications</w:t>
      </w:r>
    </w:p>
    <w:p w:rsidR="00207960" w:rsidRPr="001C25CA" w:rsidRDefault="00703AD3"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In the main application, the appellant’s sole member, Mr Rust</w:t>
      </w:r>
      <w:r w:rsidR="005D6CA4">
        <w:rPr>
          <w:rFonts w:ascii="Arial" w:hAnsi="Arial" w:cs="Arial"/>
          <w:sz w:val="24"/>
          <w:szCs w:val="24"/>
        </w:rPr>
        <w:t>,</w:t>
      </w:r>
      <w:r w:rsidRPr="001C25CA">
        <w:rPr>
          <w:rFonts w:ascii="Arial" w:hAnsi="Arial" w:cs="Arial"/>
          <w:sz w:val="24"/>
          <w:szCs w:val="24"/>
        </w:rPr>
        <w:t xml:space="preserve"> explains that the appellant’s agricultural land is put to use for tourism purposes. </w:t>
      </w:r>
      <w:r w:rsidR="00450915">
        <w:rPr>
          <w:rFonts w:ascii="Arial" w:hAnsi="Arial" w:cs="Arial"/>
          <w:sz w:val="24"/>
          <w:szCs w:val="24"/>
        </w:rPr>
        <w:t>The appellant has spent a sum in excess of N$7,8 million in improvements to its agricultural land and</w:t>
      </w:r>
      <w:r w:rsidRPr="001C25CA">
        <w:rPr>
          <w:rFonts w:ascii="Arial" w:hAnsi="Arial" w:cs="Arial"/>
          <w:sz w:val="24"/>
          <w:szCs w:val="24"/>
        </w:rPr>
        <w:t xml:space="preserve"> paid the assessed </w:t>
      </w:r>
      <w:r w:rsidR="00450915">
        <w:rPr>
          <w:rFonts w:ascii="Arial" w:hAnsi="Arial" w:cs="Arial"/>
          <w:sz w:val="24"/>
          <w:szCs w:val="24"/>
        </w:rPr>
        <w:t>land tax for</w:t>
      </w:r>
      <w:r w:rsidRPr="001C25CA">
        <w:rPr>
          <w:rFonts w:ascii="Arial" w:hAnsi="Arial" w:cs="Arial"/>
          <w:sz w:val="24"/>
          <w:szCs w:val="24"/>
        </w:rPr>
        <w:t xml:space="preserve"> 2001 until 2013. No explanation is given for the change of stance to contest the constitutional</w:t>
      </w:r>
      <w:r w:rsidR="00D16EC4" w:rsidRPr="001C25CA">
        <w:rPr>
          <w:rFonts w:ascii="Arial" w:hAnsi="Arial" w:cs="Arial"/>
          <w:sz w:val="24"/>
          <w:szCs w:val="24"/>
        </w:rPr>
        <w:t>ity of land tax and the further applications directed at retarding its implementation.</w:t>
      </w:r>
    </w:p>
    <w:p w:rsidR="00207960" w:rsidRPr="001C25CA" w:rsidRDefault="00207960" w:rsidP="00207960">
      <w:pPr>
        <w:pStyle w:val="ListParagraph"/>
        <w:rPr>
          <w:rFonts w:ascii="Arial" w:hAnsi="Arial" w:cs="Arial"/>
          <w:sz w:val="24"/>
          <w:szCs w:val="24"/>
        </w:rPr>
      </w:pPr>
    </w:p>
    <w:p w:rsidR="00207960" w:rsidRPr="001C25CA" w:rsidRDefault="00D16EC4"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Mr Rust states that the appellant’s financial position is sound. Although the founding papers in the main application refer to the precariousness of farming in Namibia, the appellant is however clearly not unable to pay the land tax assessed upon its farms. The total amount of land tax assessed </w:t>
      </w:r>
      <w:r w:rsidR="00012D59" w:rsidRPr="001C25CA">
        <w:rPr>
          <w:rFonts w:ascii="Arial" w:hAnsi="Arial" w:cs="Arial"/>
          <w:sz w:val="24"/>
          <w:szCs w:val="24"/>
        </w:rPr>
        <w:t xml:space="preserve">for both farms </w:t>
      </w:r>
      <w:r w:rsidRPr="001C25CA">
        <w:rPr>
          <w:rFonts w:ascii="Arial" w:hAnsi="Arial" w:cs="Arial"/>
          <w:sz w:val="24"/>
          <w:szCs w:val="24"/>
        </w:rPr>
        <w:t xml:space="preserve">for the </w:t>
      </w:r>
      <w:r w:rsidR="00450915">
        <w:rPr>
          <w:rFonts w:ascii="Arial" w:hAnsi="Arial" w:cs="Arial"/>
          <w:sz w:val="24"/>
          <w:szCs w:val="24"/>
        </w:rPr>
        <w:t xml:space="preserve">tax </w:t>
      </w:r>
      <w:r w:rsidRPr="001C25CA">
        <w:rPr>
          <w:rFonts w:ascii="Arial" w:hAnsi="Arial" w:cs="Arial"/>
          <w:sz w:val="24"/>
          <w:szCs w:val="24"/>
        </w:rPr>
        <w:t xml:space="preserve">2013/2014, 2014/2015 and 2015/2016 years is N$7546 in each year. </w:t>
      </w:r>
      <w:r w:rsidR="00450915">
        <w:rPr>
          <w:rFonts w:ascii="Arial" w:hAnsi="Arial" w:cs="Arial"/>
          <w:sz w:val="24"/>
          <w:szCs w:val="24"/>
        </w:rPr>
        <w:t>I</w:t>
      </w:r>
      <w:r w:rsidRPr="001C25CA">
        <w:rPr>
          <w:rFonts w:ascii="Arial" w:hAnsi="Arial" w:cs="Arial"/>
          <w:sz w:val="24"/>
          <w:szCs w:val="24"/>
        </w:rPr>
        <w:t xml:space="preserve">n the founding affidavit </w:t>
      </w:r>
      <w:r w:rsidR="00450915">
        <w:rPr>
          <w:rFonts w:ascii="Arial" w:hAnsi="Arial" w:cs="Arial"/>
          <w:sz w:val="24"/>
          <w:szCs w:val="24"/>
        </w:rPr>
        <w:t xml:space="preserve">it is said </w:t>
      </w:r>
      <w:r w:rsidRPr="001C25CA">
        <w:rPr>
          <w:rFonts w:ascii="Arial" w:hAnsi="Arial" w:cs="Arial"/>
          <w:sz w:val="24"/>
          <w:szCs w:val="24"/>
        </w:rPr>
        <w:t xml:space="preserve">that the spectre of paying land tax ‘struck like lightning’ and had </w:t>
      </w:r>
      <w:r w:rsidRPr="001C25CA">
        <w:rPr>
          <w:rFonts w:ascii="Arial" w:hAnsi="Arial" w:cs="Arial"/>
          <w:sz w:val="24"/>
          <w:szCs w:val="24"/>
        </w:rPr>
        <w:lastRenderedPageBreak/>
        <w:t xml:space="preserve">not been preceded by consultation, </w:t>
      </w:r>
      <w:r w:rsidR="00012D59" w:rsidRPr="001C25CA">
        <w:rPr>
          <w:rFonts w:ascii="Arial" w:hAnsi="Arial" w:cs="Arial"/>
          <w:sz w:val="24"/>
          <w:szCs w:val="24"/>
        </w:rPr>
        <w:t xml:space="preserve">and </w:t>
      </w:r>
      <w:r w:rsidRPr="001C25CA">
        <w:rPr>
          <w:rFonts w:ascii="Arial" w:hAnsi="Arial" w:cs="Arial"/>
          <w:sz w:val="24"/>
          <w:szCs w:val="24"/>
        </w:rPr>
        <w:t xml:space="preserve">without </w:t>
      </w:r>
      <w:r w:rsidR="005D6CA4">
        <w:rPr>
          <w:rFonts w:ascii="Arial" w:hAnsi="Arial" w:cs="Arial"/>
          <w:sz w:val="24"/>
          <w:szCs w:val="24"/>
        </w:rPr>
        <w:t>regard</w:t>
      </w:r>
      <w:r w:rsidRPr="001C25CA">
        <w:rPr>
          <w:rFonts w:ascii="Arial" w:hAnsi="Arial" w:cs="Arial"/>
          <w:sz w:val="24"/>
          <w:szCs w:val="24"/>
        </w:rPr>
        <w:t xml:space="preserve"> to recent droughts and the plight of farmers.</w:t>
      </w:r>
    </w:p>
    <w:p w:rsidR="00D16EC4" w:rsidRPr="001C25CA" w:rsidRDefault="00D16EC4" w:rsidP="00D16EC4">
      <w:pPr>
        <w:pStyle w:val="ListParagraph"/>
        <w:rPr>
          <w:rFonts w:ascii="Arial" w:hAnsi="Arial" w:cs="Arial"/>
          <w:sz w:val="24"/>
          <w:szCs w:val="24"/>
        </w:rPr>
      </w:pPr>
    </w:p>
    <w:p w:rsidR="00D16EC4" w:rsidRPr="001C25CA" w:rsidRDefault="00D16EC4"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In essence, the main applications seeks to strike down s 7</w:t>
      </w:r>
      <w:r w:rsidR="00012D59" w:rsidRPr="001C25CA">
        <w:rPr>
          <w:rFonts w:ascii="Arial" w:hAnsi="Arial" w:cs="Arial"/>
          <w:sz w:val="24"/>
          <w:szCs w:val="24"/>
        </w:rPr>
        <w:t>6</w:t>
      </w:r>
      <w:r w:rsidRPr="001C25CA">
        <w:rPr>
          <w:rFonts w:ascii="Arial" w:hAnsi="Arial" w:cs="Arial"/>
          <w:sz w:val="24"/>
          <w:szCs w:val="24"/>
        </w:rPr>
        <w:t xml:space="preserve"> to s 80 of the Act as unconstitutional on the basis that the imposition of the tax was impermissibl</w:t>
      </w:r>
      <w:r w:rsidR="00012D59" w:rsidRPr="001C25CA">
        <w:rPr>
          <w:rFonts w:ascii="Arial" w:hAnsi="Arial" w:cs="Arial"/>
          <w:sz w:val="24"/>
          <w:szCs w:val="24"/>
        </w:rPr>
        <w:t>y</w:t>
      </w:r>
      <w:r w:rsidRPr="001C25CA">
        <w:rPr>
          <w:rFonts w:ascii="Arial" w:hAnsi="Arial" w:cs="Arial"/>
          <w:sz w:val="24"/>
          <w:szCs w:val="24"/>
        </w:rPr>
        <w:t xml:space="preserve"> delegated by the legislature to the Minister as part of the executive – in conflict with the fundamental principle of separation of powers. Section 76B</w:t>
      </w:r>
      <w:r w:rsidR="00AE6161">
        <w:rPr>
          <w:rFonts w:ascii="Arial" w:hAnsi="Arial" w:cs="Arial"/>
          <w:sz w:val="24"/>
          <w:szCs w:val="24"/>
        </w:rPr>
        <w:t>,</w:t>
      </w:r>
      <w:r w:rsidRPr="001C25CA">
        <w:rPr>
          <w:rFonts w:ascii="Arial" w:hAnsi="Arial" w:cs="Arial"/>
          <w:sz w:val="24"/>
          <w:szCs w:val="24"/>
        </w:rPr>
        <w:t xml:space="preserve"> which authorises the Minister to grant exemptions from </w:t>
      </w:r>
      <w:r w:rsidR="005D6CA4">
        <w:rPr>
          <w:rFonts w:ascii="Arial" w:hAnsi="Arial" w:cs="Arial"/>
          <w:sz w:val="24"/>
          <w:szCs w:val="24"/>
        </w:rPr>
        <w:t xml:space="preserve">paying </w:t>
      </w:r>
      <w:r w:rsidRPr="001C25CA">
        <w:rPr>
          <w:rFonts w:ascii="Arial" w:hAnsi="Arial" w:cs="Arial"/>
          <w:sz w:val="24"/>
          <w:szCs w:val="24"/>
        </w:rPr>
        <w:t>land tax</w:t>
      </w:r>
      <w:r w:rsidR="00AE6161">
        <w:rPr>
          <w:rFonts w:ascii="Arial" w:hAnsi="Arial" w:cs="Arial"/>
          <w:sz w:val="24"/>
          <w:szCs w:val="24"/>
        </w:rPr>
        <w:t>,</w:t>
      </w:r>
      <w:r w:rsidRPr="001C25CA">
        <w:rPr>
          <w:rFonts w:ascii="Arial" w:hAnsi="Arial" w:cs="Arial"/>
          <w:sz w:val="24"/>
          <w:szCs w:val="24"/>
        </w:rPr>
        <w:t xml:space="preserve"> is said to constitute an impermissible delegation of a discretion upon the minister to execute a law </w:t>
      </w:r>
      <w:r w:rsidR="00450915">
        <w:rPr>
          <w:rFonts w:ascii="Arial" w:hAnsi="Arial" w:cs="Arial"/>
          <w:sz w:val="24"/>
          <w:szCs w:val="24"/>
        </w:rPr>
        <w:t>enacted</w:t>
      </w:r>
      <w:r w:rsidRPr="001C25CA">
        <w:rPr>
          <w:rFonts w:ascii="Arial" w:hAnsi="Arial" w:cs="Arial"/>
          <w:sz w:val="24"/>
          <w:szCs w:val="24"/>
        </w:rPr>
        <w:t xml:space="preserve"> by the legislature </w:t>
      </w:r>
      <w:r w:rsidR="005D6CA4">
        <w:rPr>
          <w:rFonts w:ascii="Arial" w:hAnsi="Arial" w:cs="Arial"/>
          <w:sz w:val="24"/>
          <w:szCs w:val="24"/>
        </w:rPr>
        <w:t>and</w:t>
      </w:r>
      <w:r w:rsidR="00012D59" w:rsidRPr="001C25CA">
        <w:rPr>
          <w:rFonts w:ascii="Arial" w:hAnsi="Arial" w:cs="Arial"/>
          <w:sz w:val="24"/>
          <w:szCs w:val="24"/>
        </w:rPr>
        <w:t xml:space="preserve"> also </w:t>
      </w:r>
      <w:r w:rsidR="005D6CA4">
        <w:rPr>
          <w:rFonts w:ascii="Arial" w:hAnsi="Arial" w:cs="Arial"/>
          <w:sz w:val="24"/>
          <w:szCs w:val="24"/>
        </w:rPr>
        <w:t xml:space="preserve">as </w:t>
      </w:r>
      <w:r w:rsidR="00012D59" w:rsidRPr="001C25CA">
        <w:rPr>
          <w:rFonts w:ascii="Arial" w:hAnsi="Arial" w:cs="Arial"/>
          <w:sz w:val="24"/>
          <w:szCs w:val="24"/>
        </w:rPr>
        <w:t>being</w:t>
      </w:r>
      <w:r w:rsidRPr="001C25CA">
        <w:rPr>
          <w:rFonts w:ascii="Arial" w:hAnsi="Arial" w:cs="Arial"/>
          <w:sz w:val="24"/>
          <w:szCs w:val="24"/>
        </w:rPr>
        <w:t xml:space="preserve"> inconsistent with Art 22 of the Constitution.</w:t>
      </w:r>
    </w:p>
    <w:p w:rsidR="00D16EC4" w:rsidRPr="001C25CA" w:rsidRDefault="00D16EC4" w:rsidP="00D16EC4">
      <w:pPr>
        <w:pStyle w:val="ListParagraph"/>
        <w:rPr>
          <w:rFonts w:ascii="Arial" w:hAnsi="Arial" w:cs="Arial"/>
          <w:sz w:val="24"/>
          <w:szCs w:val="24"/>
        </w:rPr>
      </w:pPr>
    </w:p>
    <w:p w:rsidR="00D16EC4" w:rsidRPr="001C25CA" w:rsidRDefault="00D16EC4"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primary basis </w:t>
      </w:r>
      <w:r w:rsidR="00012D59" w:rsidRPr="001C25CA">
        <w:rPr>
          <w:rFonts w:ascii="Arial" w:hAnsi="Arial" w:cs="Arial"/>
          <w:sz w:val="24"/>
          <w:szCs w:val="24"/>
        </w:rPr>
        <w:t>for the challenge to</w:t>
      </w:r>
      <w:r w:rsidRPr="001C25CA">
        <w:rPr>
          <w:rFonts w:ascii="Arial" w:hAnsi="Arial" w:cs="Arial"/>
          <w:sz w:val="24"/>
          <w:szCs w:val="24"/>
        </w:rPr>
        <w:t xml:space="preserve"> the </w:t>
      </w:r>
      <w:r w:rsidR="005D6CA4">
        <w:rPr>
          <w:rFonts w:ascii="Arial" w:hAnsi="Arial" w:cs="Arial"/>
          <w:sz w:val="24"/>
          <w:szCs w:val="24"/>
        </w:rPr>
        <w:t xml:space="preserve">various </w:t>
      </w:r>
      <w:r w:rsidRPr="001C25CA">
        <w:rPr>
          <w:rFonts w:ascii="Arial" w:hAnsi="Arial" w:cs="Arial"/>
          <w:sz w:val="24"/>
          <w:szCs w:val="24"/>
        </w:rPr>
        <w:t xml:space="preserve">impugned </w:t>
      </w:r>
      <w:r w:rsidR="001E4C77" w:rsidRPr="001C25CA">
        <w:rPr>
          <w:rFonts w:ascii="Arial" w:hAnsi="Arial" w:cs="Arial"/>
          <w:sz w:val="24"/>
          <w:szCs w:val="24"/>
        </w:rPr>
        <w:t>regulation</w:t>
      </w:r>
      <w:r w:rsidR="005D6CA4">
        <w:rPr>
          <w:rFonts w:ascii="Arial" w:hAnsi="Arial" w:cs="Arial"/>
          <w:sz w:val="24"/>
          <w:szCs w:val="24"/>
        </w:rPr>
        <w:t>s</w:t>
      </w:r>
      <w:r w:rsidRPr="001C25CA">
        <w:rPr>
          <w:rFonts w:ascii="Arial" w:hAnsi="Arial" w:cs="Arial"/>
          <w:sz w:val="24"/>
          <w:szCs w:val="24"/>
        </w:rPr>
        <w:t xml:space="preserve"> </w:t>
      </w:r>
      <w:r w:rsidR="00012D59" w:rsidRPr="001C25CA">
        <w:rPr>
          <w:rFonts w:ascii="Arial" w:hAnsi="Arial" w:cs="Arial"/>
          <w:sz w:val="24"/>
          <w:szCs w:val="24"/>
        </w:rPr>
        <w:t>is</w:t>
      </w:r>
      <w:r w:rsidRPr="001C25CA">
        <w:rPr>
          <w:rFonts w:ascii="Arial" w:hAnsi="Arial" w:cs="Arial"/>
          <w:sz w:val="24"/>
          <w:szCs w:val="24"/>
        </w:rPr>
        <w:t xml:space="preserve"> the premise </w:t>
      </w:r>
      <w:r w:rsidR="00C01777" w:rsidRPr="001C25CA">
        <w:rPr>
          <w:rFonts w:ascii="Arial" w:hAnsi="Arial" w:cs="Arial"/>
          <w:sz w:val="24"/>
          <w:szCs w:val="24"/>
        </w:rPr>
        <w:t xml:space="preserve">that they were issued pursuant to a tax </w:t>
      </w:r>
      <w:r w:rsidR="005D6CA4">
        <w:rPr>
          <w:rFonts w:ascii="Arial" w:hAnsi="Arial" w:cs="Arial"/>
          <w:sz w:val="24"/>
          <w:szCs w:val="24"/>
        </w:rPr>
        <w:t>regime</w:t>
      </w:r>
      <w:r w:rsidR="00C01777" w:rsidRPr="001C25CA">
        <w:rPr>
          <w:rFonts w:ascii="Arial" w:hAnsi="Arial" w:cs="Arial"/>
          <w:sz w:val="24"/>
          <w:szCs w:val="24"/>
        </w:rPr>
        <w:t xml:space="preserve"> which was contended to be invalid</w:t>
      </w:r>
      <w:r w:rsidR="00A106B4">
        <w:rPr>
          <w:rFonts w:ascii="Arial" w:hAnsi="Arial" w:cs="Arial"/>
          <w:sz w:val="24"/>
          <w:szCs w:val="24"/>
        </w:rPr>
        <w:t xml:space="preserve"> on the </w:t>
      </w:r>
      <w:r w:rsidR="00AE6161">
        <w:rPr>
          <w:rFonts w:ascii="Arial" w:hAnsi="Arial" w:cs="Arial"/>
          <w:sz w:val="24"/>
          <w:szCs w:val="24"/>
        </w:rPr>
        <w:t xml:space="preserve">constitutional </w:t>
      </w:r>
      <w:r w:rsidR="00A106B4">
        <w:rPr>
          <w:rFonts w:ascii="Arial" w:hAnsi="Arial" w:cs="Arial"/>
          <w:sz w:val="24"/>
          <w:szCs w:val="24"/>
        </w:rPr>
        <w:t>ground already stated</w:t>
      </w:r>
      <w:r w:rsidR="00C01777" w:rsidRPr="001C25CA">
        <w:rPr>
          <w:rFonts w:ascii="Arial" w:hAnsi="Arial" w:cs="Arial"/>
          <w:sz w:val="24"/>
          <w:szCs w:val="24"/>
        </w:rPr>
        <w:t xml:space="preserve">. </w:t>
      </w:r>
      <w:r w:rsidR="00012D59" w:rsidRPr="001C25CA">
        <w:rPr>
          <w:rFonts w:ascii="Arial" w:hAnsi="Arial" w:cs="Arial"/>
          <w:sz w:val="24"/>
          <w:szCs w:val="24"/>
        </w:rPr>
        <w:t>I</w:t>
      </w:r>
      <w:r w:rsidR="00C01777" w:rsidRPr="001C25CA">
        <w:rPr>
          <w:rFonts w:ascii="Arial" w:hAnsi="Arial" w:cs="Arial"/>
          <w:sz w:val="24"/>
          <w:szCs w:val="24"/>
        </w:rPr>
        <w:t xml:space="preserve">ndividual </w:t>
      </w:r>
      <w:r w:rsidR="001E4C77" w:rsidRPr="001C25CA">
        <w:rPr>
          <w:rFonts w:ascii="Arial" w:hAnsi="Arial" w:cs="Arial"/>
          <w:sz w:val="24"/>
          <w:szCs w:val="24"/>
        </w:rPr>
        <w:t>regulation</w:t>
      </w:r>
      <w:r w:rsidR="005D6CA4">
        <w:rPr>
          <w:rFonts w:ascii="Arial" w:hAnsi="Arial" w:cs="Arial"/>
          <w:sz w:val="24"/>
          <w:szCs w:val="24"/>
        </w:rPr>
        <w:t>s</w:t>
      </w:r>
      <w:r w:rsidR="00C01777" w:rsidRPr="001C25CA">
        <w:rPr>
          <w:rFonts w:ascii="Arial" w:hAnsi="Arial" w:cs="Arial"/>
          <w:sz w:val="24"/>
          <w:szCs w:val="24"/>
        </w:rPr>
        <w:t xml:space="preserve"> were also </w:t>
      </w:r>
      <w:r w:rsidR="00012D59" w:rsidRPr="001C25CA">
        <w:rPr>
          <w:rFonts w:ascii="Arial" w:hAnsi="Arial" w:cs="Arial"/>
          <w:sz w:val="24"/>
          <w:szCs w:val="24"/>
        </w:rPr>
        <w:t>impugned</w:t>
      </w:r>
      <w:r w:rsidR="00C01777" w:rsidRPr="001C25CA">
        <w:rPr>
          <w:rFonts w:ascii="Arial" w:hAnsi="Arial" w:cs="Arial"/>
          <w:sz w:val="24"/>
          <w:szCs w:val="24"/>
        </w:rPr>
        <w:t xml:space="preserve"> upon other grounds</w:t>
      </w:r>
      <w:r w:rsidR="00012D59" w:rsidRPr="001C25CA">
        <w:rPr>
          <w:rFonts w:ascii="Arial" w:hAnsi="Arial" w:cs="Arial"/>
          <w:sz w:val="24"/>
          <w:szCs w:val="24"/>
        </w:rPr>
        <w:t>, i</w:t>
      </w:r>
      <w:r w:rsidR="00C01777" w:rsidRPr="001C25CA">
        <w:rPr>
          <w:rFonts w:ascii="Arial" w:hAnsi="Arial" w:cs="Arial"/>
          <w:sz w:val="24"/>
          <w:szCs w:val="24"/>
        </w:rPr>
        <w:t xml:space="preserve">n some instances as being inconsistent with the rule of law, or the common law or Arts 12 and 18 of the Constitution or a combination of these but without specifying in which respects they were alleged to offend against these principles </w:t>
      </w:r>
      <w:r w:rsidR="00450915">
        <w:rPr>
          <w:rFonts w:ascii="Arial" w:hAnsi="Arial" w:cs="Arial"/>
          <w:sz w:val="24"/>
          <w:szCs w:val="24"/>
        </w:rPr>
        <w:t>and/</w:t>
      </w:r>
      <w:r w:rsidR="00C01777" w:rsidRPr="001C25CA">
        <w:rPr>
          <w:rFonts w:ascii="Arial" w:hAnsi="Arial" w:cs="Arial"/>
          <w:sz w:val="24"/>
          <w:szCs w:val="24"/>
        </w:rPr>
        <w:t>or provisions. The founding papers merely deferred the basis for making these assertions to legal argument.</w:t>
      </w:r>
    </w:p>
    <w:p w:rsidR="00D16EC4" w:rsidRPr="001C25CA" w:rsidRDefault="00D16EC4" w:rsidP="00D16EC4">
      <w:pPr>
        <w:pStyle w:val="ListParagraph"/>
        <w:rPr>
          <w:rFonts w:ascii="Arial" w:hAnsi="Arial" w:cs="Arial"/>
          <w:sz w:val="24"/>
          <w:szCs w:val="24"/>
        </w:rPr>
      </w:pPr>
    </w:p>
    <w:p w:rsidR="00012D59" w:rsidRPr="001C25CA" w:rsidRDefault="00C01777"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This approach lacks the particularity required for pleading in constitution</w:t>
      </w:r>
      <w:r w:rsidR="00012D59" w:rsidRPr="001C25CA">
        <w:rPr>
          <w:rFonts w:ascii="Arial" w:hAnsi="Arial" w:cs="Arial"/>
          <w:sz w:val="24"/>
          <w:szCs w:val="24"/>
        </w:rPr>
        <w:t>al</w:t>
      </w:r>
      <w:r w:rsidRPr="001C25CA">
        <w:rPr>
          <w:rFonts w:ascii="Arial" w:hAnsi="Arial" w:cs="Arial"/>
          <w:sz w:val="24"/>
          <w:szCs w:val="24"/>
        </w:rPr>
        <w:t xml:space="preserve"> litigation. </w:t>
      </w:r>
    </w:p>
    <w:p w:rsidR="00012D59" w:rsidRPr="001C25CA" w:rsidRDefault="00012D59" w:rsidP="00012D59">
      <w:pPr>
        <w:pStyle w:val="ListParagraph"/>
        <w:rPr>
          <w:rFonts w:ascii="Arial" w:hAnsi="Arial" w:cs="Arial"/>
          <w:sz w:val="24"/>
          <w:szCs w:val="24"/>
        </w:rPr>
      </w:pPr>
    </w:p>
    <w:p w:rsidR="00D16EC4" w:rsidRPr="001C25CA" w:rsidRDefault="00012D59"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lastRenderedPageBreak/>
        <w:t>In dis</w:t>
      </w:r>
      <w:r w:rsidR="005D6CA4">
        <w:rPr>
          <w:rFonts w:ascii="Arial" w:hAnsi="Arial" w:cs="Arial"/>
          <w:sz w:val="24"/>
          <w:szCs w:val="24"/>
        </w:rPr>
        <w:t>cu</w:t>
      </w:r>
      <w:r w:rsidRPr="001C25CA">
        <w:rPr>
          <w:rFonts w:ascii="Arial" w:hAnsi="Arial" w:cs="Arial"/>
          <w:sz w:val="24"/>
          <w:szCs w:val="24"/>
        </w:rPr>
        <w:t xml:space="preserve">ssing </w:t>
      </w:r>
      <w:r w:rsidR="00C01777" w:rsidRPr="001C25CA">
        <w:rPr>
          <w:rFonts w:ascii="Arial" w:hAnsi="Arial" w:cs="Arial"/>
          <w:sz w:val="24"/>
          <w:szCs w:val="24"/>
        </w:rPr>
        <w:t xml:space="preserve">the </w:t>
      </w:r>
      <w:r w:rsidR="00AE6161">
        <w:rPr>
          <w:rFonts w:ascii="Arial" w:hAnsi="Arial" w:cs="Arial"/>
          <w:sz w:val="24"/>
          <w:szCs w:val="24"/>
        </w:rPr>
        <w:t xml:space="preserve">general </w:t>
      </w:r>
      <w:r w:rsidR="00C01777" w:rsidRPr="001C25CA">
        <w:rPr>
          <w:rFonts w:ascii="Arial" w:hAnsi="Arial" w:cs="Arial"/>
          <w:sz w:val="24"/>
          <w:szCs w:val="24"/>
        </w:rPr>
        <w:t>principle of parties pleading their cases with sufficient particularity</w:t>
      </w:r>
      <w:r w:rsidR="00A106B4">
        <w:rPr>
          <w:rFonts w:ascii="Arial" w:hAnsi="Arial" w:cs="Arial"/>
          <w:sz w:val="24"/>
          <w:szCs w:val="24"/>
        </w:rPr>
        <w:t>,</w:t>
      </w:r>
      <w:r w:rsidRPr="001C25CA">
        <w:rPr>
          <w:rFonts w:ascii="Arial" w:hAnsi="Arial" w:cs="Arial"/>
          <w:sz w:val="24"/>
          <w:szCs w:val="24"/>
        </w:rPr>
        <w:t xml:space="preserve"> this court</w:t>
      </w:r>
      <w:r w:rsidR="00C01777" w:rsidRPr="001C25CA">
        <w:rPr>
          <w:rFonts w:ascii="Arial" w:hAnsi="Arial" w:cs="Arial"/>
          <w:sz w:val="24"/>
          <w:szCs w:val="24"/>
        </w:rPr>
        <w:t xml:space="preserve"> in </w:t>
      </w:r>
      <w:r w:rsidR="00C01777" w:rsidRPr="001C25CA">
        <w:rPr>
          <w:rFonts w:ascii="Arial" w:hAnsi="Arial" w:cs="Arial"/>
          <w:i/>
          <w:sz w:val="24"/>
          <w:szCs w:val="24"/>
        </w:rPr>
        <w:t>Standard Bank Namibia v Maletzky</w:t>
      </w:r>
      <w:r w:rsidRPr="001C25CA">
        <w:rPr>
          <w:rFonts w:ascii="Arial" w:hAnsi="Arial" w:cs="Arial"/>
          <w:sz w:val="24"/>
          <w:szCs w:val="24"/>
        </w:rPr>
        <w:t xml:space="preserve"> </w:t>
      </w:r>
      <w:r w:rsidR="005D6CA4">
        <w:rPr>
          <w:rFonts w:ascii="Arial" w:hAnsi="Arial" w:cs="Arial"/>
          <w:sz w:val="24"/>
          <w:szCs w:val="24"/>
        </w:rPr>
        <w:t xml:space="preserve">recently </w:t>
      </w:r>
      <w:r w:rsidRPr="001C25CA">
        <w:rPr>
          <w:rFonts w:ascii="Arial" w:hAnsi="Arial" w:cs="Arial"/>
          <w:sz w:val="24"/>
          <w:szCs w:val="24"/>
        </w:rPr>
        <w:t>stated:</w:t>
      </w:r>
      <w:r w:rsidR="00C01777" w:rsidRPr="001C25CA">
        <w:rPr>
          <w:rStyle w:val="FootnoteReference"/>
          <w:rFonts w:ascii="Arial" w:hAnsi="Arial" w:cs="Arial"/>
          <w:sz w:val="24"/>
          <w:szCs w:val="24"/>
        </w:rPr>
        <w:footnoteReference w:id="7"/>
      </w:r>
    </w:p>
    <w:p w:rsidR="00C01777" w:rsidRDefault="00C01777" w:rsidP="00274F4E">
      <w:pPr>
        <w:pStyle w:val="ListParagraph"/>
        <w:spacing w:after="0" w:line="360" w:lineRule="auto"/>
        <w:rPr>
          <w:rFonts w:ascii="Arial" w:hAnsi="Arial" w:cs="Arial"/>
          <w:sz w:val="24"/>
          <w:szCs w:val="24"/>
        </w:rPr>
      </w:pPr>
    </w:p>
    <w:p w:rsidR="00C01777" w:rsidRPr="005D6CA4" w:rsidRDefault="005D6CA4" w:rsidP="00A63522">
      <w:pPr>
        <w:pStyle w:val="NoSpacing"/>
        <w:spacing w:line="360" w:lineRule="auto"/>
        <w:ind w:left="720"/>
        <w:jc w:val="both"/>
        <w:rPr>
          <w:rFonts w:ascii="Arial" w:hAnsi="Arial" w:cs="Arial"/>
        </w:rPr>
      </w:pPr>
      <w:r w:rsidRPr="005D6CA4">
        <w:rPr>
          <w:rFonts w:ascii="Arial" w:hAnsi="Arial" w:cs="Arial"/>
        </w:rPr>
        <w:t>‘Rule 6(1) of the High Court Rules provides in relevant part that '(e)very application shall be brought on notice of motion supported by an affidavit as to the facts upon which the applicant relies for relief'. The purpose of identifying the key facts in the founding affidavit is to enable a respondent to know what case must be met. The founding affidavit must thus contain all the essential factual averments upon which the litigant's cause of action is based in sufficiently clear terms that the respondent may</w:t>
      </w:r>
      <w:r w:rsidR="00A106B4">
        <w:rPr>
          <w:rFonts w:ascii="Arial" w:hAnsi="Arial" w:cs="Arial"/>
        </w:rPr>
        <w:t xml:space="preserve"> know the case that must be met . . . </w:t>
      </w:r>
      <w:r w:rsidRPr="005D6CA4">
        <w:rPr>
          <w:rFonts w:ascii="Arial" w:hAnsi="Arial" w:cs="Arial"/>
        </w:rPr>
        <w:t>. Clarity in the founding affidavit is necessary for the expeditious and fair adjudication of the dispute between the parties. Where founding affidavits lack that clarity not only will respondents struggle to determine the case that is to be met, but judges too will be hampered in their task of administering justice fairly to all litigants.</w:t>
      </w:r>
      <w:r w:rsidR="00A63522" w:rsidRPr="005D6CA4">
        <w:rPr>
          <w:rFonts w:ascii="Arial" w:hAnsi="Arial" w:cs="Arial"/>
        </w:rPr>
        <w:t>. . . .’</w:t>
      </w:r>
      <w:r w:rsidR="00C01777" w:rsidRPr="005D6CA4">
        <w:rPr>
          <w:rStyle w:val="FootnoteReference"/>
          <w:rFonts w:ascii="Arial" w:hAnsi="Arial" w:cs="Arial"/>
        </w:rPr>
        <w:footnoteReference w:id="8"/>
      </w:r>
    </w:p>
    <w:p w:rsidR="00C01777" w:rsidRPr="001C25CA" w:rsidRDefault="00C01777" w:rsidP="00C01777">
      <w:pPr>
        <w:pStyle w:val="ListParagraph"/>
        <w:rPr>
          <w:rFonts w:ascii="Arial" w:hAnsi="Arial" w:cs="Arial"/>
          <w:sz w:val="24"/>
          <w:szCs w:val="24"/>
        </w:rPr>
      </w:pPr>
    </w:p>
    <w:p w:rsidR="00C01777" w:rsidRPr="001C25CA" w:rsidRDefault="00C01777"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These principles apply</w:t>
      </w:r>
      <w:r w:rsidR="00012D59" w:rsidRPr="001C25CA">
        <w:rPr>
          <w:rFonts w:ascii="Arial" w:hAnsi="Arial" w:cs="Arial"/>
          <w:sz w:val="24"/>
          <w:szCs w:val="24"/>
        </w:rPr>
        <w:t xml:space="preserve"> with equal force</w:t>
      </w:r>
      <w:r w:rsidRPr="001C25CA">
        <w:rPr>
          <w:rFonts w:ascii="Arial" w:hAnsi="Arial" w:cs="Arial"/>
          <w:sz w:val="24"/>
          <w:szCs w:val="24"/>
        </w:rPr>
        <w:t xml:space="preserve"> in proceedings where statutory provisions come under constitutional attack. Not only are the impugned provisions to be precisely identified, but the challenge </w:t>
      </w:r>
      <w:r w:rsidR="00012D59" w:rsidRPr="001C25CA">
        <w:rPr>
          <w:rFonts w:ascii="Arial" w:hAnsi="Arial" w:cs="Arial"/>
          <w:sz w:val="24"/>
          <w:szCs w:val="24"/>
        </w:rPr>
        <w:t>upon</w:t>
      </w:r>
      <w:r w:rsidRPr="001C25CA">
        <w:rPr>
          <w:rFonts w:ascii="Arial" w:hAnsi="Arial" w:cs="Arial"/>
          <w:sz w:val="24"/>
          <w:szCs w:val="24"/>
        </w:rPr>
        <w:t xml:space="preserve"> them must be substantiated and specified so that respondents are fully apprised of the case to be met and evidence which may be relevant to it.</w:t>
      </w:r>
      <w:r w:rsidRPr="001C25CA">
        <w:rPr>
          <w:rStyle w:val="FootnoteReference"/>
          <w:rFonts w:ascii="Arial" w:hAnsi="Arial" w:cs="Arial"/>
          <w:sz w:val="24"/>
          <w:szCs w:val="24"/>
        </w:rPr>
        <w:footnoteReference w:id="9"/>
      </w:r>
      <w:r w:rsidR="00A106B4">
        <w:rPr>
          <w:rFonts w:ascii="Arial" w:hAnsi="Arial" w:cs="Arial"/>
          <w:sz w:val="24"/>
          <w:szCs w:val="24"/>
        </w:rPr>
        <w:t xml:space="preserve"> This was lacking in several instances in the appellant’s founding papers.</w:t>
      </w:r>
    </w:p>
    <w:p w:rsidR="00C01777" w:rsidRDefault="00C01777" w:rsidP="00012D59">
      <w:pPr>
        <w:rPr>
          <w:rFonts w:ascii="Arial" w:hAnsi="Arial" w:cs="Arial"/>
          <w:sz w:val="24"/>
          <w:szCs w:val="24"/>
        </w:rPr>
      </w:pPr>
    </w:p>
    <w:p w:rsidR="00594EA3" w:rsidRPr="001C25CA" w:rsidRDefault="00594EA3" w:rsidP="00012D59">
      <w:pPr>
        <w:rPr>
          <w:rFonts w:ascii="Arial" w:hAnsi="Arial" w:cs="Arial"/>
          <w:sz w:val="24"/>
          <w:szCs w:val="24"/>
        </w:rPr>
      </w:pPr>
    </w:p>
    <w:p w:rsidR="00012D59" w:rsidRPr="001C25CA" w:rsidRDefault="00012D59" w:rsidP="00012D59">
      <w:pPr>
        <w:rPr>
          <w:rFonts w:ascii="Arial" w:hAnsi="Arial" w:cs="Arial"/>
          <w:sz w:val="24"/>
          <w:szCs w:val="24"/>
          <w:u w:val="single"/>
        </w:rPr>
      </w:pPr>
      <w:r w:rsidRPr="001C25CA">
        <w:rPr>
          <w:rFonts w:ascii="Arial" w:hAnsi="Arial" w:cs="Arial"/>
          <w:sz w:val="24"/>
          <w:szCs w:val="24"/>
          <w:u w:val="single"/>
        </w:rPr>
        <w:t>Issues on appeal</w:t>
      </w:r>
    </w:p>
    <w:p w:rsidR="00C01777" w:rsidRPr="001C25CA" w:rsidRDefault="00012D59" w:rsidP="002212A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 main thrust of the appellant’s appeal is the constitutional challenge to the s 76 and</w:t>
      </w:r>
      <w:r w:rsidR="009B3D7F" w:rsidRPr="001C25CA">
        <w:rPr>
          <w:rFonts w:ascii="Arial" w:hAnsi="Arial" w:cs="Arial"/>
          <w:sz w:val="24"/>
          <w:szCs w:val="24"/>
        </w:rPr>
        <w:t xml:space="preserve"> s 76B</w:t>
      </w:r>
      <w:r w:rsidR="00450915">
        <w:rPr>
          <w:rFonts w:ascii="Arial" w:hAnsi="Arial" w:cs="Arial"/>
          <w:sz w:val="24"/>
          <w:szCs w:val="24"/>
        </w:rPr>
        <w:t xml:space="preserve"> of the Act</w:t>
      </w:r>
      <w:r w:rsidR="009B3D7F" w:rsidRPr="001C25CA">
        <w:rPr>
          <w:rFonts w:ascii="Arial" w:hAnsi="Arial" w:cs="Arial"/>
          <w:sz w:val="24"/>
          <w:szCs w:val="24"/>
        </w:rPr>
        <w:t xml:space="preserve"> on the grounds of an impermissible delegation of plenary </w:t>
      </w:r>
      <w:r w:rsidR="009B3D7F" w:rsidRPr="001C25CA">
        <w:rPr>
          <w:rFonts w:ascii="Arial" w:hAnsi="Arial" w:cs="Arial"/>
          <w:sz w:val="24"/>
          <w:szCs w:val="24"/>
        </w:rPr>
        <w:lastRenderedPageBreak/>
        <w:t>legislat</w:t>
      </w:r>
      <w:r w:rsidR="00AE6161">
        <w:rPr>
          <w:rFonts w:ascii="Arial" w:hAnsi="Arial" w:cs="Arial"/>
          <w:sz w:val="24"/>
          <w:szCs w:val="24"/>
        </w:rPr>
        <w:t>ive</w:t>
      </w:r>
      <w:r w:rsidR="009B3D7F" w:rsidRPr="001C25CA">
        <w:rPr>
          <w:rFonts w:ascii="Arial" w:hAnsi="Arial" w:cs="Arial"/>
          <w:sz w:val="24"/>
          <w:szCs w:val="24"/>
        </w:rPr>
        <w:t xml:space="preserve"> powers by parliament to the executive</w:t>
      </w:r>
      <w:r w:rsidR="00450915">
        <w:rPr>
          <w:rFonts w:ascii="Arial" w:hAnsi="Arial" w:cs="Arial"/>
          <w:sz w:val="24"/>
          <w:szCs w:val="24"/>
        </w:rPr>
        <w:t xml:space="preserve"> in</w:t>
      </w:r>
      <w:r w:rsidR="009B3D7F" w:rsidRPr="001C25CA">
        <w:rPr>
          <w:rFonts w:ascii="Arial" w:hAnsi="Arial" w:cs="Arial"/>
          <w:sz w:val="24"/>
          <w:szCs w:val="24"/>
        </w:rPr>
        <w:t xml:space="preserve"> s 76 and an impermissibly wide and unlawful delegation of the power </w:t>
      </w:r>
      <w:r w:rsidR="00AE6161">
        <w:rPr>
          <w:rFonts w:ascii="Arial" w:hAnsi="Arial" w:cs="Arial"/>
          <w:sz w:val="24"/>
          <w:szCs w:val="24"/>
        </w:rPr>
        <w:t xml:space="preserve">of </w:t>
      </w:r>
      <w:r w:rsidR="009B3D7F" w:rsidRPr="001C25CA">
        <w:rPr>
          <w:rFonts w:ascii="Arial" w:hAnsi="Arial" w:cs="Arial"/>
          <w:sz w:val="24"/>
          <w:szCs w:val="24"/>
        </w:rPr>
        <w:t>exemption in s 76B. The parties’ submissions on these issues and the approach of the court below are first addressed</w:t>
      </w:r>
      <w:r w:rsidR="00AE6161" w:rsidRPr="00AE6161">
        <w:rPr>
          <w:rFonts w:ascii="Arial" w:hAnsi="Arial" w:cs="Arial"/>
          <w:sz w:val="24"/>
          <w:szCs w:val="24"/>
        </w:rPr>
        <w:t xml:space="preserve"> </w:t>
      </w:r>
      <w:r w:rsidR="00AE6161" w:rsidRPr="001C25CA">
        <w:rPr>
          <w:rFonts w:ascii="Arial" w:hAnsi="Arial" w:cs="Arial"/>
          <w:sz w:val="24"/>
          <w:szCs w:val="24"/>
        </w:rPr>
        <w:t>after first setting out the statutory scheme</w:t>
      </w:r>
      <w:r w:rsidR="009B3D7F" w:rsidRPr="001C25CA">
        <w:rPr>
          <w:rFonts w:ascii="Arial" w:hAnsi="Arial" w:cs="Arial"/>
          <w:sz w:val="24"/>
          <w:szCs w:val="24"/>
        </w:rPr>
        <w:t xml:space="preserve">. The various attacks on </w:t>
      </w:r>
      <w:r w:rsidR="00A106B4">
        <w:rPr>
          <w:rFonts w:ascii="Arial" w:hAnsi="Arial" w:cs="Arial"/>
          <w:sz w:val="24"/>
          <w:szCs w:val="24"/>
        </w:rPr>
        <w:t>individual</w:t>
      </w:r>
      <w:r w:rsidR="009B3D7F" w:rsidRPr="001C25CA">
        <w:rPr>
          <w:rFonts w:ascii="Arial" w:hAnsi="Arial" w:cs="Arial"/>
          <w:sz w:val="24"/>
          <w:szCs w:val="24"/>
        </w:rPr>
        <w:t xml:space="preserve"> </w:t>
      </w:r>
      <w:r w:rsidR="001E4C77" w:rsidRPr="001C25CA">
        <w:rPr>
          <w:rFonts w:ascii="Arial" w:hAnsi="Arial" w:cs="Arial"/>
          <w:sz w:val="24"/>
          <w:szCs w:val="24"/>
        </w:rPr>
        <w:t>regulation</w:t>
      </w:r>
      <w:r w:rsidR="005D6CA4">
        <w:rPr>
          <w:rFonts w:ascii="Arial" w:hAnsi="Arial" w:cs="Arial"/>
          <w:sz w:val="24"/>
          <w:szCs w:val="24"/>
        </w:rPr>
        <w:t>s and administrati</w:t>
      </w:r>
      <w:r w:rsidR="00450915">
        <w:rPr>
          <w:rFonts w:ascii="Arial" w:hAnsi="Arial" w:cs="Arial"/>
          <w:sz w:val="24"/>
          <w:szCs w:val="24"/>
        </w:rPr>
        <w:t>ve</w:t>
      </w:r>
      <w:r w:rsidR="005D6CA4">
        <w:rPr>
          <w:rFonts w:ascii="Arial" w:hAnsi="Arial" w:cs="Arial"/>
          <w:sz w:val="24"/>
          <w:szCs w:val="24"/>
        </w:rPr>
        <w:t xml:space="preserve"> action</w:t>
      </w:r>
      <w:r w:rsidR="009B3D7F" w:rsidRPr="001C25CA">
        <w:rPr>
          <w:rFonts w:ascii="Arial" w:hAnsi="Arial" w:cs="Arial"/>
          <w:sz w:val="24"/>
          <w:szCs w:val="24"/>
        </w:rPr>
        <w:t xml:space="preserve"> are thereafter </w:t>
      </w:r>
      <w:r w:rsidR="00450915">
        <w:rPr>
          <w:rFonts w:ascii="Arial" w:hAnsi="Arial" w:cs="Arial"/>
          <w:sz w:val="24"/>
          <w:szCs w:val="24"/>
        </w:rPr>
        <w:t>addressed</w:t>
      </w:r>
      <w:r w:rsidR="009B3D7F" w:rsidRPr="001C25CA">
        <w:rPr>
          <w:rFonts w:ascii="Arial" w:hAnsi="Arial" w:cs="Arial"/>
          <w:sz w:val="24"/>
          <w:szCs w:val="24"/>
        </w:rPr>
        <w:t>.</w:t>
      </w:r>
    </w:p>
    <w:p w:rsidR="00207960" w:rsidRPr="001C25CA" w:rsidRDefault="00207960" w:rsidP="009B3D7F">
      <w:pPr>
        <w:rPr>
          <w:rFonts w:ascii="Arial" w:hAnsi="Arial" w:cs="Arial"/>
          <w:sz w:val="24"/>
          <w:szCs w:val="24"/>
        </w:rPr>
      </w:pPr>
    </w:p>
    <w:p w:rsidR="009B3D7F" w:rsidRPr="001C25CA" w:rsidRDefault="009B3D7F" w:rsidP="009B3D7F">
      <w:pPr>
        <w:rPr>
          <w:rFonts w:ascii="Arial" w:hAnsi="Arial" w:cs="Arial"/>
          <w:sz w:val="24"/>
          <w:szCs w:val="24"/>
          <w:u w:val="single"/>
        </w:rPr>
      </w:pPr>
      <w:r w:rsidRPr="001C25CA">
        <w:rPr>
          <w:rFonts w:ascii="Arial" w:hAnsi="Arial" w:cs="Arial"/>
          <w:sz w:val="24"/>
          <w:szCs w:val="24"/>
          <w:u w:val="single"/>
        </w:rPr>
        <w:t>The statutory scheme in its historical and constitutional context</w:t>
      </w:r>
    </w:p>
    <w:p w:rsidR="00F01D36" w:rsidRPr="001C25CA" w:rsidRDefault="009B3D7F" w:rsidP="00F01D36">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w:t>
      </w:r>
      <w:r w:rsidR="00F01D36" w:rsidRPr="001C25CA">
        <w:rPr>
          <w:rFonts w:ascii="Arial" w:hAnsi="Arial" w:cs="Arial"/>
          <w:sz w:val="24"/>
          <w:szCs w:val="24"/>
        </w:rPr>
        <w:t>fraught pre-independence history of land deprivation and dispossession and the</w:t>
      </w:r>
      <w:r w:rsidR="00A106B4">
        <w:rPr>
          <w:rFonts w:ascii="Arial" w:hAnsi="Arial" w:cs="Arial"/>
          <w:sz w:val="24"/>
          <w:szCs w:val="24"/>
        </w:rPr>
        <w:t xml:space="preserve"> resultant</w:t>
      </w:r>
      <w:r w:rsidR="00F01D36" w:rsidRPr="001C25CA">
        <w:rPr>
          <w:rFonts w:ascii="Arial" w:hAnsi="Arial" w:cs="Arial"/>
          <w:sz w:val="24"/>
          <w:szCs w:val="24"/>
        </w:rPr>
        <w:t xml:space="preserve"> profound inequality in land ownership is set out in some detail in the judgment of the High Court. </w:t>
      </w:r>
      <w:r w:rsidR="00A106B4">
        <w:rPr>
          <w:rFonts w:ascii="Arial" w:hAnsi="Arial" w:cs="Arial"/>
          <w:sz w:val="24"/>
          <w:szCs w:val="24"/>
        </w:rPr>
        <w:t xml:space="preserve">A full bench of the High Court in </w:t>
      </w:r>
      <w:r w:rsidR="00A106B4">
        <w:rPr>
          <w:rFonts w:ascii="Arial" w:hAnsi="Arial" w:cs="Arial"/>
          <w:i/>
          <w:sz w:val="24"/>
          <w:szCs w:val="24"/>
        </w:rPr>
        <w:t>Kessl</w:t>
      </w:r>
      <w:r w:rsidR="00A106B4">
        <w:rPr>
          <w:rStyle w:val="FootnoteReference"/>
          <w:rFonts w:ascii="Arial" w:hAnsi="Arial" w:cs="Arial"/>
          <w:i/>
          <w:sz w:val="24"/>
          <w:szCs w:val="24"/>
        </w:rPr>
        <w:footnoteReference w:id="10"/>
      </w:r>
      <w:r w:rsidR="00A106B4">
        <w:rPr>
          <w:rFonts w:ascii="Arial" w:hAnsi="Arial" w:cs="Arial"/>
          <w:i/>
          <w:sz w:val="24"/>
          <w:szCs w:val="24"/>
        </w:rPr>
        <w:t xml:space="preserve"> </w:t>
      </w:r>
      <w:r w:rsidR="004A5FD0" w:rsidRPr="004A5FD0">
        <w:rPr>
          <w:rFonts w:ascii="Arial" w:hAnsi="Arial" w:cs="Arial"/>
          <w:sz w:val="24"/>
          <w:szCs w:val="24"/>
        </w:rPr>
        <w:t>had also addressed this vexed topic.</w:t>
      </w:r>
      <w:r w:rsidR="004A5FD0">
        <w:rPr>
          <w:rFonts w:ascii="Arial" w:hAnsi="Arial" w:cs="Arial"/>
          <w:i/>
          <w:sz w:val="24"/>
          <w:szCs w:val="24"/>
        </w:rPr>
        <w:t xml:space="preserve"> A</w:t>
      </w:r>
      <w:r w:rsidR="00AE6161">
        <w:rPr>
          <w:rFonts w:ascii="Arial" w:hAnsi="Arial" w:cs="Arial"/>
          <w:sz w:val="24"/>
          <w:szCs w:val="24"/>
        </w:rPr>
        <w:t>fter citing</w:t>
      </w:r>
      <w:r w:rsidR="00A106B4">
        <w:rPr>
          <w:rFonts w:ascii="Arial" w:hAnsi="Arial" w:cs="Arial"/>
          <w:sz w:val="24"/>
          <w:szCs w:val="24"/>
        </w:rPr>
        <w:t xml:space="preserve"> the works of several writers placed before it</w:t>
      </w:r>
      <w:r w:rsidR="00AE6161">
        <w:rPr>
          <w:rFonts w:ascii="Arial" w:hAnsi="Arial" w:cs="Arial"/>
          <w:sz w:val="24"/>
          <w:szCs w:val="24"/>
        </w:rPr>
        <w:t>,</w:t>
      </w:r>
      <w:r w:rsidR="004A5FD0">
        <w:rPr>
          <w:rFonts w:ascii="Arial" w:hAnsi="Arial" w:cs="Arial"/>
          <w:sz w:val="24"/>
          <w:szCs w:val="24"/>
        </w:rPr>
        <w:t xml:space="preserve"> the full bench in </w:t>
      </w:r>
      <w:r w:rsidR="004A5FD0" w:rsidRPr="004A5FD0">
        <w:rPr>
          <w:rFonts w:ascii="Arial" w:hAnsi="Arial" w:cs="Arial"/>
          <w:i/>
          <w:sz w:val="24"/>
          <w:szCs w:val="24"/>
        </w:rPr>
        <w:t>Kessl</w:t>
      </w:r>
      <w:r w:rsidR="00A106B4">
        <w:rPr>
          <w:rFonts w:ascii="Arial" w:hAnsi="Arial" w:cs="Arial"/>
          <w:sz w:val="24"/>
          <w:szCs w:val="24"/>
        </w:rPr>
        <w:t xml:space="preserve"> refer</w:t>
      </w:r>
      <w:r w:rsidR="00AE6161">
        <w:rPr>
          <w:rFonts w:ascii="Arial" w:hAnsi="Arial" w:cs="Arial"/>
          <w:sz w:val="24"/>
          <w:szCs w:val="24"/>
        </w:rPr>
        <w:t>red in this context</w:t>
      </w:r>
      <w:r w:rsidR="00A106B4">
        <w:rPr>
          <w:rFonts w:ascii="Arial" w:hAnsi="Arial" w:cs="Arial"/>
          <w:sz w:val="24"/>
          <w:szCs w:val="24"/>
        </w:rPr>
        <w:t xml:space="preserve"> to ‘colonial dispossession by removing indigenous people from their lands to create farms for </w:t>
      </w:r>
      <w:r w:rsidR="00A5797F">
        <w:rPr>
          <w:rFonts w:ascii="Arial" w:hAnsi="Arial" w:cs="Arial"/>
          <w:sz w:val="24"/>
          <w:szCs w:val="24"/>
        </w:rPr>
        <w:t>successive waves, of first, German and, secondly, South African settlers’.</w:t>
      </w:r>
      <w:r w:rsidR="00AE6161">
        <w:rPr>
          <w:rFonts w:ascii="Arial" w:hAnsi="Arial" w:cs="Arial"/>
          <w:sz w:val="24"/>
          <w:szCs w:val="24"/>
        </w:rPr>
        <w:t xml:space="preserve"> Discriminatory access to land and favourable terms accorded upon racial grounds </w:t>
      </w:r>
      <w:r w:rsidR="004A5FD0">
        <w:rPr>
          <w:rFonts w:ascii="Arial" w:hAnsi="Arial" w:cs="Arial"/>
          <w:sz w:val="24"/>
          <w:szCs w:val="24"/>
        </w:rPr>
        <w:t>to acquire it</w:t>
      </w:r>
      <w:r w:rsidR="00AE6161">
        <w:rPr>
          <w:rFonts w:ascii="Arial" w:hAnsi="Arial" w:cs="Arial"/>
          <w:sz w:val="24"/>
          <w:szCs w:val="24"/>
        </w:rPr>
        <w:t xml:space="preserve"> </w:t>
      </w:r>
      <w:r w:rsidR="004A5FD0">
        <w:rPr>
          <w:rFonts w:ascii="Arial" w:hAnsi="Arial" w:cs="Arial"/>
          <w:sz w:val="24"/>
          <w:szCs w:val="24"/>
        </w:rPr>
        <w:t xml:space="preserve">and to subsidise farming it </w:t>
      </w:r>
      <w:r w:rsidR="00AE6161">
        <w:rPr>
          <w:rFonts w:ascii="Arial" w:hAnsi="Arial" w:cs="Arial"/>
          <w:sz w:val="24"/>
          <w:szCs w:val="24"/>
        </w:rPr>
        <w:t>during the apartheid years compounded the inequality.</w:t>
      </w:r>
      <w:r w:rsidR="00A106B4">
        <w:rPr>
          <w:rFonts w:ascii="Arial" w:hAnsi="Arial" w:cs="Arial"/>
          <w:i/>
          <w:sz w:val="24"/>
          <w:szCs w:val="24"/>
        </w:rPr>
        <w:t xml:space="preserve"> </w:t>
      </w:r>
      <w:r w:rsidR="00F01D36" w:rsidRPr="001C25CA">
        <w:rPr>
          <w:rFonts w:ascii="Arial" w:hAnsi="Arial" w:cs="Arial"/>
          <w:sz w:val="24"/>
          <w:szCs w:val="24"/>
        </w:rPr>
        <w:t xml:space="preserve">In ending colonialism and apartheid upon independence, the Constitution’s preamble recognised the need to protect the </w:t>
      </w:r>
      <w:r w:rsidR="005D6CA4">
        <w:rPr>
          <w:rFonts w:ascii="Arial" w:hAnsi="Arial" w:cs="Arial"/>
          <w:sz w:val="24"/>
          <w:szCs w:val="24"/>
        </w:rPr>
        <w:t>gains</w:t>
      </w:r>
      <w:r w:rsidR="00F01D36" w:rsidRPr="001C25CA">
        <w:rPr>
          <w:rFonts w:ascii="Arial" w:hAnsi="Arial" w:cs="Arial"/>
          <w:sz w:val="24"/>
          <w:szCs w:val="24"/>
        </w:rPr>
        <w:t xml:space="preserve"> of the liberation struggle and constitute the </w:t>
      </w:r>
      <w:r w:rsidR="00A5797F">
        <w:rPr>
          <w:rFonts w:ascii="Arial" w:hAnsi="Arial" w:cs="Arial"/>
          <w:sz w:val="24"/>
          <w:szCs w:val="24"/>
        </w:rPr>
        <w:t>R</w:t>
      </w:r>
      <w:r w:rsidR="00F01D36" w:rsidRPr="001C25CA">
        <w:rPr>
          <w:rFonts w:ascii="Arial" w:hAnsi="Arial" w:cs="Arial"/>
          <w:sz w:val="24"/>
          <w:szCs w:val="24"/>
        </w:rPr>
        <w:t xml:space="preserve">epublic of Namibia as a democratic </w:t>
      </w:r>
      <w:r w:rsidR="005D6CA4">
        <w:rPr>
          <w:rFonts w:ascii="Arial" w:hAnsi="Arial" w:cs="Arial"/>
          <w:sz w:val="24"/>
          <w:szCs w:val="24"/>
        </w:rPr>
        <w:t>unitary state</w:t>
      </w:r>
      <w:r w:rsidR="00F01D36" w:rsidRPr="001C25CA">
        <w:rPr>
          <w:rFonts w:ascii="Arial" w:hAnsi="Arial" w:cs="Arial"/>
          <w:sz w:val="24"/>
          <w:szCs w:val="24"/>
        </w:rPr>
        <w:t xml:space="preserve"> securing to all citizens justice, liberty and equality.</w:t>
      </w:r>
    </w:p>
    <w:p w:rsidR="009B3D7F" w:rsidRPr="001C25CA" w:rsidRDefault="009B3D7F" w:rsidP="009B3D7F">
      <w:pPr>
        <w:pStyle w:val="ListParagraph"/>
        <w:rPr>
          <w:rFonts w:ascii="Arial" w:hAnsi="Arial" w:cs="Arial"/>
          <w:sz w:val="24"/>
          <w:szCs w:val="24"/>
        </w:rPr>
      </w:pPr>
    </w:p>
    <w:p w:rsidR="002E426A" w:rsidRPr="001C25CA" w:rsidRDefault="00F01D36"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A compelling constitutional imperative was to bring about land reform and transformation of what this court has termed in this</w:t>
      </w:r>
      <w:r w:rsidR="005D6CA4">
        <w:rPr>
          <w:rFonts w:ascii="Arial" w:hAnsi="Arial" w:cs="Arial"/>
          <w:sz w:val="24"/>
          <w:szCs w:val="24"/>
        </w:rPr>
        <w:t xml:space="preserve"> context</w:t>
      </w:r>
      <w:r w:rsidRPr="001C25CA">
        <w:rPr>
          <w:rFonts w:ascii="Arial" w:hAnsi="Arial" w:cs="Arial"/>
          <w:sz w:val="24"/>
          <w:szCs w:val="24"/>
        </w:rPr>
        <w:t xml:space="preserve"> ‘the ravages of inequality brought about by Namibia’s colonial past’,</w:t>
      </w:r>
      <w:r w:rsidRPr="001C25CA">
        <w:rPr>
          <w:rStyle w:val="FootnoteReference"/>
          <w:rFonts w:ascii="Arial" w:hAnsi="Arial" w:cs="Arial"/>
          <w:sz w:val="24"/>
          <w:szCs w:val="24"/>
        </w:rPr>
        <w:footnoteReference w:id="11"/>
      </w:r>
      <w:r w:rsidRPr="001C25CA">
        <w:rPr>
          <w:rFonts w:ascii="Arial" w:hAnsi="Arial" w:cs="Arial"/>
          <w:sz w:val="24"/>
          <w:szCs w:val="24"/>
        </w:rPr>
        <w:t xml:space="preserve"> </w:t>
      </w:r>
      <w:r w:rsidR="005D6CA4">
        <w:rPr>
          <w:rFonts w:ascii="Arial" w:hAnsi="Arial" w:cs="Arial"/>
          <w:sz w:val="24"/>
          <w:szCs w:val="24"/>
        </w:rPr>
        <w:t xml:space="preserve">as </w:t>
      </w:r>
      <w:r w:rsidRPr="001C25CA">
        <w:rPr>
          <w:rFonts w:ascii="Arial" w:hAnsi="Arial" w:cs="Arial"/>
          <w:sz w:val="24"/>
          <w:szCs w:val="24"/>
        </w:rPr>
        <w:t xml:space="preserve">reflected in agricultural land </w:t>
      </w:r>
      <w:r w:rsidRPr="001C25CA">
        <w:rPr>
          <w:rFonts w:ascii="Arial" w:hAnsi="Arial" w:cs="Arial"/>
          <w:sz w:val="24"/>
          <w:szCs w:val="24"/>
        </w:rPr>
        <w:lastRenderedPageBreak/>
        <w:t>ownership at independence. A national land conference was held shortly after independence in 1991, involving wide consultation.</w:t>
      </w:r>
      <w:r w:rsidR="00AE6161">
        <w:rPr>
          <w:rStyle w:val="FootnoteReference"/>
          <w:rFonts w:ascii="Arial" w:hAnsi="Arial" w:cs="Arial"/>
          <w:sz w:val="24"/>
          <w:szCs w:val="24"/>
        </w:rPr>
        <w:footnoteReference w:id="12"/>
      </w:r>
      <w:r w:rsidRPr="001C25CA">
        <w:rPr>
          <w:rFonts w:ascii="Arial" w:hAnsi="Arial" w:cs="Arial"/>
          <w:sz w:val="24"/>
          <w:szCs w:val="24"/>
        </w:rPr>
        <w:t xml:space="preserve"> Some four years later</w:t>
      </w:r>
      <w:r w:rsidR="00A5797F">
        <w:rPr>
          <w:rFonts w:ascii="Arial" w:hAnsi="Arial" w:cs="Arial"/>
          <w:sz w:val="24"/>
          <w:szCs w:val="24"/>
        </w:rPr>
        <w:t>,</w:t>
      </w:r>
      <w:r w:rsidRPr="001C25CA">
        <w:rPr>
          <w:rFonts w:ascii="Arial" w:hAnsi="Arial" w:cs="Arial"/>
          <w:sz w:val="24"/>
          <w:szCs w:val="24"/>
        </w:rPr>
        <w:t xml:space="preserve"> the Act was passed to bring about reform in ownership and access to agricultural land in Namibia. Its long title reflects the means set out in the </w:t>
      </w:r>
      <w:r w:rsidR="00C5715F" w:rsidRPr="001C25CA">
        <w:rPr>
          <w:rFonts w:ascii="Arial" w:hAnsi="Arial" w:cs="Arial"/>
          <w:sz w:val="24"/>
          <w:szCs w:val="24"/>
        </w:rPr>
        <w:t>Act to achie</w:t>
      </w:r>
      <w:r w:rsidR="00AE6161">
        <w:rPr>
          <w:rFonts w:ascii="Arial" w:hAnsi="Arial" w:cs="Arial"/>
          <w:sz w:val="24"/>
          <w:szCs w:val="24"/>
        </w:rPr>
        <w:t xml:space="preserve">ve reform and transformation in ownership and access to </w:t>
      </w:r>
      <w:r w:rsidR="00C5715F" w:rsidRPr="001C25CA">
        <w:rPr>
          <w:rFonts w:ascii="Arial" w:hAnsi="Arial" w:cs="Arial"/>
          <w:sz w:val="24"/>
          <w:szCs w:val="24"/>
        </w:rPr>
        <w:t>agricultural land:</w:t>
      </w:r>
    </w:p>
    <w:p w:rsidR="002E426A" w:rsidRPr="001C25CA" w:rsidRDefault="002E426A" w:rsidP="00594EA3">
      <w:pPr>
        <w:pStyle w:val="ListParagraph"/>
        <w:spacing w:after="0" w:line="360" w:lineRule="auto"/>
        <w:rPr>
          <w:rFonts w:ascii="Arial" w:hAnsi="Arial" w:cs="Arial"/>
          <w:sz w:val="24"/>
          <w:szCs w:val="24"/>
        </w:rPr>
      </w:pPr>
    </w:p>
    <w:p w:rsidR="002E426A" w:rsidRPr="00A001B5" w:rsidRDefault="002E426A" w:rsidP="00594EA3">
      <w:pPr>
        <w:pStyle w:val="NoSpacing"/>
        <w:spacing w:line="360" w:lineRule="auto"/>
        <w:ind w:left="720"/>
        <w:jc w:val="both"/>
        <w:rPr>
          <w:rFonts w:ascii="Arial" w:hAnsi="Arial" w:cs="Arial"/>
        </w:rPr>
      </w:pPr>
      <w:r w:rsidRPr="00A001B5">
        <w:rPr>
          <w:rFonts w:ascii="Arial" w:hAnsi="Arial" w:cs="Arial"/>
        </w:rPr>
        <w:t>‘</w:t>
      </w:r>
      <w:r w:rsidR="00A001B5" w:rsidRPr="00A001B5">
        <w:rPr>
          <w:rFonts w:ascii="Arial" w:hAnsi="Arial" w:cs="Arial"/>
        </w:rPr>
        <w:t>To provide for the acquisition of agricultural land by the State for the purposes of land reform and for the allocation of such land to Namibian citizens who do not own or otherwise have the use of any or of adequate agricultural land, and foremost to those Namibian citizens who have been socially, economically or educationally disadvantaged by past discriminatory laws or practices; to vest in the State a preferent right to purchase agricultural land for the purposes of the Act; to provide for the compulsory acquisition of certain agricultural land by the State for the purposes of the Act; to regulate the acquisition of agricultural land by foreign nationals; to establish a Lands Tribunal and determine its jurisdiction; and to provide for matters connected therewith.</w:t>
      </w:r>
      <w:r w:rsidRPr="00A001B5">
        <w:rPr>
          <w:rFonts w:ascii="Arial" w:hAnsi="Arial" w:cs="Arial"/>
        </w:rPr>
        <w:t>’</w:t>
      </w:r>
    </w:p>
    <w:p w:rsidR="002E426A" w:rsidRPr="001C25CA" w:rsidRDefault="002E426A" w:rsidP="002E426A">
      <w:pPr>
        <w:pStyle w:val="ListParagraph"/>
        <w:rPr>
          <w:rFonts w:ascii="Arial" w:hAnsi="Arial" w:cs="Arial"/>
          <w:sz w:val="24"/>
          <w:szCs w:val="24"/>
        </w:rPr>
      </w:pPr>
    </w:p>
    <w:p w:rsidR="002E426A" w:rsidRPr="001C25CA" w:rsidRDefault="002E426A"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An amendment t</w:t>
      </w:r>
      <w:r w:rsidR="00A5797F">
        <w:rPr>
          <w:rFonts w:ascii="Arial" w:hAnsi="Arial" w:cs="Arial"/>
          <w:sz w:val="24"/>
          <w:szCs w:val="24"/>
        </w:rPr>
        <w:t xml:space="preserve">o the Act in 2000 enacted s 13A. It </w:t>
      </w:r>
      <w:r w:rsidRPr="001C25CA">
        <w:rPr>
          <w:rFonts w:ascii="Arial" w:hAnsi="Arial" w:cs="Arial"/>
          <w:sz w:val="24"/>
          <w:szCs w:val="24"/>
        </w:rPr>
        <w:t xml:space="preserve">established </w:t>
      </w:r>
      <w:r w:rsidR="00A5797F">
        <w:rPr>
          <w:rFonts w:ascii="Arial" w:hAnsi="Arial" w:cs="Arial"/>
          <w:sz w:val="24"/>
          <w:szCs w:val="24"/>
        </w:rPr>
        <w:t>t</w:t>
      </w:r>
      <w:r w:rsidR="00C50740" w:rsidRPr="001C25CA">
        <w:rPr>
          <w:rFonts w:ascii="Arial" w:hAnsi="Arial" w:cs="Arial"/>
          <w:sz w:val="24"/>
          <w:szCs w:val="24"/>
        </w:rPr>
        <w:t>he Land Acquisition</w:t>
      </w:r>
      <w:r w:rsidRPr="001C25CA">
        <w:rPr>
          <w:rFonts w:ascii="Arial" w:hAnsi="Arial" w:cs="Arial"/>
          <w:sz w:val="24"/>
          <w:szCs w:val="24"/>
        </w:rPr>
        <w:t xml:space="preserve"> and Development Fund (the </w:t>
      </w:r>
      <w:r w:rsidR="00A5797F">
        <w:rPr>
          <w:rFonts w:ascii="Arial" w:hAnsi="Arial" w:cs="Arial"/>
          <w:sz w:val="24"/>
          <w:szCs w:val="24"/>
        </w:rPr>
        <w:t>f</w:t>
      </w:r>
      <w:r w:rsidRPr="001C25CA">
        <w:rPr>
          <w:rFonts w:ascii="Arial" w:hAnsi="Arial" w:cs="Arial"/>
          <w:sz w:val="24"/>
          <w:szCs w:val="24"/>
        </w:rPr>
        <w:t>und). Section 14 of the Act empowers the Minister to acquire agricultural land out of moneys available in the fund primarily for the purpose of resettling ‘Namibian citizens who have been socially, economically or educationally disadvantaged by past disc</w:t>
      </w:r>
      <w:r w:rsidR="00A5797F">
        <w:rPr>
          <w:rFonts w:ascii="Arial" w:hAnsi="Arial" w:cs="Arial"/>
          <w:sz w:val="24"/>
          <w:szCs w:val="24"/>
        </w:rPr>
        <w:t>riminatory laws or practices’.</w:t>
      </w:r>
      <w:r w:rsidRPr="001C25CA">
        <w:rPr>
          <w:rFonts w:ascii="Arial" w:hAnsi="Arial" w:cs="Arial"/>
          <w:sz w:val="24"/>
          <w:szCs w:val="24"/>
        </w:rPr>
        <w:t xml:space="preserve"> </w:t>
      </w:r>
    </w:p>
    <w:p w:rsidR="002E426A" w:rsidRPr="001C25CA" w:rsidRDefault="002E426A" w:rsidP="00A001B5">
      <w:pPr>
        <w:pStyle w:val="ListParagraph"/>
        <w:spacing w:after="0" w:line="480" w:lineRule="auto"/>
        <w:rPr>
          <w:rFonts w:ascii="Arial" w:hAnsi="Arial" w:cs="Arial"/>
          <w:sz w:val="24"/>
          <w:szCs w:val="24"/>
        </w:rPr>
      </w:pPr>
    </w:p>
    <w:p w:rsidR="002E426A" w:rsidRPr="001C25CA" w:rsidRDefault="001A0E25"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Act underwent </w:t>
      </w:r>
      <w:r w:rsidR="00AE6161">
        <w:rPr>
          <w:rFonts w:ascii="Arial" w:hAnsi="Arial" w:cs="Arial"/>
          <w:sz w:val="24"/>
          <w:szCs w:val="24"/>
        </w:rPr>
        <w:t xml:space="preserve">further </w:t>
      </w:r>
      <w:r w:rsidRPr="001C25CA">
        <w:rPr>
          <w:rFonts w:ascii="Arial" w:hAnsi="Arial" w:cs="Arial"/>
          <w:sz w:val="24"/>
          <w:szCs w:val="24"/>
        </w:rPr>
        <w:t>amendment in 2001 to introduce land tax as a means to fund the land reform and transformation process upon which the Act is premised.</w:t>
      </w:r>
      <w:r>
        <w:rPr>
          <w:rFonts w:ascii="Arial" w:hAnsi="Arial" w:cs="Arial"/>
          <w:sz w:val="24"/>
          <w:szCs w:val="24"/>
        </w:rPr>
        <w:t xml:space="preserve"> The primary provision is s 76 which states</w:t>
      </w:r>
      <w:r w:rsidR="002E426A" w:rsidRPr="001C25CA">
        <w:rPr>
          <w:rFonts w:ascii="Arial" w:hAnsi="Arial" w:cs="Arial"/>
          <w:sz w:val="24"/>
          <w:szCs w:val="24"/>
        </w:rPr>
        <w:t>:</w:t>
      </w:r>
    </w:p>
    <w:p w:rsidR="002E426A" w:rsidRDefault="002E426A" w:rsidP="00C50740">
      <w:pPr>
        <w:pStyle w:val="ListParagraph"/>
        <w:spacing w:line="360" w:lineRule="auto"/>
        <w:rPr>
          <w:rFonts w:ascii="Arial" w:hAnsi="Arial" w:cs="Arial"/>
        </w:rPr>
      </w:pPr>
    </w:p>
    <w:p w:rsidR="00594EA3" w:rsidRPr="00594EA3" w:rsidRDefault="00730DB7" w:rsidP="00594EA3">
      <w:pPr>
        <w:pStyle w:val="ListParagraph"/>
        <w:spacing w:line="360" w:lineRule="auto"/>
        <w:ind w:left="1444" w:hanging="735"/>
        <w:jc w:val="both"/>
        <w:rPr>
          <w:rFonts w:ascii="Arial" w:hAnsi="Arial" w:cs="Arial"/>
        </w:rPr>
      </w:pPr>
      <w:r>
        <w:rPr>
          <w:rFonts w:ascii="Arial" w:hAnsi="Arial" w:cs="Arial"/>
        </w:rPr>
        <w:lastRenderedPageBreak/>
        <w:t>‘</w:t>
      </w:r>
      <w:r w:rsidR="00594EA3">
        <w:rPr>
          <w:rFonts w:ascii="Arial" w:hAnsi="Arial" w:cs="Arial"/>
        </w:rPr>
        <w:t>76.</w:t>
      </w:r>
      <w:r w:rsidR="00594EA3">
        <w:rPr>
          <w:rFonts w:ascii="Arial" w:hAnsi="Arial" w:cs="Arial"/>
        </w:rPr>
        <w:tab/>
        <w:t>(1)</w:t>
      </w:r>
      <w:r w:rsidR="00594EA3">
        <w:rPr>
          <w:rFonts w:ascii="Arial" w:hAnsi="Arial" w:cs="Arial"/>
        </w:rPr>
        <w:tab/>
      </w:r>
      <w:r w:rsidR="00594EA3" w:rsidRPr="000D1F33">
        <w:rPr>
          <w:rFonts w:ascii="Arial" w:hAnsi="Arial" w:cs="Arial"/>
          <w:spacing w:val="3"/>
        </w:rPr>
        <w:t>Notwithstanding any other law to the contrary the Minister, with the concurrence of the Minister responsible for Agriculture, and the Minister responsible for Finance, may -</w:t>
      </w:r>
    </w:p>
    <w:p w:rsidR="00594EA3" w:rsidRDefault="00594EA3" w:rsidP="00AE6161">
      <w:pPr>
        <w:pStyle w:val="NoSpacing"/>
        <w:spacing w:line="360" w:lineRule="auto"/>
        <w:ind w:left="2880" w:hanging="720"/>
        <w:jc w:val="both"/>
        <w:rPr>
          <w:rFonts w:ascii="Arial" w:hAnsi="Arial" w:cs="Arial"/>
        </w:rPr>
      </w:pPr>
      <w:r>
        <w:rPr>
          <w:rFonts w:ascii="Arial" w:hAnsi="Arial" w:cs="Arial"/>
        </w:rPr>
        <w:t>(a)</w:t>
      </w:r>
      <w:r>
        <w:rPr>
          <w:rFonts w:ascii="Arial" w:hAnsi="Arial" w:cs="Arial"/>
        </w:rPr>
        <w:tab/>
      </w:r>
      <w:r w:rsidRPr="000D1F33">
        <w:rPr>
          <w:rFonts w:ascii="Arial" w:hAnsi="Arial" w:cs="Arial"/>
        </w:rPr>
        <w:t>for the benefit of the Fund by regulations made under section 77, impose a land tax to be paid by every owner of agricultural land on the value of such land, the amount of which shall be calculated in accordance with the following formula:</w:t>
      </w:r>
    </w:p>
    <w:p w:rsidR="00594EA3" w:rsidRPr="000D1F33" w:rsidRDefault="00594EA3" w:rsidP="00594EA3">
      <w:pPr>
        <w:pStyle w:val="NoSpacing"/>
        <w:spacing w:line="360" w:lineRule="auto"/>
        <w:ind w:left="720" w:hanging="720"/>
        <w:jc w:val="both"/>
        <w:rPr>
          <w:rFonts w:ascii="Arial" w:hAnsi="Arial" w:cs="Arial"/>
        </w:rPr>
      </w:pPr>
      <w:r>
        <w:rPr>
          <w:rFonts w:ascii="Arial" w:hAnsi="Arial" w:cs="Arial"/>
        </w:rPr>
        <w:tab/>
      </w:r>
    </w:p>
    <w:p w:rsidR="00594EA3" w:rsidRDefault="00594EA3" w:rsidP="00594EA3">
      <w:pPr>
        <w:pStyle w:val="NoSpacing"/>
        <w:spacing w:line="360" w:lineRule="auto"/>
        <w:jc w:val="center"/>
        <w:rPr>
          <w:rFonts w:ascii="Arial" w:hAnsi="Arial" w:cs="Arial"/>
          <w:spacing w:val="17"/>
        </w:rPr>
      </w:pPr>
      <w:r w:rsidRPr="000D1F33">
        <w:rPr>
          <w:rFonts w:ascii="Arial" w:hAnsi="Arial" w:cs="Arial"/>
          <w:spacing w:val="17"/>
        </w:rPr>
        <w:t>T=VxR,</w:t>
      </w:r>
    </w:p>
    <w:p w:rsidR="00594EA3" w:rsidRPr="000D1F33" w:rsidRDefault="00594EA3" w:rsidP="00594EA3">
      <w:pPr>
        <w:pStyle w:val="NoSpacing"/>
        <w:spacing w:line="360" w:lineRule="auto"/>
        <w:rPr>
          <w:rFonts w:ascii="Arial" w:hAnsi="Arial" w:cs="Arial"/>
          <w:spacing w:val="17"/>
        </w:rPr>
      </w:pPr>
      <w:r>
        <w:rPr>
          <w:rFonts w:ascii="Arial" w:hAnsi="Arial" w:cs="Arial"/>
          <w:spacing w:val="17"/>
        </w:rPr>
        <w:tab/>
      </w:r>
    </w:p>
    <w:p w:rsidR="00594EA3" w:rsidRDefault="00594EA3" w:rsidP="00AE6161">
      <w:pPr>
        <w:pStyle w:val="NoSpacing"/>
        <w:spacing w:line="360" w:lineRule="auto"/>
        <w:ind w:left="2160" w:firstLine="720"/>
        <w:jc w:val="both"/>
        <w:rPr>
          <w:rFonts w:ascii="Arial" w:hAnsi="Arial" w:cs="Arial"/>
        </w:rPr>
      </w:pPr>
      <w:r w:rsidRPr="000D1F33">
        <w:rPr>
          <w:rFonts w:ascii="Arial" w:hAnsi="Arial" w:cs="Arial"/>
        </w:rPr>
        <w:t xml:space="preserve">in which formula </w:t>
      </w:r>
      <w:r>
        <w:rPr>
          <w:rFonts w:ascii="Arial" w:hAnsi="Arial" w:cs="Arial"/>
        </w:rPr>
        <w:t>–</w:t>
      </w:r>
    </w:p>
    <w:p w:rsidR="00594EA3" w:rsidRPr="000D1F33" w:rsidRDefault="00594EA3" w:rsidP="00594EA3">
      <w:pPr>
        <w:pStyle w:val="NoSpacing"/>
        <w:spacing w:line="360" w:lineRule="auto"/>
        <w:ind w:firstLine="720"/>
        <w:jc w:val="both"/>
        <w:rPr>
          <w:rFonts w:ascii="Arial" w:hAnsi="Arial" w:cs="Arial"/>
        </w:rPr>
      </w:pPr>
    </w:p>
    <w:p w:rsidR="00594EA3" w:rsidRPr="000D1F33" w:rsidRDefault="00594EA3" w:rsidP="00AE6161">
      <w:pPr>
        <w:pStyle w:val="NoSpacing"/>
        <w:spacing w:line="360" w:lineRule="auto"/>
        <w:ind w:left="2160" w:firstLine="720"/>
        <w:jc w:val="both"/>
        <w:rPr>
          <w:rFonts w:ascii="Arial" w:hAnsi="Arial" w:cs="Arial"/>
          <w:spacing w:val="3"/>
        </w:rPr>
      </w:pPr>
      <w:r>
        <w:rPr>
          <w:rFonts w:ascii="Arial" w:hAnsi="Arial" w:cs="Arial"/>
          <w:spacing w:val="3"/>
        </w:rPr>
        <w:t>"T"</w:t>
      </w:r>
      <w:r>
        <w:rPr>
          <w:rFonts w:ascii="Arial" w:hAnsi="Arial" w:cs="Arial"/>
          <w:spacing w:val="3"/>
        </w:rPr>
        <w:tab/>
      </w:r>
      <w:r w:rsidRPr="000D1F33">
        <w:rPr>
          <w:rFonts w:ascii="Arial" w:hAnsi="Arial" w:cs="Arial"/>
          <w:spacing w:val="3"/>
        </w:rPr>
        <w:t>represents the land tax payable;</w:t>
      </w:r>
    </w:p>
    <w:p w:rsidR="00594EA3" w:rsidRPr="000D1F33" w:rsidRDefault="00594EA3" w:rsidP="00AE6161">
      <w:pPr>
        <w:pStyle w:val="NoSpacing"/>
        <w:spacing w:line="360" w:lineRule="auto"/>
        <w:ind w:left="3600" w:hanging="720"/>
        <w:jc w:val="both"/>
        <w:rPr>
          <w:rFonts w:ascii="Arial" w:hAnsi="Arial" w:cs="Arial"/>
        </w:rPr>
      </w:pPr>
      <w:r w:rsidRPr="000D1F33">
        <w:rPr>
          <w:rFonts w:ascii="Arial" w:hAnsi="Arial" w:cs="Arial"/>
        </w:rPr>
        <w:t>"V"</w:t>
      </w:r>
      <w:r>
        <w:rPr>
          <w:rFonts w:ascii="Arial" w:hAnsi="Arial" w:cs="Arial"/>
        </w:rPr>
        <w:tab/>
      </w:r>
      <w:r w:rsidRPr="000D1F33">
        <w:rPr>
          <w:rFonts w:ascii="Arial" w:hAnsi="Arial" w:cs="Arial"/>
        </w:rPr>
        <w:t>represents the unimproved site value as determined under those regulations; and</w:t>
      </w:r>
    </w:p>
    <w:p w:rsidR="00594EA3" w:rsidRDefault="00594EA3" w:rsidP="00AE6161">
      <w:pPr>
        <w:pStyle w:val="NoSpacing"/>
        <w:spacing w:line="360" w:lineRule="auto"/>
        <w:ind w:left="3600" w:hanging="720"/>
        <w:jc w:val="both"/>
        <w:rPr>
          <w:rFonts w:ascii="Arial" w:hAnsi="Arial" w:cs="Arial"/>
          <w:spacing w:val="1"/>
        </w:rPr>
      </w:pPr>
      <w:r>
        <w:rPr>
          <w:rFonts w:ascii="Arial" w:hAnsi="Arial" w:cs="Arial"/>
          <w:spacing w:val="1"/>
        </w:rPr>
        <w:t>"R"</w:t>
      </w:r>
      <w:r>
        <w:rPr>
          <w:rFonts w:ascii="Arial" w:hAnsi="Arial" w:cs="Arial"/>
          <w:spacing w:val="1"/>
        </w:rPr>
        <w:tab/>
        <w:t>r</w:t>
      </w:r>
      <w:r w:rsidRPr="000D1F33">
        <w:rPr>
          <w:rFonts w:ascii="Arial" w:hAnsi="Arial" w:cs="Arial"/>
          <w:spacing w:val="1"/>
        </w:rPr>
        <w:t>epresents the rate of land tax as determined under paragraph (b); and</w:t>
      </w:r>
    </w:p>
    <w:p w:rsidR="00594EA3" w:rsidRPr="000D1F33" w:rsidRDefault="00594EA3" w:rsidP="00594EA3">
      <w:pPr>
        <w:pStyle w:val="NoSpacing"/>
        <w:spacing w:line="360" w:lineRule="auto"/>
        <w:ind w:firstLine="720"/>
        <w:jc w:val="both"/>
        <w:rPr>
          <w:rFonts w:ascii="Arial" w:hAnsi="Arial" w:cs="Arial"/>
          <w:spacing w:val="1"/>
        </w:rPr>
      </w:pPr>
    </w:p>
    <w:p w:rsidR="00594EA3" w:rsidRPr="000D1F33" w:rsidRDefault="00594EA3" w:rsidP="00AE6161">
      <w:pPr>
        <w:pStyle w:val="NoSpacing"/>
        <w:spacing w:line="360" w:lineRule="auto"/>
        <w:ind w:left="1440" w:firstLine="720"/>
        <w:jc w:val="both"/>
        <w:rPr>
          <w:rFonts w:ascii="Arial" w:hAnsi="Arial" w:cs="Arial"/>
        </w:rPr>
      </w:pPr>
      <w:r>
        <w:rPr>
          <w:rFonts w:ascii="Arial" w:hAnsi="Arial" w:cs="Arial"/>
        </w:rPr>
        <w:t>(b)</w:t>
      </w:r>
      <w:r>
        <w:rPr>
          <w:rFonts w:ascii="Arial" w:hAnsi="Arial" w:cs="Arial"/>
        </w:rPr>
        <w:tab/>
      </w:r>
      <w:r w:rsidRPr="000D1F33">
        <w:rPr>
          <w:rFonts w:ascii="Arial" w:hAnsi="Arial" w:cs="Arial"/>
        </w:rPr>
        <w:t xml:space="preserve">by notice in the </w:t>
      </w:r>
      <w:r w:rsidRPr="000D1F33">
        <w:rPr>
          <w:rFonts w:ascii="Arial" w:hAnsi="Arial" w:cs="Arial"/>
          <w:i/>
          <w:iCs/>
        </w:rPr>
        <w:t xml:space="preserve">Gazette </w:t>
      </w:r>
      <w:r w:rsidRPr="000D1F33">
        <w:rPr>
          <w:rFonts w:ascii="Arial" w:hAnsi="Arial" w:cs="Arial"/>
        </w:rPr>
        <w:t>determine the rates of such land tax.</w:t>
      </w:r>
      <w:r>
        <w:rPr>
          <w:rFonts w:ascii="Arial" w:hAnsi="Arial" w:cs="Arial"/>
        </w:rPr>
        <w:t>’</w:t>
      </w:r>
    </w:p>
    <w:p w:rsidR="00594EA3" w:rsidRPr="00594EA3" w:rsidRDefault="00594EA3" w:rsidP="00594EA3">
      <w:pPr>
        <w:spacing w:after="0" w:line="480" w:lineRule="auto"/>
        <w:rPr>
          <w:rFonts w:ascii="Arial" w:hAnsi="Arial" w:cs="Arial"/>
        </w:rPr>
      </w:pPr>
    </w:p>
    <w:p w:rsidR="002E426A" w:rsidRDefault="000A3C68"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The r</w:t>
      </w:r>
      <w:r w:rsidR="002E426A" w:rsidRPr="001C25CA">
        <w:rPr>
          <w:rFonts w:ascii="Arial" w:hAnsi="Arial" w:cs="Arial"/>
          <w:sz w:val="24"/>
          <w:szCs w:val="24"/>
        </w:rPr>
        <w:t>ate in the formula in s 76 was determined by the Minister in 2004 and published in a Government Notice</w:t>
      </w:r>
      <w:r w:rsidR="004A5FD0">
        <w:rPr>
          <w:rStyle w:val="FootnoteReference"/>
          <w:rFonts w:ascii="Arial" w:hAnsi="Arial" w:cs="Arial"/>
          <w:sz w:val="24"/>
          <w:szCs w:val="24"/>
        </w:rPr>
        <w:footnoteReference w:id="13"/>
      </w:r>
      <w:r w:rsidR="002E426A" w:rsidRPr="001C25CA">
        <w:rPr>
          <w:rFonts w:ascii="Arial" w:hAnsi="Arial" w:cs="Arial"/>
          <w:sz w:val="24"/>
          <w:szCs w:val="24"/>
        </w:rPr>
        <w:t xml:space="preserve"> and set </w:t>
      </w:r>
      <w:r w:rsidR="004A5FD0">
        <w:rPr>
          <w:rFonts w:ascii="Arial" w:hAnsi="Arial" w:cs="Arial"/>
          <w:sz w:val="24"/>
          <w:szCs w:val="24"/>
        </w:rPr>
        <w:t xml:space="preserve">it </w:t>
      </w:r>
      <w:r w:rsidR="002E426A" w:rsidRPr="001C25CA">
        <w:rPr>
          <w:rFonts w:ascii="Arial" w:hAnsi="Arial" w:cs="Arial"/>
          <w:sz w:val="24"/>
          <w:szCs w:val="24"/>
        </w:rPr>
        <w:t>at 0.75.</w:t>
      </w:r>
    </w:p>
    <w:p w:rsidR="005D6CA4" w:rsidRDefault="005D6CA4" w:rsidP="005D6CA4">
      <w:pPr>
        <w:pStyle w:val="NoSpacing"/>
        <w:spacing w:line="480" w:lineRule="auto"/>
        <w:jc w:val="both"/>
        <w:rPr>
          <w:rFonts w:ascii="Arial" w:hAnsi="Arial" w:cs="Arial"/>
          <w:sz w:val="24"/>
          <w:szCs w:val="24"/>
        </w:rPr>
      </w:pPr>
    </w:p>
    <w:p w:rsidR="005D6CA4" w:rsidRPr="001C25CA" w:rsidRDefault="005D6CA4" w:rsidP="005D6CA4">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Section 76B, also challenged in these proceedings</w:t>
      </w:r>
      <w:r w:rsidR="000A3C68">
        <w:rPr>
          <w:rFonts w:ascii="Arial" w:hAnsi="Arial" w:cs="Arial"/>
          <w:sz w:val="24"/>
          <w:szCs w:val="24"/>
        </w:rPr>
        <w:t>,</w:t>
      </w:r>
      <w:r w:rsidRPr="001C25CA">
        <w:rPr>
          <w:rFonts w:ascii="Arial" w:hAnsi="Arial" w:cs="Arial"/>
          <w:sz w:val="24"/>
          <w:szCs w:val="24"/>
        </w:rPr>
        <w:t xml:space="preserve"> provides under the heading, ‘Exemption from land tax’:</w:t>
      </w:r>
    </w:p>
    <w:p w:rsidR="005D6CA4" w:rsidRPr="001C25CA" w:rsidRDefault="005D6CA4" w:rsidP="005D6CA4">
      <w:pPr>
        <w:pStyle w:val="NoSpacing"/>
        <w:spacing w:line="480" w:lineRule="auto"/>
        <w:jc w:val="both"/>
        <w:rPr>
          <w:rFonts w:ascii="Arial" w:hAnsi="Arial" w:cs="Arial"/>
          <w:sz w:val="24"/>
          <w:szCs w:val="24"/>
        </w:rPr>
      </w:pPr>
    </w:p>
    <w:p w:rsidR="005D6CA4" w:rsidRDefault="005D6CA4" w:rsidP="005D6CA4">
      <w:pPr>
        <w:pStyle w:val="NoSpacing"/>
        <w:spacing w:line="360" w:lineRule="auto"/>
        <w:ind w:left="709"/>
        <w:jc w:val="both"/>
        <w:rPr>
          <w:rFonts w:ascii="Arial" w:hAnsi="Arial" w:cs="Arial"/>
        </w:rPr>
      </w:pPr>
      <w:r>
        <w:rPr>
          <w:rFonts w:ascii="Arial" w:hAnsi="Arial" w:cs="Arial"/>
        </w:rPr>
        <w:t>‘</w:t>
      </w:r>
      <w:r w:rsidRPr="00726AAE">
        <w:rPr>
          <w:rFonts w:ascii="Arial" w:hAnsi="Arial" w:cs="Arial"/>
        </w:rPr>
        <w:t xml:space="preserve">(l) The Minister may on application made to him or her by an owner of agricultural land, exempt by notice in the Gazette for such period as may be specified in that notice from land tax imposed pursuant to section 76 </w:t>
      </w:r>
      <w:r>
        <w:rPr>
          <w:rFonts w:ascii="Arial" w:hAnsi="Arial" w:cs="Arial"/>
        </w:rPr>
        <w:t>–</w:t>
      </w:r>
      <w:r w:rsidRPr="00726AAE">
        <w:rPr>
          <w:rFonts w:ascii="Arial" w:hAnsi="Arial" w:cs="Arial"/>
        </w:rPr>
        <w:t xml:space="preserve"> </w:t>
      </w:r>
    </w:p>
    <w:p w:rsidR="005D6CA4" w:rsidRDefault="005D6CA4" w:rsidP="005D6CA4">
      <w:pPr>
        <w:pStyle w:val="NoSpacing"/>
        <w:spacing w:line="360" w:lineRule="auto"/>
        <w:ind w:left="709"/>
        <w:jc w:val="both"/>
        <w:rPr>
          <w:rFonts w:ascii="Arial" w:hAnsi="Arial" w:cs="Arial"/>
        </w:rPr>
      </w:pPr>
    </w:p>
    <w:p w:rsidR="005D6CA4" w:rsidRDefault="005D6CA4" w:rsidP="005D6CA4">
      <w:pPr>
        <w:pStyle w:val="NoSpacing"/>
        <w:numPr>
          <w:ilvl w:val="0"/>
          <w:numId w:val="11"/>
        </w:numPr>
        <w:spacing w:line="360" w:lineRule="auto"/>
        <w:jc w:val="both"/>
        <w:rPr>
          <w:rFonts w:ascii="Arial" w:hAnsi="Arial" w:cs="Arial"/>
        </w:rPr>
      </w:pPr>
      <w:r w:rsidRPr="00726AAE">
        <w:rPr>
          <w:rFonts w:ascii="Arial" w:hAnsi="Arial" w:cs="Arial"/>
        </w:rPr>
        <w:lastRenderedPageBreak/>
        <w:t xml:space="preserve">any agricultural land of such owner, but only if he or she is a person belonging to the category of persons contemplated in Article 23 of the Namibian Constitution; </w:t>
      </w:r>
    </w:p>
    <w:p w:rsidR="005D6CA4" w:rsidRDefault="005D6CA4" w:rsidP="005D6CA4">
      <w:pPr>
        <w:pStyle w:val="NoSpacing"/>
        <w:spacing w:line="360" w:lineRule="auto"/>
        <w:ind w:left="1440"/>
        <w:jc w:val="both"/>
        <w:rPr>
          <w:rFonts w:ascii="Arial" w:hAnsi="Arial" w:cs="Arial"/>
        </w:rPr>
      </w:pPr>
    </w:p>
    <w:p w:rsidR="005D6CA4" w:rsidRDefault="005D6CA4" w:rsidP="005D6CA4">
      <w:pPr>
        <w:pStyle w:val="NoSpacing"/>
        <w:numPr>
          <w:ilvl w:val="0"/>
          <w:numId w:val="11"/>
        </w:numPr>
        <w:spacing w:line="360" w:lineRule="auto"/>
        <w:jc w:val="both"/>
        <w:rPr>
          <w:rFonts w:ascii="Arial" w:hAnsi="Arial" w:cs="Arial"/>
        </w:rPr>
      </w:pPr>
      <w:r w:rsidRPr="00726AAE">
        <w:rPr>
          <w:rFonts w:ascii="Arial" w:hAnsi="Arial" w:cs="Arial"/>
        </w:rPr>
        <w:t xml:space="preserve">any agricultural land that is primarily used for the activities of- </w:t>
      </w:r>
    </w:p>
    <w:p w:rsidR="005D6CA4" w:rsidRDefault="005D6CA4" w:rsidP="005D6CA4">
      <w:pPr>
        <w:pStyle w:val="NoSpacing"/>
        <w:spacing w:line="360" w:lineRule="auto"/>
        <w:jc w:val="both"/>
        <w:rPr>
          <w:rFonts w:ascii="Arial" w:hAnsi="Arial" w:cs="Arial"/>
        </w:rPr>
      </w:pPr>
    </w:p>
    <w:p w:rsidR="005D6CA4" w:rsidRDefault="005D6CA4" w:rsidP="005D6CA4">
      <w:pPr>
        <w:pStyle w:val="NoSpacing"/>
        <w:numPr>
          <w:ilvl w:val="0"/>
          <w:numId w:val="12"/>
        </w:numPr>
        <w:spacing w:line="360" w:lineRule="auto"/>
        <w:jc w:val="both"/>
        <w:rPr>
          <w:rFonts w:ascii="Arial" w:hAnsi="Arial" w:cs="Arial"/>
        </w:rPr>
      </w:pPr>
      <w:r w:rsidRPr="00726AAE">
        <w:rPr>
          <w:rFonts w:ascii="Arial" w:hAnsi="Arial" w:cs="Arial"/>
        </w:rPr>
        <w:t xml:space="preserve">a church, mission, hospital, school or hostel, provided such activities shall not be for profit or gain; </w:t>
      </w:r>
    </w:p>
    <w:p w:rsidR="005D6CA4" w:rsidRDefault="005D6CA4" w:rsidP="005D6CA4">
      <w:pPr>
        <w:pStyle w:val="NoSpacing"/>
        <w:spacing w:line="360" w:lineRule="auto"/>
        <w:ind w:left="2565"/>
        <w:jc w:val="both"/>
        <w:rPr>
          <w:rFonts w:ascii="Arial" w:hAnsi="Arial" w:cs="Arial"/>
        </w:rPr>
      </w:pPr>
    </w:p>
    <w:p w:rsidR="005D6CA4" w:rsidRDefault="005D6CA4" w:rsidP="005D6CA4">
      <w:pPr>
        <w:pStyle w:val="NoSpacing"/>
        <w:numPr>
          <w:ilvl w:val="0"/>
          <w:numId w:val="12"/>
        </w:numPr>
        <w:spacing w:line="360" w:lineRule="auto"/>
        <w:jc w:val="both"/>
        <w:rPr>
          <w:rFonts w:ascii="Arial" w:hAnsi="Arial" w:cs="Arial"/>
        </w:rPr>
      </w:pPr>
      <w:r w:rsidRPr="00726AAE">
        <w:rPr>
          <w:rFonts w:ascii="Arial" w:hAnsi="Arial" w:cs="Arial"/>
        </w:rPr>
        <w:t>any state-aided institution, or any charitable institution as defined in section 1 of the Sales Tax Act, 1992 (Act No. 5 of 1992). [The Sales Tax Act 5 of 1992 has been replaced by the V</w:t>
      </w:r>
      <w:r>
        <w:rPr>
          <w:rFonts w:ascii="Arial" w:hAnsi="Arial" w:cs="Arial"/>
        </w:rPr>
        <w:t>alue-Added Tax Act 10 of 2000.]</w:t>
      </w:r>
    </w:p>
    <w:p w:rsidR="005D6CA4" w:rsidRDefault="005D6CA4" w:rsidP="005D6CA4">
      <w:pPr>
        <w:pStyle w:val="NoSpacing"/>
        <w:spacing w:line="360" w:lineRule="auto"/>
        <w:ind w:left="1845"/>
        <w:jc w:val="both"/>
        <w:rPr>
          <w:rFonts w:ascii="Arial" w:hAnsi="Arial" w:cs="Arial"/>
        </w:rPr>
      </w:pPr>
    </w:p>
    <w:p w:rsidR="005D6CA4" w:rsidRDefault="005D6CA4" w:rsidP="005D6CA4">
      <w:pPr>
        <w:pStyle w:val="NoSpacing"/>
        <w:spacing w:line="360" w:lineRule="auto"/>
        <w:ind w:left="720"/>
        <w:jc w:val="both"/>
        <w:rPr>
          <w:rFonts w:ascii="Arial" w:hAnsi="Arial" w:cs="Arial"/>
        </w:rPr>
      </w:pPr>
      <w:r w:rsidRPr="00726AAE">
        <w:rPr>
          <w:rFonts w:ascii="Arial" w:hAnsi="Arial" w:cs="Arial"/>
        </w:rPr>
        <w:t xml:space="preserve">(2) An application referred to in subsection (1) shall be in such form as the Minister may determine and shall specify the agricultural land to which it relates. </w:t>
      </w:r>
    </w:p>
    <w:p w:rsidR="005D6CA4" w:rsidRDefault="005D6CA4" w:rsidP="005D6CA4">
      <w:pPr>
        <w:pStyle w:val="NoSpacing"/>
        <w:spacing w:line="360" w:lineRule="auto"/>
        <w:ind w:left="720"/>
        <w:jc w:val="both"/>
        <w:rPr>
          <w:rFonts w:ascii="Arial" w:hAnsi="Arial" w:cs="Arial"/>
        </w:rPr>
      </w:pPr>
    </w:p>
    <w:p w:rsidR="005D6CA4" w:rsidRPr="00726AAE" w:rsidRDefault="005D6CA4" w:rsidP="005D6CA4">
      <w:pPr>
        <w:pStyle w:val="NoSpacing"/>
        <w:spacing w:line="360" w:lineRule="auto"/>
        <w:ind w:left="720"/>
        <w:jc w:val="both"/>
        <w:rPr>
          <w:rFonts w:ascii="Arial" w:hAnsi="Arial" w:cs="Arial"/>
        </w:rPr>
      </w:pPr>
      <w:r w:rsidRPr="00726AAE">
        <w:rPr>
          <w:rFonts w:ascii="Arial" w:hAnsi="Arial" w:cs="Arial"/>
        </w:rPr>
        <w:t>(3) The Minister may revoke any exemption granted under subsection (1) if the reason for granting such exemption ceases to exist, but shall do so only after having afforded the owner concerned an opportunity to be heard.</w:t>
      </w:r>
      <w:r>
        <w:rPr>
          <w:rFonts w:ascii="Arial" w:hAnsi="Arial" w:cs="Arial"/>
        </w:rPr>
        <w:t>’</w:t>
      </w:r>
    </w:p>
    <w:p w:rsidR="005D6CA4" w:rsidRPr="001C25CA" w:rsidRDefault="005D6CA4" w:rsidP="005D6CA4">
      <w:pPr>
        <w:pStyle w:val="NoSpacing"/>
        <w:spacing w:line="480" w:lineRule="auto"/>
        <w:jc w:val="both"/>
        <w:rPr>
          <w:rFonts w:ascii="Arial" w:hAnsi="Arial" w:cs="Arial"/>
          <w:sz w:val="24"/>
          <w:szCs w:val="24"/>
        </w:rPr>
      </w:pPr>
    </w:p>
    <w:p w:rsidR="005D6CA4" w:rsidRPr="001C25CA" w:rsidRDefault="005D6CA4" w:rsidP="005D6CA4">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Section 77 empowers the Minister to make regulation in relation to:</w:t>
      </w:r>
    </w:p>
    <w:p w:rsidR="005D6CA4" w:rsidRPr="001C25CA" w:rsidRDefault="005D6CA4" w:rsidP="005D6CA4">
      <w:pPr>
        <w:pStyle w:val="NoSpacing"/>
        <w:spacing w:line="480" w:lineRule="auto"/>
        <w:ind w:left="720"/>
        <w:jc w:val="both"/>
        <w:rPr>
          <w:rFonts w:ascii="Arial" w:hAnsi="Arial" w:cs="Arial"/>
          <w:sz w:val="24"/>
          <w:szCs w:val="24"/>
        </w:rPr>
      </w:pPr>
    </w:p>
    <w:p w:rsidR="005D6CA4" w:rsidRPr="00726AAE" w:rsidRDefault="00A001B5" w:rsidP="005D6CA4">
      <w:pPr>
        <w:pStyle w:val="NoSpacing"/>
        <w:spacing w:line="360" w:lineRule="auto"/>
        <w:ind w:left="720"/>
        <w:jc w:val="both"/>
        <w:rPr>
          <w:rFonts w:ascii="Arial" w:hAnsi="Arial" w:cs="Arial"/>
        </w:rPr>
      </w:pPr>
      <w:r>
        <w:rPr>
          <w:rFonts w:ascii="Arial" w:hAnsi="Arial" w:cs="Arial"/>
        </w:rPr>
        <w:t>‘(a)</w:t>
      </w:r>
      <w:r>
        <w:rPr>
          <w:rFonts w:ascii="Arial" w:hAnsi="Arial" w:cs="Arial"/>
        </w:rPr>
        <w:tab/>
      </w:r>
      <w:r w:rsidR="005D6CA4" w:rsidRPr="00726AAE">
        <w:rPr>
          <w:rFonts w:ascii="Arial" w:hAnsi="Arial" w:cs="Arial"/>
        </w:rPr>
        <w:t xml:space="preserve">the forms to be used for the purposes of this Act; </w:t>
      </w:r>
    </w:p>
    <w:p w:rsidR="005D6CA4" w:rsidRPr="00726AAE" w:rsidRDefault="005D6CA4" w:rsidP="005D6CA4">
      <w:pPr>
        <w:pStyle w:val="NoSpacing"/>
        <w:spacing w:line="360" w:lineRule="auto"/>
        <w:ind w:left="720"/>
        <w:jc w:val="both"/>
        <w:rPr>
          <w:rFonts w:ascii="Arial" w:hAnsi="Arial" w:cs="Arial"/>
        </w:rPr>
      </w:pPr>
    </w:p>
    <w:p w:rsidR="005D6CA4" w:rsidRPr="00726AAE" w:rsidRDefault="005D6CA4" w:rsidP="005D6CA4">
      <w:pPr>
        <w:pStyle w:val="NoSpacing"/>
        <w:spacing w:line="360" w:lineRule="auto"/>
        <w:ind w:left="720"/>
        <w:jc w:val="both"/>
        <w:rPr>
          <w:rFonts w:ascii="Arial" w:hAnsi="Arial" w:cs="Arial"/>
        </w:rPr>
      </w:pPr>
      <w:r w:rsidRPr="00726AAE">
        <w:rPr>
          <w:rFonts w:ascii="Arial" w:hAnsi="Arial" w:cs="Arial"/>
        </w:rPr>
        <w:t>(b)</w:t>
      </w:r>
      <w:r w:rsidR="00A001B5">
        <w:rPr>
          <w:rFonts w:ascii="Arial" w:hAnsi="Arial" w:cs="Arial"/>
        </w:rPr>
        <w:tab/>
      </w:r>
      <w:r w:rsidRPr="00726AAE">
        <w:rPr>
          <w:rFonts w:ascii="Arial" w:hAnsi="Arial" w:cs="Arial"/>
        </w:rPr>
        <w:t>the procedure for making any application under this Act;</w:t>
      </w:r>
    </w:p>
    <w:p w:rsidR="005D6CA4" w:rsidRPr="00726AAE" w:rsidRDefault="005D6CA4" w:rsidP="005D6CA4">
      <w:pPr>
        <w:pStyle w:val="NoSpacing"/>
        <w:spacing w:line="360" w:lineRule="auto"/>
        <w:ind w:left="720"/>
        <w:jc w:val="both"/>
        <w:rPr>
          <w:rFonts w:ascii="Arial" w:hAnsi="Arial" w:cs="Arial"/>
        </w:rPr>
      </w:pPr>
    </w:p>
    <w:p w:rsidR="005D6CA4" w:rsidRPr="00726AAE" w:rsidRDefault="00A001B5" w:rsidP="00A001B5">
      <w:pPr>
        <w:pStyle w:val="NoSpacing"/>
        <w:spacing w:line="360" w:lineRule="auto"/>
        <w:ind w:left="1440" w:hanging="720"/>
        <w:jc w:val="both"/>
        <w:rPr>
          <w:rFonts w:ascii="Arial" w:hAnsi="Arial" w:cs="Arial"/>
        </w:rPr>
      </w:pPr>
      <w:r>
        <w:rPr>
          <w:rFonts w:ascii="Arial" w:hAnsi="Arial" w:cs="Arial"/>
        </w:rPr>
        <w:t>(c)</w:t>
      </w:r>
      <w:r>
        <w:rPr>
          <w:rFonts w:ascii="Arial" w:hAnsi="Arial" w:cs="Arial"/>
        </w:rPr>
        <w:tab/>
      </w:r>
      <w:r w:rsidR="005D6CA4" w:rsidRPr="00726AAE">
        <w:rPr>
          <w:rFonts w:ascii="Arial" w:hAnsi="Arial" w:cs="Arial"/>
        </w:rPr>
        <w:t xml:space="preserve">the procedure for applying for any consent to any transaction relating to or affecting land under this Act; and </w:t>
      </w:r>
    </w:p>
    <w:p w:rsidR="005D6CA4" w:rsidRPr="00726AAE" w:rsidRDefault="005D6CA4" w:rsidP="005D6CA4">
      <w:pPr>
        <w:pStyle w:val="NoSpacing"/>
        <w:spacing w:line="360" w:lineRule="auto"/>
        <w:ind w:left="720"/>
        <w:jc w:val="both"/>
        <w:rPr>
          <w:rFonts w:ascii="Arial" w:hAnsi="Arial" w:cs="Arial"/>
        </w:rPr>
      </w:pPr>
    </w:p>
    <w:p w:rsidR="005D6CA4" w:rsidRPr="00726AAE" w:rsidRDefault="00A001B5" w:rsidP="00A001B5">
      <w:pPr>
        <w:pStyle w:val="NoSpacing"/>
        <w:spacing w:line="360" w:lineRule="auto"/>
        <w:ind w:left="1440" w:hanging="720"/>
        <w:jc w:val="both"/>
        <w:rPr>
          <w:rFonts w:ascii="Arial" w:hAnsi="Arial" w:cs="Arial"/>
        </w:rPr>
      </w:pPr>
      <w:r>
        <w:rPr>
          <w:rFonts w:ascii="Arial" w:hAnsi="Arial" w:cs="Arial"/>
        </w:rPr>
        <w:t>(d)</w:t>
      </w:r>
      <w:r>
        <w:rPr>
          <w:rFonts w:ascii="Arial" w:hAnsi="Arial" w:cs="Arial"/>
        </w:rPr>
        <w:tab/>
      </w:r>
      <w:r w:rsidR="005D6CA4" w:rsidRPr="00726AAE">
        <w:rPr>
          <w:rFonts w:ascii="Arial" w:hAnsi="Arial" w:cs="Arial"/>
        </w:rPr>
        <w:t>any matter required or permitted to be prescribed by regulation under this Act.’</w:t>
      </w:r>
    </w:p>
    <w:p w:rsidR="005D6CA4" w:rsidRPr="001C25CA" w:rsidRDefault="005D6CA4" w:rsidP="005D6CA4">
      <w:pPr>
        <w:pStyle w:val="NoSpacing"/>
        <w:spacing w:line="480" w:lineRule="auto"/>
        <w:jc w:val="both"/>
        <w:rPr>
          <w:rFonts w:ascii="Arial" w:hAnsi="Arial" w:cs="Arial"/>
          <w:sz w:val="24"/>
          <w:szCs w:val="24"/>
        </w:rPr>
      </w:pPr>
    </w:p>
    <w:p w:rsidR="005D6CA4" w:rsidRPr="001C25CA" w:rsidRDefault="005D6CA4" w:rsidP="005D6CA4">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Section 78 concerns the service of notices and documents contemplated and required by the Act whilst s 79 creates an offence for hindering and obstructing </w:t>
      </w:r>
      <w:r w:rsidRPr="001C25CA">
        <w:rPr>
          <w:rFonts w:ascii="Arial" w:hAnsi="Arial" w:cs="Arial"/>
          <w:sz w:val="24"/>
          <w:szCs w:val="24"/>
        </w:rPr>
        <w:lastRenderedPageBreak/>
        <w:t>authorised persons from carrying out inspections or performing tasks under the Act. The provisions of s 79A authorise the Minister to delegate certain powers or duties imposed upon the Minister under the Act and s 80 states that limitations upon the fundamental right to dispose of property and its acquisition by the state under the Act is upon the authority of Art 16(2) of the Constitution read with Art 2</w:t>
      </w:r>
      <w:r>
        <w:rPr>
          <w:rFonts w:ascii="Arial" w:hAnsi="Arial" w:cs="Arial"/>
          <w:sz w:val="24"/>
          <w:szCs w:val="24"/>
        </w:rPr>
        <w:t>3</w:t>
      </w:r>
      <w:r w:rsidRPr="001C25CA">
        <w:rPr>
          <w:rFonts w:ascii="Arial" w:hAnsi="Arial" w:cs="Arial"/>
          <w:sz w:val="24"/>
          <w:szCs w:val="24"/>
        </w:rPr>
        <w:t>(2).</w:t>
      </w:r>
      <w:r w:rsidR="00AE6161">
        <w:rPr>
          <w:rFonts w:ascii="Arial" w:hAnsi="Arial" w:cs="Arial"/>
          <w:sz w:val="24"/>
          <w:szCs w:val="24"/>
        </w:rPr>
        <w:t xml:space="preserve"> Although the main application also impugned s 78 to s 80 which have a wider application than relating to land tax, it would seem that their constitutionality is</w:t>
      </w:r>
      <w:r w:rsidR="00C726FE">
        <w:rPr>
          <w:rFonts w:ascii="Arial" w:hAnsi="Arial" w:cs="Arial"/>
          <w:sz w:val="24"/>
          <w:szCs w:val="24"/>
        </w:rPr>
        <w:t xml:space="preserve"> no</w:t>
      </w:r>
      <w:r w:rsidR="00AE6161">
        <w:rPr>
          <w:rFonts w:ascii="Arial" w:hAnsi="Arial" w:cs="Arial"/>
          <w:sz w:val="24"/>
          <w:szCs w:val="24"/>
        </w:rPr>
        <w:t xml:space="preserve"> longer </w:t>
      </w:r>
      <w:r w:rsidR="00854DD1">
        <w:rPr>
          <w:rFonts w:ascii="Arial" w:hAnsi="Arial" w:cs="Arial"/>
          <w:sz w:val="24"/>
          <w:szCs w:val="24"/>
        </w:rPr>
        <w:t>i</w:t>
      </w:r>
      <w:r w:rsidR="00AE6161">
        <w:rPr>
          <w:rFonts w:ascii="Arial" w:hAnsi="Arial" w:cs="Arial"/>
          <w:sz w:val="24"/>
          <w:szCs w:val="24"/>
        </w:rPr>
        <w:t>n issue.</w:t>
      </w:r>
    </w:p>
    <w:p w:rsidR="005D6CA4" w:rsidRPr="001C25CA" w:rsidRDefault="005D6CA4" w:rsidP="005D6CA4">
      <w:pPr>
        <w:pStyle w:val="NoSpacing"/>
        <w:spacing w:line="480" w:lineRule="auto"/>
        <w:jc w:val="both"/>
        <w:rPr>
          <w:rFonts w:ascii="Arial" w:hAnsi="Arial" w:cs="Arial"/>
          <w:sz w:val="24"/>
          <w:szCs w:val="24"/>
        </w:rPr>
      </w:pPr>
    </w:p>
    <w:p w:rsidR="005D6CA4" w:rsidRPr="001C25CA" w:rsidRDefault="00497DB0" w:rsidP="005D6CA4">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The r</w:t>
      </w:r>
      <w:r w:rsidR="005D6CA4" w:rsidRPr="001C25CA">
        <w:rPr>
          <w:rFonts w:ascii="Arial" w:hAnsi="Arial" w:cs="Arial"/>
          <w:sz w:val="24"/>
          <w:szCs w:val="24"/>
        </w:rPr>
        <w:t xml:space="preserve">egulations were promulgated in December 2001 and were later repealed and replaced in July 2007.  </w:t>
      </w:r>
    </w:p>
    <w:p w:rsidR="002E426A" w:rsidRPr="001C25CA" w:rsidRDefault="002E426A" w:rsidP="002E426A">
      <w:pPr>
        <w:pStyle w:val="NoSpacing"/>
        <w:spacing w:line="480" w:lineRule="auto"/>
        <w:jc w:val="both"/>
        <w:rPr>
          <w:rFonts w:ascii="Arial" w:hAnsi="Arial" w:cs="Arial"/>
          <w:sz w:val="24"/>
          <w:szCs w:val="24"/>
        </w:rPr>
      </w:pPr>
    </w:p>
    <w:p w:rsidR="002E426A" w:rsidRPr="001C25CA" w:rsidRDefault="002E426A" w:rsidP="002E426A">
      <w:pPr>
        <w:pStyle w:val="NoSpacing"/>
        <w:spacing w:line="480" w:lineRule="auto"/>
        <w:jc w:val="both"/>
        <w:rPr>
          <w:rFonts w:ascii="Arial" w:hAnsi="Arial" w:cs="Arial"/>
          <w:sz w:val="24"/>
          <w:szCs w:val="24"/>
          <w:u w:val="single"/>
        </w:rPr>
      </w:pPr>
      <w:r w:rsidRPr="001C25CA">
        <w:rPr>
          <w:rFonts w:ascii="Arial" w:hAnsi="Arial" w:cs="Arial"/>
          <w:sz w:val="24"/>
          <w:szCs w:val="24"/>
          <w:u w:val="single"/>
        </w:rPr>
        <w:t>Appellant’s submissions</w:t>
      </w:r>
    </w:p>
    <w:p w:rsidR="002E426A" w:rsidRPr="001C25CA" w:rsidRDefault="002E426A"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Mr Tötemeyer, who appeared on behalf of the appellant (although the heads of argument were prepared by Mr Henning SC and himself) forcefully argued that the land tax </w:t>
      </w:r>
      <w:r w:rsidR="00C50740">
        <w:rPr>
          <w:rFonts w:ascii="Arial" w:hAnsi="Arial" w:cs="Arial"/>
          <w:sz w:val="24"/>
          <w:szCs w:val="24"/>
        </w:rPr>
        <w:t>regime</w:t>
      </w:r>
      <w:r w:rsidRPr="001C25CA">
        <w:rPr>
          <w:rFonts w:ascii="Arial" w:hAnsi="Arial" w:cs="Arial"/>
          <w:sz w:val="24"/>
          <w:szCs w:val="24"/>
        </w:rPr>
        <w:t xml:space="preserve"> in the Act, brought about by s 76 and 77</w:t>
      </w:r>
      <w:r w:rsidR="000A3C68">
        <w:rPr>
          <w:rFonts w:ascii="Arial" w:hAnsi="Arial" w:cs="Arial"/>
          <w:sz w:val="24"/>
          <w:szCs w:val="24"/>
        </w:rPr>
        <w:t>,</w:t>
      </w:r>
      <w:r w:rsidRPr="001C25CA">
        <w:rPr>
          <w:rFonts w:ascii="Arial" w:hAnsi="Arial" w:cs="Arial"/>
          <w:sz w:val="24"/>
          <w:szCs w:val="24"/>
        </w:rPr>
        <w:t xml:space="preserve"> amounted to an impermissible delegation of legislative power to the executive</w:t>
      </w:r>
      <w:r w:rsidR="00AE6161">
        <w:rPr>
          <w:rFonts w:ascii="Arial" w:hAnsi="Arial" w:cs="Arial"/>
          <w:sz w:val="24"/>
          <w:szCs w:val="24"/>
        </w:rPr>
        <w:t xml:space="preserve"> branch of government</w:t>
      </w:r>
      <w:r w:rsidRPr="001C25CA">
        <w:rPr>
          <w:rFonts w:ascii="Arial" w:hAnsi="Arial" w:cs="Arial"/>
          <w:sz w:val="24"/>
          <w:szCs w:val="24"/>
        </w:rPr>
        <w:t xml:space="preserve"> in the</w:t>
      </w:r>
      <w:r w:rsidR="00C50740">
        <w:rPr>
          <w:rFonts w:ascii="Arial" w:hAnsi="Arial" w:cs="Arial"/>
          <w:sz w:val="24"/>
          <w:szCs w:val="24"/>
        </w:rPr>
        <w:t xml:space="preserve"> person of the Minister. This, </w:t>
      </w:r>
      <w:r w:rsidRPr="001C25CA">
        <w:rPr>
          <w:rFonts w:ascii="Arial" w:hAnsi="Arial" w:cs="Arial"/>
          <w:sz w:val="24"/>
          <w:szCs w:val="24"/>
        </w:rPr>
        <w:t>he submitted, was in conflict with the doctrine of separation of powers upon which the Constitution is based and in direct conflict with Art 63(2)(b) of the Constitution.</w:t>
      </w:r>
    </w:p>
    <w:p w:rsidR="002E426A" w:rsidRPr="001C25CA" w:rsidRDefault="002E426A" w:rsidP="002E426A">
      <w:pPr>
        <w:pStyle w:val="ListParagraph"/>
        <w:rPr>
          <w:rFonts w:ascii="Arial" w:hAnsi="Arial" w:cs="Arial"/>
          <w:sz w:val="24"/>
          <w:szCs w:val="24"/>
        </w:rPr>
      </w:pPr>
    </w:p>
    <w:p w:rsidR="002E426A" w:rsidRPr="001C25CA" w:rsidRDefault="002E426A"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Article 63 sets out the functions and powers of the National Assembly. Sub-article 63(1) sets out its power as principal legislative authority ‘to make and repeal laws’ for Namibia. Article 63(2)(b) provides:</w:t>
      </w:r>
    </w:p>
    <w:p w:rsidR="002E426A" w:rsidRPr="001C25CA" w:rsidRDefault="002E426A" w:rsidP="003D7216">
      <w:pPr>
        <w:pStyle w:val="ListParagraph"/>
        <w:spacing w:line="360" w:lineRule="auto"/>
        <w:rPr>
          <w:rFonts w:ascii="Arial" w:hAnsi="Arial" w:cs="Arial"/>
          <w:sz w:val="24"/>
          <w:szCs w:val="24"/>
        </w:rPr>
      </w:pPr>
    </w:p>
    <w:p w:rsidR="002E426A" w:rsidRDefault="00FA4B55" w:rsidP="00726AAE">
      <w:pPr>
        <w:pStyle w:val="NoSpacing"/>
        <w:spacing w:line="360" w:lineRule="auto"/>
        <w:ind w:left="1418" w:hanging="698"/>
        <w:jc w:val="both"/>
        <w:rPr>
          <w:rFonts w:ascii="Arial" w:hAnsi="Arial" w:cs="Arial"/>
        </w:rPr>
      </w:pPr>
      <w:r w:rsidRPr="00726AAE">
        <w:rPr>
          <w:rFonts w:ascii="Arial" w:hAnsi="Arial" w:cs="Arial"/>
        </w:rPr>
        <w:t>‘</w:t>
      </w:r>
      <w:r w:rsidR="002E426A" w:rsidRPr="00726AAE">
        <w:rPr>
          <w:rFonts w:ascii="Arial" w:hAnsi="Arial" w:cs="Arial"/>
        </w:rPr>
        <w:t>(2)</w:t>
      </w:r>
      <w:r w:rsidR="002E426A" w:rsidRPr="00726AAE">
        <w:rPr>
          <w:rFonts w:ascii="Arial" w:hAnsi="Arial" w:cs="Arial"/>
        </w:rPr>
        <w:tab/>
        <w:t>The National Assembly shall further have the power and function, subject to this Constitution:</w:t>
      </w:r>
    </w:p>
    <w:p w:rsidR="00726AAE" w:rsidRPr="00726AAE" w:rsidRDefault="00726AAE" w:rsidP="00726AAE">
      <w:pPr>
        <w:pStyle w:val="NoSpacing"/>
        <w:spacing w:line="360" w:lineRule="auto"/>
        <w:ind w:left="1418" w:hanging="698"/>
        <w:jc w:val="both"/>
        <w:rPr>
          <w:rFonts w:ascii="Arial" w:hAnsi="Arial" w:cs="Arial"/>
        </w:rPr>
      </w:pPr>
    </w:p>
    <w:p w:rsidR="002E426A" w:rsidRPr="00726AAE" w:rsidRDefault="00FA4B55" w:rsidP="00726AAE">
      <w:pPr>
        <w:pStyle w:val="NoSpacing"/>
        <w:numPr>
          <w:ilvl w:val="0"/>
          <w:numId w:val="10"/>
        </w:numPr>
        <w:spacing w:line="360" w:lineRule="auto"/>
        <w:ind w:left="1985" w:hanging="567"/>
        <w:jc w:val="both"/>
        <w:rPr>
          <w:rFonts w:ascii="Arial" w:hAnsi="Arial" w:cs="Arial"/>
        </w:rPr>
      </w:pPr>
      <w:r w:rsidRPr="00726AAE">
        <w:rPr>
          <w:rFonts w:ascii="Arial" w:hAnsi="Arial" w:cs="Arial"/>
        </w:rPr>
        <w:t xml:space="preserve">. . . . </w:t>
      </w:r>
    </w:p>
    <w:p w:rsidR="00FA4B55" w:rsidRPr="001C25CA" w:rsidRDefault="000A3C68" w:rsidP="00726AAE">
      <w:pPr>
        <w:pStyle w:val="NoSpacing"/>
        <w:numPr>
          <w:ilvl w:val="0"/>
          <w:numId w:val="10"/>
        </w:numPr>
        <w:spacing w:line="360" w:lineRule="auto"/>
        <w:ind w:left="1985" w:hanging="567"/>
        <w:jc w:val="both"/>
        <w:rPr>
          <w:rFonts w:ascii="Arial" w:hAnsi="Arial" w:cs="Arial"/>
          <w:sz w:val="24"/>
          <w:szCs w:val="24"/>
        </w:rPr>
      </w:pPr>
      <w:r>
        <w:rPr>
          <w:rFonts w:ascii="Arial" w:hAnsi="Arial" w:cs="Arial"/>
        </w:rPr>
        <w:t>t</w:t>
      </w:r>
      <w:r w:rsidR="00FA4B55" w:rsidRPr="00726AAE">
        <w:rPr>
          <w:rFonts w:ascii="Arial" w:hAnsi="Arial" w:cs="Arial"/>
        </w:rPr>
        <w:t>o provide for revenue and taxation.’</w:t>
      </w:r>
    </w:p>
    <w:p w:rsidR="002E426A" w:rsidRPr="001C25CA" w:rsidRDefault="002E426A" w:rsidP="002E426A">
      <w:pPr>
        <w:pStyle w:val="ListParagraph"/>
        <w:rPr>
          <w:rFonts w:ascii="Arial" w:hAnsi="Arial" w:cs="Arial"/>
          <w:sz w:val="24"/>
          <w:szCs w:val="24"/>
        </w:rPr>
      </w:pPr>
    </w:p>
    <w:p w:rsidR="002E426A" w:rsidRPr="001C25CA" w:rsidRDefault="00FA4B55"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Mr Tötemeyer argued that the Act did not establish land tax but had impermissibly left the essential ingredients of the tax to be determined by the executive branch in the form of the Minister. He pointed out that the rate in the formula set out in s 76 was determined by the Minister and that the further core ingredients to the tax are left to the </w:t>
      </w:r>
      <w:r w:rsidR="001E4C77" w:rsidRPr="001C25CA">
        <w:rPr>
          <w:rFonts w:ascii="Arial" w:hAnsi="Arial" w:cs="Arial"/>
          <w:sz w:val="24"/>
          <w:szCs w:val="24"/>
        </w:rPr>
        <w:t>regulation</w:t>
      </w:r>
      <w:r w:rsidR="00C50740">
        <w:rPr>
          <w:rFonts w:ascii="Arial" w:hAnsi="Arial" w:cs="Arial"/>
          <w:sz w:val="24"/>
          <w:szCs w:val="24"/>
        </w:rPr>
        <w:t>s</w:t>
      </w:r>
      <w:r w:rsidRPr="001C25CA">
        <w:rPr>
          <w:rFonts w:ascii="Arial" w:hAnsi="Arial" w:cs="Arial"/>
          <w:sz w:val="24"/>
          <w:szCs w:val="24"/>
        </w:rPr>
        <w:t xml:space="preserve"> promulgated under s 77 </w:t>
      </w:r>
      <w:r w:rsidR="000A3C68">
        <w:rPr>
          <w:rFonts w:ascii="Arial" w:hAnsi="Arial" w:cs="Arial"/>
          <w:sz w:val="24"/>
          <w:szCs w:val="24"/>
        </w:rPr>
        <w:t xml:space="preserve">by the Minister </w:t>
      </w:r>
      <w:r w:rsidRPr="001C25CA">
        <w:rPr>
          <w:rFonts w:ascii="Arial" w:hAnsi="Arial" w:cs="Arial"/>
          <w:sz w:val="24"/>
          <w:szCs w:val="24"/>
        </w:rPr>
        <w:t>and not the legislature as is presupposed by Art 63(2)(b) and the separation of powers doctrine. He further submitted that s 76 contained no guidelines as to how the unimproved site value of agricultural land was to be determined.</w:t>
      </w:r>
    </w:p>
    <w:p w:rsidR="002E426A" w:rsidRPr="001C25CA" w:rsidRDefault="002E426A" w:rsidP="002E426A">
      <w:pPr>
        <w:pStyle w:val="ListParagraph"/>
        <w:rPr>
          <w:rFonts w:ascii="Arial" w:hAnsi="Arial" w:cs="Arial"/>
          <w:sz w:val="24"/>
          <w:szCs w:val="24"/>
        </w:rPr>
      </w:pPr>
    </w:p>
    <w:p w:rsidR="002E426A" w:rsidRPr="001C25CA" w:rsidRDefault="00FA4B55"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It was also contended on behalf of the appellant that it was impossible for those liable to pay land tax under the Act to determine the extent of their liability under the Act, rendering the provisions impermissibly uncertain. He also argued that the approval of the rate by way of resolution of the National Assembly in s 76(4) did not amount to supervision or oversight of the Min</w:t>
      </w:r>
      <w:r w:rsidR="000F61A4">
        <w:rPr>
          <w:rFonts w:ascii="Arial" w:hAnsi="Arial" w:cs="Arial"/>
          <w:sz w:val="24"/>
          <w:szCs w:val="24"/>
        </w:rPr>
        <w:t>i</w:t>
      </w:r>
      <w:r w:rsidRPr="001C25CA">
        <w:rPr>
          <w:rFonts w:ascii="Arial" w:hAnsi="Arial" w:cs="Arial"/>
          <w:sz w:val="24"/>
          <w:szCs w:val="24"/>
        </w:rPr>
        <w:t>ster’s power in determining the rate.</w:t>
      </w:r>
    </w:p>
    <w:p w:rsidR="002E426A" w:rsidRPr="001C25CA" w:rsidRDefault="002E426A" w:rsidP="002E426A">
      <w:pPr>
        <w:pStyle w:val="ListParagraph"/>
        <w:rPr>
          <w:rFonts w:ascii="Arial" w:hAnsi="Arial" w:cs="Arial"/>
          <w:sz w:val="24"/>
          <w:szCs w:val="24"/>
        </w:rPr>
      </w:pPr>
    </w:p>
    <w:p w:rsidR="002E426A" w:rsidRPr="001C25CA" w:rsidRDefault="00FA4B55"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Mr Tötemeyer also argued that the discretion accorded to the Minister to exempt persons from paying land tax in s 76B is impermissibly wide and amounts to an unguided discretion, in conflict with constitutional principles and the terms of Art 22 of the Constitution.</w:t>
      </w:r>
    </w:p>
    <w:p w:rsidR="002E426A" w:rsidRPr="001C25CA" w:rsidRDefault="002E426A" w:rsidP="002E426A">
      <w:pPr>
        <w:pStyle w:val="ListParagraph"/>
        <w:rPr>
          <w:rFonts w:ascii="Arial" w:hAnsi="Arial" w:cs="Arial"/>
          <w:sz w:val="24"/>
          <w:szCs w:val="24"/>
        </w:rPr>
      </w:pPr>
    </w:p>
    <w:p w:rsidR="002E426A" w:rsidRPr="001C25CA" w:rsidRDefault="00FA4B55"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 appellant’s contention</w:t>
      </w:r>
      <w:r w:rsidR="00C50740">
        <w:rPr>
          <w:rFonts w:ascii="Arial" w:hAnsi="Arial" w:cs="Arial"/>
          <w:sz w:val="24"/>
          <w:szCs w:val="24"/>
        </w:rPr>
        <w:t>s</w:t>
      </w:r>
      <w:r w:rsidRPr="001C25CA">
        <w:rPr>
          <w:rFonts w:ascii="Arial" w:hAnsi="Arial" w:cs="Arial"/>
          <w:sz w:val="24"/>
          <w:szCs w:val="24"/>
        </w:rPr>
        <w:t xml:space="preserve"> in support of the constitutional and administrative law challenge</w:t>
      </w:r>
      <w:r w:rsidR="00C50740">
        <w:rPr>
          <w:rFonts w:ascii="Arial" w:hAnsi="Arial" w:cs="Arial"/>
          <w:sz w:val="24"/>
          <w:szCs w:val="24"/>
        </w:rPr>
        <w:t>s</w:t>
      </w:r>
      <w:r w:rsidRPr="001C25CA">
        <w:rPr>
          <w:rFonts w:ascii="Arial" w:hAnsi="Arial" w:cs="Arial"/>
          <w:sz w:val="24"/>
          <w:szCs w:val="24"/>
        </w:rPr>
        <w:t xml:space="preserve"> to the </w:t>
      </w:r>
      <w:r w:rsidR="00C50740">
        <w:rPr>
          <w:rFonts w:ascii="Arial" w:hAnsi="Arial" w:cs="Arial"/>
          <w:sz w:val="24"/>
          <w:szCs w:val="24"/>
        </w:rPr>
        <w:t xml:space="preserve">individual </w:t>
      </w:r>
      <w:r w:rsidR="001E4C77" w:rsidRPr="001C25CA">
        <w:rPr>
          <w:rFonts w:ascii="Arial" w:hAnsi="Arial" w:cs="Arial"/>
          <w:sz w:val="24"/>
          <w:szCs w:val="24"/>
        </w:rPr>
        <w:t>regulation</w:t>
      </w:r>
      <w:r w:rsidR="00C50740">
        <w:rPr>
          <w:rFonts w:ascii="Arial" w:hAnsi="Arial" w:cs="Arial"/>
          <w:sz w:val="24"/>
          <w:szCs w:val="24"/>
        </w:rPr>
        <w:t>s</w:t>
      </w:r>
      <w:r w:rsidRPr="001C25CA">
        <w:rPr>
          <w:rFonts w:ascii="Arial" w:hAnsi="Arial" w:cs="Arial"/>
          <w:sz w:val="24"/>
          <w:szCs w:val="24"/>
        </w:rPr>
        <w:t xml:space="preserve"> and other administrative action </w:t>
      </w:r>
      <w:r w:rsidR="00C50740">
        <w:rPr>
          <w:rFonts w:ascii="Arial" w:hAnsi="Arial" w:cs="Arial"/>
          <w:sz w:val="24"/>
          <w:szCs w:val="24"/>
        </w:rPr>
        <w:t xml:space="preserve">taken </w:t>
      </w:r>
      <w:r w:rsidRPr="001C25CA">
        <w:rPr>
          <w:rFonts w:ascii="Arial" w:hAnsi="Arial" w:cs="Arial"/>
          <w:sz w:val="24"/>
          <w:szCs w:val="24"/>
        </w:rPr>
        <w:t xml:space="preserve">in </w:t>
      </w:r>
      <w:r w:rsidRPr="001C25CA">
        <w:rPr>
          <w:rFonts w:ascii="Arial" w:hAnsi="Arial" w:cs="Arial"/>
          <w:sz w:val="24"/>
          <w:szCs w:val="24"/>
        </w:rPr>
        <w:lastRenderedPageBreak/>
        <w:t xml:space="preserve">terms of the </w:t>
      </w:r>
      <w:r w:rsidR="001E4C77" w:rsidRPr="001C25CA">
        <w:rPr>
          <w:rFonts w:ascii="Arial" w:hAnsi="Arial" w:cs="Arial"/>
          <w:sz w:val="24"/>
          <w:szCs w:val="24"/>
        </w:rPr>
        <w:t>regulation</w:t>
      </w:r>
      <w:r w:rsidR="00C50740">
        <w:rPr>
          <w:rFonts w:ascii="Arial" w:hAnsi="Arial" w:cs="Arial"/>
          <w:sz w:val="24"/>
          <w:szCs w:val="24"/>
        </w:rPr>
        <w:t>s</w:t>
      </w:r>
      <w:r w:rsidRPr="001C25CA">
        <w:rPr>
          <w:rFonts w:ascii="Arial" w:hAnsi="Arial" w:cs="Arial"/>
          <w:sz w:val="24"/>
          <w:szCs w:val="24"/>
        </w:rPr>
        <w:t xml:space="preserve"> are referred to below where each challenge</w:t>
      </w:r>
      <w:r w:rsidR="00C50740">
        <w:rPr>
          <w:rFonts w:ascii="Arial" w:hAnsi="Arial" w:cs="Arial"/>
          <w:sz w:val="24"/>
          <w:szCs w:val="24"/>
        </w:rPr>
        <w:t>, upon which argument was directed,</w:t>
      </w:r>
      <w:r w:rsidRPr="001C25CA">
        <w:rPr>
          <w:rFonts w:ascii="Arial" w:hAnsi="Arial" w:cs="Arial"/>
          <w:sz w:val="24"/>
          <w:szCs w:val="24"/>
        </w:rPr>
        <w:t xml:space="preserve"> is separately </w:t>
      </w:r>
      <w:r w:rsidR="00352985" w:rsidRPr="001C25CA">
        <w:rPr>
          <w:rFonts w:ascii="Arial" w:hAnsi="Arial" w:cs="Arial"/>
          <w:sz w:val="24"/>
          <w:szCs w:val="24"/>
        </w:rPr>
        <w:t>dealt with.</w:t>
      </w:r>
      <w:r w:rsidR="00854DD1">
        <w:rPr>
          <w:rFonts w:ascii="Arial" w:hAnsi="Arial" w:cs="Arial"/>
          <w:sz w:val="24"/>
          <w:szCs w:val="24"/>
        </w:rPr>
        <w:t xml:space="preserve"> Those upon which no written or oral argument was directed are deemed to be no longer in issue.</w:t>
      </w:r>
    </w:p>
    <w:p w:rsidR="00594EA3" w:rsidRPr="001C25CA" w:rsidRDefault="00594EA3" w:rsidP="00352985">
      <w:pPr>
        <w:rPr>
          <w:rFonts w:ascii="Arial" w:hAnsi="Arial" w:cs="Arial"/>
          <w:sz w:val="24"/>
          <w:szCs w:val="24"/>
        </w:rPr>
      </w:pPr>
    </w:p>
    <w:p w:rsidR="00352985" w:rsidRPr="001C25CA" w:rsidRDefault="00352985" w:rsidP="00352985">
      <w:pPr>
        <w:rPr>
          <w:rFonts w:ascii="Arial" w:hAnsi="Arial" w:cs="Arial"/>
          <w:sz w:val="24"/>
          <w:szCs w:val="24"/>
          <w:u w:val="single"/>
        </w:rPr>
      </w:pPr>
      <w:r w:rsidRPr="001C25CA">
        <w:rPr>
          <w:rFonts w:ascii="Arial" w:hAnsi="Arial" w:cs="Arial"/>
          <w:sz w:val="24"/>
          <w:szCs w:val="24"/>
          <w:u w:val="single"/>
        </w:rPr>
        <w:t>Respondent’s submissions</w:t>
      </w:r>
    </w:p>
    <w:p w:rsidR="002E426A" w:rsidRPr="001C25CA" w:rsidRDefault="00352985"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Mr Maleka SC, together with Mr Pelser and Mr Nekwaya appeared for the Minister although the heads were prepared by Mr Gauntlett </w:t>
      </w:r>
      <w:r w:rsidR="00C50740">
        <w:rPr>
          <w:rFonts w:ascii="Arial" w:hAnsi="Arial" w:cs="Arial"/>
          <w:sz w:val="24"/>
          <w:szCs w:val="24"/>
        </w:rPr>
        <w:t xml:space="preserve">QC </w:t>
      </w:r>
      <w:r w:rsidRPr="001C25CA">
        <w:rPr>
          <w:rFonts w:ascii="Arial" w:hAnsi="Arial" w:cs="Arial"/>
          <w:sz w:val="24"/>
          <w:szCs w:val="24"/>
        </w:rPr>
        <w:t>SC, together with Messrs Pelser and Nekwaya. Mr Maleka argued that the appellant’s approach failed to take into account Art 63(2)(b)</w:t>
      </w:r>
      <w:r w:rsidR="000A3C68">
        <w:rPr>
          <w:rFonts w:ascii="Arial" w:hAnsi="Arial" w:cs="Arial"/>
          <w:sz w:val="24"/>
          <w:szCs w:val="24"/>
        </w:rPr>
        <w:t xml:space="preserve"> properly construed</w:t>
      </w:r>
      <w:r w:rsidRPr="001C25CA">
        <w:rPr>
          <w:rFonts w:ascii="Arial" w:hAnsi="Arial" w:cs="Arial"/>
          <w:sz w:val="24"/>
          <w:szCs w:val="24"/>
        </w:rPr>
        <w:t xml:space="preserve"> and the nature of the tax imposed under the Act. He submitted that Parliament had designed a scheme of land tax which</w:t>
      </w:r>
      <w:r w:rsidR="00C50740">
        <w:rPr>
          <w:rFonts w:ascii="Arial" w:hAnsi="Arial" w:cs="Arial"/>
          <w:sz w:val="24"/>
          <w:szCs w:val="24"/>
        </w:rPr>
        <w:t xml:space="preserve"> by definition</w:t>
      </w:r>
      <w:r w:rsidRPr="001C25CA">
        <w:rPr>
          <w:rFonts w:ascii="Arial" w:hAnsi="Arial" w:cs="Arial"/>
          <w:sz w:val="24"/>
          <w:szCs w:val="24"/>
        </w:rPr>
        <w:t xml:space="preserve"> included the </w:t>
      </w:r>
      <w:r w:rsidR="001E4C77" w:rsidRPr="001C25CA">
        <w:rPr>
          <w:rFonts w:ascii="Arial" w:hAnsi="Arial" w:cs="Arial"/>
          <w:sz w:val="24"/>
          <w:szCs w:val="24"/>
        </w:rPr>
        <w:t>regulation</w:t>
      </w:r>
      <w:r w:rsidR="000A3C68">
        <w:rPr>
          <w:rFonts w:ascii="Arial" w:hAnsi="Arial" w:cs="Arial"/>
          <w:sz w:val="24"/>
          <w:szCs w:val="24"/>
        </w:rPr>
        <w:t>s</w:t>
      </w:r>
      <w:r w:rsidRPr="001C25CA">
        <w:rPr>
          <w:rFonts w:ascii="Arial" w:hAnsi="Arial" w:cs="Arial"/>
          <w:sz w:val="24"/>
          <w:szCs w:val="24"/>
        </w:rPr>
        <w:t xml:space="preserve">. </w:t>
      </w:r>
    </w:p>
    <w:p w:rsidR="002E426A" w:rsidRPr="001C25CA" w:rsidRDefault="002E426A" w:rsidP="002E426A">
      <w:pPr>
        <w:pStyle w:val="ListParagraph"/>
        <w:rPr>
          <w:rFonts w:ascii="Arial" w:hAnsi="Arial" w:cs="Arial"/>
          <w:sz w:val="24"/>
          <w:szCs w:val="24"/>
        </w:rPr>
      </w:pPr>
    </w:p>
    <w:p w:rsidR="002E426A" w:rsidRPr="001C25CA" w:rsidRDefault="00352985"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Mr Maleka contended that the key features of the scheme bringing about land tax were designed by Parliament, including the formula as to how the tax liability is determined. What is </w:t>
      </w:r>
      <w:r w:rsidR="00C50740">
        <w:rPr>
          <w:rFonts w:ascii="Arial" w:hAnsi="Arial" w:cs="Arial"/>
          <w:sz w:val="24"/>
          <w:szCs w:val="24"/>
        </w:rPr>
        <w:t xml:space="preserve">left </w:t>
      </w:r>
      <w:r w:rsidRPr="001C25CA">
        <w:rPr>
          <w:rFonts w:ascii="Arial" w:hAnsi="Arial" w:cs="Arial"/>
          <w:sz w:val="24"/>
          <w:szCs w:val="24"/>
        </w:rPr>
        <w:t xml:space="preserve">to be determined by the Minister is the rate which is in turn to be approved by way of resolution by the National Assembly. </w:t>
      </w:r>
      <w:r w:rsidR="00C50740">
        <w:rPr>
          <w:rFonts w:ascii="Arial" w:hAnsi="Arial" w:cs="Arial"/>
          <w:sz w:val="24"/>
          <w:szCs w:val="24"/>
        </w:rPr>
        <w:t>He argued that</w:t>
      </w:r>
      <w:r w:rsidRPr="001C25CA">
        <w:rPr>
          <w:rFonts w:ascii="Arial" w:hAnsi="Arial" w:cs="Arial"/>
          <w:sz w:val="24"/>
          <w:szCs w:val="24"/>
        </w:rPr>
        <w:t xml:space="preserve"> tax based upon a value such as a land tax requires a process involving expert valuers who can be engaged by landowners</w:t>
      </w:r>
      <w:r w:rsidR="00C50740">
        <w:rPr>
          <w:rFonts w:ascii="Arial" w:hAnsi="Arial" w:cs="Arial"/>
          <w:sz w:val="24"/>
          <w:szCs w:val="24"/>
        </w:rPr>
        <w:t xml:space="preserve"> in the process of determining values</w:t>
      </w:r>
      <w:r w:rsidR="000A3C68">
        <w:rPr>
          <w:rFonts w:ascii="Arial" w:hAnsi="Arial" w:cs="Arial"/>
          <w:sz w:val="24"/>
          <w:szCs w:val="24"/>
        </w:rPr>
        <w:t xml:space="preserve"> in accordance with procedures which can be set out in subordinate legislation</w:t>
      </w:r>
      <w:r w:rsidRPr="001C25CA">
        <w:rPr>
          <w:rFonts w:ascii="Arial" w:hAnsi="Arial" w:cs="Arial"/>
          <w:sz w:val="24"/>
          <w:szCs w:val="24"/>
        </w:rPr>
        <w:t>.</w:t>
      </w:r>
    </w:p>
    <w:p w:rsidR="00352985" w:rsidRPr="001C25CA" w:rsidRDefault="00352985" w:rsidP="00352985">
      <w:pPr>
        <w:pStyle w:val="ListParagraph"/>
        <w:rPr>
          <w:rFonts w:ascii="Arial" w:hAnsi="Arial" w:cs="Arial"/>
          <w:sz w:val="24"/>
          <w:szCs w:val="24"/>
        </w:rPr>
      </w:pPr>
    </w:p>
    <w:p w:rsidR="00352985" w:rsidRPr="001C25CA" w:rsidRDefault="00352985"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Mr Maleka also referred to the wording in Art 63(2)(b), conferring upon the National Assembly the power and function ‘to provide for taxation’. Comparisons with differently worded constitutional provisions elsewhere were of limited value. The wide wording in Art 6</w:t>
      </w:r>
      <w:r w:rsidR="000F61A4">
        <w:rPr>
          <w:rFonts w:ascii="Arial" w:hAnsi="Arial" w:cs="Arial"/>
          <w:sz w:val="24"/>
          <w:szCs w:val="24"/>
        </w:rPr>
        <w:t>3</w:t>
      </w:r>
      <w:r w:rsidRPr="001C25CA">
        <w:rPr>
          <w:rFonts w:ascii="Arial" w:hAnsi="Arial" w:cs="Arial"/>
          <w:sz w:val="24"/>
          <w:szCs w:val="24"/>
        </w:rPr>
        <w:t xml:space="preserve"> should</w:t>
      </w:r>
      <w:r w:rsidR="00C50740">
        <w:rPr>
          <w:rFonts w:ascii="Arial" w:hAnsi="Arial" w:cs="Arial"/>
          <w:sz w:val="24"/>
          <w:szCs w:val="24"/>
        </w:rPr>
        <w:t>, he said,</w:t>
      </w:r>
      <w:r w:rsidRPr="001C25CA">
        <w:rPr>
          <w:rFonts w:ascii="Arial" w:hAnsi="Arial" w:cs="Arial"/>
          <w:sz w:val="24"/>
          <w:szCs w:val="24"/>
        </w:rPr>
        <w:t xml:space="preserve"> be considered in the light of what was stated in this court in </w:t>
      </w:r>
      <w:r w:rsidRPr="001C25CA">
        <w:rPr>
          <w:rFonts w:ascii="Arial" w:hAnsi="Arial" w:cs="Arial"/>
          <w:i/>
          <w:sz w:val="24"/>
          <w:szCs w:val="24"/>
        </w:rPr>
        <w:t>Du Preez v Minister of Finance</w:t>
      </w:r>
      <w:r w:rsidRPr="001C25CA">
        <w:rPr>
          <w:rStyle w:val="FootnoteReference"/>
          <w:rFonts w:ascii="Arial" w:hAnsi="Arial" w:cs="Arial"/>
          <w:i/>
          <w:sz w:val="24"/>
          <w:szCs w:val="24"/>
        </w:rPr>
        <w:footnoteReference w:id="14"/>
      </w:r>
      <w:r w:rsidR="00D85432" w:rsidRPr="001C25CA">
        <w:rPr>
          <w:rFonts w:ascii="Arial" w:hAnsi="Arial" w:cs="Arial"/>
          <w:sz w:val="24"/>
          <w:szCs w:val="24"/>
        </w:rPr>
        <w:t xml:space="preserve"> that taxation is to be </w:t>
      </w:r>
      <w:r w:rsidR="00D85432" w:rsidRPr="001C25CA">
        <w:rPr>
          <w:rFonts w:ascii="Arial" w:hAnsi="Arial" w:cs="Arial"/>
          <w:sz w:val="24"/>
          <w:szCs w:val="24"/>
        </w:rPr>
        <w:lastRenderedPageBreak/>
        <w:t>understood as being ‘imposed by the legislature or other competent authority.</w:t>
      </w:r>
      <w:r w:rsidR="00C50740">
        <w:rPr>
          <w:rFonts w:ascii="Arial" w:hAnsi="Arial" w:cs="Arial"/>
          <w:sz w:val="24"/>
          <w:szCs w:val="24"/>
        </w:rPr>
        <w:t>’</w:t>
      </w:r>
      <w:r w:rsidR="00D85432" w:rsidRPr="001C25CA">
        <w:rPr>
          <w:rStyle w:val="FootnoteReference"/>
          <w:rFonts w:ascii="Arial" w:hAnsi="Arial" w:cs="Arial"/>
          <w:sz w:val="24"/>
          <w:szCs w:val="24"/>
        </w:rPr>
        <w:footnoteReference w:id="15"/>
      </w:r>
      <w:r w:rsidR="00D85432" w:rsidRPr="001C25CA">
        <w:rPr>
          <w:rFonts w:ascii="Arial" w:hAnsi="Arial" w:cs="Arial"/>
          <w:sz w:val="24"/>
          <w:szCs w:val="24"/>
        </w:rPr>
        <w:t xml:space="preserve"> He also pointed out that the Act was remedial in nature and that land tax was imposed to acquire agricultural land for the purpose of the complex constitutional imperative of providing access to land to those previously excluded from doing so, as was expressly ordained in the Act.</w:t>
      </w:r>
      <w:r w:rsidR="00D85432" w:rsidRPr="001C25CA">
        <w:rPr>
          <w:rStyle w:val="FootnoteReference"/>
          <w:rFonts w:ascii="Arial" w:hAnsi="Arial" w:cs="Arial"/>
          <w:sz w:val="24"/>
          <w:szCs w:val="24"/>
        </w:rPr>
        <w:footnoteReference w:id="16"/>
      </w:r>
    </w:p>
    <w:p w:rsidR="00D85432" w:rsidRPr="001C25CA" w:rsidRDefault="00D85432" w:rsidP="00D85432">
      <w:pPr>
        <w:pStyle w:val="ListParagraph"/>
        <w:rPr>
          <w:rFonts w:ascii="Arial" w:hAnsi="Arial" w:cs="Arial"/>
          <w:sz w:val="24"/>
          <w:szCs w:val="24"/>
        </w:rPr>
      </w:pPr>
    </w:p>
    <w:p w:rsidR="00D85432" w:rsidRPr="001C25CA" w:rsidRDefault="00D85432"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Turning to s 76B, Mr Maleka argued that the appellant’s approach negated the clear wording of Art 23(2) which expressly provides that Parliament may enact ‘legislation providing directly or indirectly’ for redress. In this instance, he submitted that Parliament indirectly provided for exemption on grounds of affirmative action</w:t>
      </w:r>
      <w:r w:rsidR="00C50740">
        <w:rPr>
          <w:rFonts w:ascii="Arial" w:hAnsi="Arial" w:cs="Arial"/>
          <w:sz w:val="24"/>
          <w:szCs w:val="24"/>
        </w:rPr>
        <w:t xml:space="preserve"> as</w:t>
      </w:r>
      <w:r w:rsidRPr="001C25CA">
        <w:rPr>
          <w:rFonts w:ascii="Arial" w:hAnsi="Arial" w:cs="Arial"/>
          <w:sz w:val="24"/>
          <w:szCs w:val="24"/>
        </w:rPr>
        <w:t xml:space="preserve"> was clearly authorised by A</w:t>
      </w:r>
      <w:r w:rsidR="00497DB0">
        <w:rPr>
          <w:rFonts w:ascii="Arial" w:hAnsi="Arial" w:cs="Arial"/>
          <w:sz w:val="24"/>
          <w:szCs w:val="24"/>
        </w:rPr>
        <w:t>r</w:t>
      </w:r>
      <w:r w:rsidRPr="001C25CA">
        <w:rPr>
          <w:rFonts w:ascii="Arial" w:hAnsi="Arial" w:cs="Arial"/>
          <w:sz w:val="24"/>
          <w:szCs w:val="24"/>
        </w:rPr>
        <w:t>t 23 itself. It followed, he argued, that the</w:t>
      </w:r>
      <w:r w:rsidR="000A3C68">
        <w:rPr>
          <w:rFonts w:ascii="Arial" w:hAnsi="Arial" w:cs="Arial"/>
          <w:sz w:val="24"/>
          <w:szCs w:val="24"/>
        </w:rPr>
        <w:t xml:space="preserve"> system of</w:t>
      </w:r>
      <w:r w:rsidRPr="001C25CA">
        <w:rPr>
          <w:rFonts w:ascii="Arial" w:hAnsi="Arial" w:cs="Arial"/>
          <w:sz w:val="24"/>
          <w:szCs w:val="24"/>
        </w:rPr>
        <w:t xml:space="preserve"> </w:t>
      </w:r>
      <w:r w:rsidRPr="001C25CA">
        <w:rPr>
          <w:rFonts w:ascii="Arial" w:hAnsi="Arial" w:cs="Arial"/>
          <w:i/>
          <w:sz w:val="24"/>
          <w:szCs w:val="24"/>
        </w:rPr>
        <w:t>ad hoc</w:t>
      </w:r>
      <w:r w:rsidRPr="001C25CA">
        <w:rPr>
          <w:rFonts w:ascii="Arial" w:hAnsi="Arial" w:cs="Arial"/>
          <w:sz w:val="24"/>
          <w:szCs w:val="24"/>
        </w:rPr>
        <w:t xml:space="preserve"> exemption contemplated by s 76B did not violate Art 22(b) and was constitutionally compl</w:t>
      </w:r>
      <w:r w:rsidR="00854DD1">
        <w:rPr>
          <w:rFonts w:ascii="Arial" w:hAnsi="Arial" w:cs="Arial"/>
          <w:sz w:val="24"/>
          <w:szCs w:val="24"/>
        </w:rPr>
        <w:t>i</w:t>
      </w:r>
      <w:r w:rsidRPr="001C25CA">
        <w:rPr>
          <w:rFonts w:ascii="Arial" w:hAnsi="Arial" w:cs="Arial"/>
          <w:sz w:val="24"/>
          <w:szCs w:val="24"/>
        </w:rPr>
        <w:t>ant.</w:t>
      </w:r>
    </w:p>
    <w:p w:rsidR="00D85432" w:rsidRPr="001C25CA" w:rsidRDefault="00D85432" w:rsidP="00D85432">
      <w:pPr>
        <w:rPr>
          <w:rFonts w:ascii="Arial" w:hAnsi="Arial" w:cs="Arial"/>
          <w:sz w:val="24"/>
          <w:szCs w:val="24"/>
        </w:rPr>
      </w:pPr>
    </w:p>
    <w:p w:rsidR="00D85432" w:rsidRPr="001C25CA" w:rsidRDefault="00D85432" w:rsidP="00D85432">
      <w:pPr>
        <w:rPr>
          <w:rFonts w:ascii="Arial" w:hAnsi="Arial" w:cs="Arial"/>
          <w:sz w:val="24"/>
          <w:szCs w:val="24"/>
          <w:u w:val="single"/>
        </w:rPr>
      </w:pPr>
      <w:r w:rsidRPr="001C25CA">
        <w:rPr>
          <w:rFonts w:ascii="Arial" w:hAnsi="Arial" w:cs="Arial"/>
          <w:sz w:val="24"/>
          <w:szCs w:val="24"/>
          <w:u w:val="single"/>
        </w:rPr>
        <w:t>The approach of the High Court</w:t>
      </w:r>
    </w:p>
    <w:p w:rsidR="00D85432" w:rsidRPr="001C25CA" w:rsidRDefault="00D85432"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In interpreting Art 63(2)(b), the High Court held that the fundamental values of the Constitution are to be borne in mind and that the words used</w:t>
      </w:r>
      <w:r w:rsidR="00C50740">
        <w:rPr>
          <w:rFonts w:ascii="Arial" w:hAnsi="Arial" w:cs="Arial"/>
          <w:sz w:val="24"/>
          <w:szCs w:val="24"/>
        </w:rPr>
        <w:t xml:space="preserve"> in Art 63(2)(b)</w:t>
      </w:r>
      <w:r w:rsidR="00B94BF9" w:rsidRPr="001C25CA">
        <w:rPr>
          <w:rFonts w:ascii="Arial" w:hAnsi="Arial" w:cs="Arial"/>
          <w:sz w:val="24"/>
          <w:szCs w:val="24"/>
        </w:rPr>
        <w:t xml:space="preserve"> ‘to provide for’ are to be given their </w:t>
      </w:r>
      <w:r w:rsidR="000A3C68">
        <w:rPr>
          <w:rFonts w:ascii="Arial" w:hAnsi="Arial" w:cs="Arial"/>
          <w:sz w:val="24"/>
          <w:szCs w:val="24"/>
        </w:rPr>
        <w:t>ordinary</w:t>
      </w:r>
      <w:r w:rsidR="00B94BF9" w:rsidRPr="001C25CA">
        <w:rPr>
          <w:rFonts w:ascii="Arial" w:hAnsi="Arial" w:cs="Arial"/>
          <w:sz w:val="24"/>
          <w:szCs w:val="24"/>
        </w:rPr>
        <w:t xml:space="preserve"> meaning. The High Court found that the National Assembly gave effect to Art 63(2)(b) when enacting s 76 of the Act. The court found </w:t>
      </w:r>
      <w:r w:rsidR="00C50740">
        <w:rPr>
          <w:rFonts w:ascii="Arial" w:hAnsi="Arial" w:cs="Arial"/>
          <w:sz w:val="24"/>
          <w:szCs w:val="24"/>
        </w:rPr>
        <w:t xml:space="preserve">that </w:t>
      </w:r>
      <w:r w:rsidR="00B94BF9" w:rsidRPr="001C25CA">
        <w:rPr>
          <w:rFonts w:ascii="Arial" w:hAnsi="Arial" w:cs="Arial"/>
          <w:sz w:val="24"/>
          <w:szCs w:val="24"/>
        </w:rPr>
        <w:t>this accord</w:t>
      </w:r>
      <w:r w:rsidR="00C50740">
        <w:rPr>
          <w:rFonts w:ascii="Arial" w:hAnsi="Arial" w:cs="Arial"/>
          <w:sz w:val="24"/>
          <w:szCs w:val="24"/>
        </w:rPr>
        <w:t>ed</w:t>
      </w:r>
      <w:r w:rsidR="00B94BF9" w:rsidRPr="001C25CA">
        <w:rPr>
          <w:rFonts w:ascii="Arial" w:hAnsi="Arial" w:cs="Arial"/>
          <w:sz w:val="24"/>
          <w:szCs w:val="24"/>
        </w:rPr>
        <w:t xml:space="preserve"> with the plain meaning of ‘provide for’ </w:t>
      </w:r>
      <w:r w:rsidR="000A3C68">
        <w:rPr>
          <w:rFonts w:ascii="Arial" w:hAnsi="Arial" w:cs="Arial"/>
          <w:sz w:val="24"/>
          <w:szCs w:val="24"/>
        </w:rPr>
        <w:t>which, it said, was also</w:t>
      </w:r>
      <w:r w:rsidR="00B94BF9" w:rsidRPr="001C25CA">
        <w:rPr>
          <w:rFonts w:ascii="Arial" w:hAnsi="Arial" w:cs="Arial"/>
          <w:sz w:val="24"/>
          <w:szCs w:val="24"/>
        </w:rPr>
        <w:t xml:space="preserve"> consistent with a purposive approach in interpreting constitutional provisions. The High Court found that delegating subordinat</w:t>
      </w:r>
      <w:r w:rsidR="000A3C68">
        <w:rPr>
          <w:rFonts w:ascii="Arial" w:hAnsi="Arial" w:cs="Arial"/>
          <w:sz w:val="24"/>
          <w:szCs w:val="24"/>
        </w:rPr>
        <w:t xml:space="preserve">e </w:t>
      </w:r>
      <w:r w:rsidR="007531D6" w:rsidRPr="001C25CA">
        <w:rPr>
          <w:rFonts w:ascii="Arial" w:hAnsi="Arial" w:cs="Arial"/>
          <w:sz w:val="24"/>
          <w:szCs w:val="24"/>
        </w:rPr>
        <w:t>reg</w:t>
      </w:r>
      <w:r w:rsidR="00B94BF9" w:rsidRPr="001C25CA">
        <w:rPr>
          <w:rFonts w:ascii="Arial" w:hAnsi="Arial" w:cs="Arial"/>
          <w:sz w:val="24"/>
          <w:szCs w:val="24"/>
        </w:rPr>
        <w:t xml:space="preserve">ulatory authority to other bodies did not offend the separation of powers principle and did not amount to the assignment of plenary legislative powers. The impugned section afterall </w:t>
      </w:r>
      <w:r w:rsidR="00B94BF9" w:rsidRPr="001C25CA">
        <w:rPr>
          <w:rFonts w:ascii="Arial" w:hAnsi="Arial" w:cs="Arial"/>
          <w:sz w:val="24"/>
          <w:szCs w:val="24"/>
        </w:rPr>
        <w:lastRenderedPageBreak/>
        <w:t xml:space="preserve">contained </w:t>
      </w:r>
      <w:r w:rsidR="00DC594F" w:rsidRPr="001C25CA">
        <w:rPr>
          <w:rFonts w:ascii="Arial" w:hAnsi="Arial" w:cs="Arial"/>
          <w:sz w:val="24"/>
          <w:szCs w:val="24"/>
        </w:rPr>
        <w:t xml:space="preserve">the formula </w:t>
      </w:r>
      <w:r w:rsidR="000A3C68">
        <w:rPr>
          <w:rFonts w:ascii="Arial" w:hAnsi="Arial" w:cs="Arial"/>
          <w:sz w:val="24"/>
          <w:szCs w:val="24"/>
        </w:rPr>
        <w:t xml:space="preserve">for </w:t>
      </w:r>
      <w:r w:rsidR="00DC594F" w:rsidRPr="001C25CA">
        <w:rPr>
          <w:rFonts w:ascii="Arial" w:hAnsi="Arial" w:cs="Arial"/>
          <w:sz w:val="24"/>
          <w:szCs w:val="24"/>
        </w:rPr>
        <w:t xml:space="preserve">determining the amount of tax payable. The court concluded that s 76 did </w:t>
      </w:r>
      <w:r w:rsidR="00854DD1">
        <w:rPr>
          <w:rFonts w:ascii="Arial" w:hAnsi="Arial" w:cs="Arial"/>
          <w:sz w:val="24"/>
          <w:szCs w:val="24"/>
        </w:rPr>
        <w:t xml:space="preserve">not </w:t>
      </w:r>
      <w:r w:rsidR="00DC594F" w:rsidRPr="001C25CA">
        <w:rPr>
          <w:rFonts w:ascii="Arial" w:hAnsi="Arial" w:cs="Arial"/>
          <w:sz w:val="24"/>
          <w:szCs w:val="24"/>
        </w:rPr>
        <w:t>violate the principle of separation of powers.</w:t>
      </w:r>
    </w:p>
    <w:p w:rsidR="00D85432" w:rsidRPr="001C25CA" w:rsidRDefault="00D85432" w:rsidP="00D85432">
      <w:pPr>
        <w:pStyle w:val="ListParagraph"/>
        <w:rPr>
          <w:rFonts w:ascii="Arial" w:hAnsi="Arial" w:cs="Arial"/>
          <w:sz w:val="24"/>
          <w:szCs w:val="24"/>
        </w:rPr>
      </w:pPr>
    </w:p>
    <w:p w:rsidR="00D85432" w:rsidRPr="001C25CA" w:rsidRDefault="00DC594F"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 High Court also rejected the challenge to s 76B, finding that it did not confer upon the Minister the authorit</w:t>
      </w:r>
      <w:r w:rsidR="00C50740">
        <w:rPr>
          <w:rFonts w:ascii="Arial" w:hAnsi="Arial" w:cs="Arial"/>
          <w:sz w:val="24"/>
          <w:szCs w:val="24"/>
        </w:rPr>
        <w:t>y</w:t>
      </w:r>
      <w:r w:rsidRPr="001C25CA">
        <w:rPr>
          <w:rFonts w:ascii="Arial" w:hAnsi="Arial" w:cs="Arial"/>
          <w:sz w:val="24"/>
          <w:szCs w:val="24"/>
        </w:rPr>
        <w:t xml:space="preserve"> or discretion </w:t>
      </w:r>
      <w:r w:rsidR="00C50740">
        <w:rPr>
          <w:rFonts w:ascii="Arial" w:hAnsi="Arial" w:cs="Arial"/>
          <w:sz w:val="24"/>
          <w:szCs w:val="24"/>
        </w:rPr>
        <w:t xml:space="preserve">whether or not </w:t>
      </w:r>
      <w:r w:rsidRPr="001C25CA">
        <w:rPr>
          <w:rFonts w:ascii="Arial" w:hAnsi="Arial" w:cs="Arial"/>
          <w:sz w:val="24"/>
          <w:szCs w:val="24"/>
        </w:rPr>
        <w:t>to exec</w:t>
      </w:r>
      <w:r w:rsidR="00C50740">
        <w:rPr>
          <w:rFonts w:ascii="Arial" w:hAnsi="Arial" w:cs="Arial"/>
          <w:sz w:val="24"/>
          <w:szCs w:val="24"/>
        </w:rPr>
        <w:t xml:space="preserve">ute a law passed by parliament </w:t>
      </w:r>
      <w:r w:rsidRPr="001C25CA">
        <w:rPr>
          <w:rFonts w:ascii="Arial" w:hAnsi="Arial" w:cs="Arial"/>
          <w:sz w:val="24"/>
          <w:szCs w:val="24"/>
        </w:rPr>
        <w:t xml:space="preserve">or constituted an impermissible delegation. The court found </w:t>
      </w:r>
      <w:r w:rsidR="00854DD1">
        <w:rPr>
          <w:rFonts w:ascii="Arial" w:hAnsi="Arial" w:cs="Arial"/>
          <w:sz w:val="24"/>
          <w:szCs w:val="24"/>
        </w:rPr>
        <w:t xml:space="preserve"> </w:t>
      </w:r>
      <w:r w:rsidRPr="001C25CA">
        <w:rPr>
          <w:rFonts w:ascii="Arial" w:hAnsi="Arial" w:cs="Arial"/>
          <w:sz w:val="24"/>
          <w:szCs w:val="24"/>
        </w:rPr>
        <w:t>s 76</w:t>
      </w:r>
      <w:r w:rsidR="00854DD1">
        <w:rPr>
          <w:rFonts w:ascii="Arial" w:hAnsi="Arial" w:cs="Arial"/>
          <w:sz w:val="24"/>
          <w:szCs w:val="24"/>
        </w:rPr>
        <w:t>B</w:t>
      </w:r>
      <w:r w:rsidRPr="001C25CA">
        <w:rPr>
          <w:rFonts w:ascii="Arial" w:hAnsi="Arial" w:cs="Arial"/>
          <w:sz w:val="24"/>
          <w:szCs w:val="24"/>
        </w:rPr>
        <w:t xml:space="preserve"> to be consistent with Art 23 and dismissed the constitutional challenge </w:t>
      </w:r>
      <w:r w:rsidR="000A3C68">
        <w:rPr>
          <w:rFonts w:ascii="Arial" w:hAnsi="Arial" w:cs="Arial"/>
          <w:sz w:val="24"/>
          <w:szCs w:val="24"/>
        </w:rPr>
        <w:t>upon</w:t>
      </w:r>
      <w:r w:rsidRPr="001C25CA">
        <w:rPr>
          <w:rFonts w:ascii="Arial" w:hAnsi="Arial" w:cs="Arial"/>
          <w:sz w:val="24"/>
          <w:szCs w:val="24"/>
        </w:rPr>
        <w:t xml:space="preserve"> this section as well.</w:t>
      </w:r>
    </w:p>
    <w:p w:rsidR="00D85432" w:rsidRPr="001C25CA" w:rsidRDefault="00D85432" w:rsidP="00FC4AEE">
      <w:pPr>
        <w:rPr>
          <w:rFonts w:ascii="Arial" w:hAnsi="Arial" w:cs="Arial"/>
          <w:sz w:val="24"/>
          <w:szCs w:val="24"/>
        </w:rPr>
      </w:pPr>
    </w:p>
    <w:p w:rsidR="00FC4AEE" w:rsidRPr="001C25CA" w:rsidRDefault="00FC4AEE" w:rsidP="00FC4AEE">
      <w:pPr>
        <w:rPr>
          <w:rFonts w:ascii="Arial" w:hAnsi="Arial" w:cs="Arial"/>
          <w:sz w:val="24"/>
          <w:szCs w:val="24"/>
          <w:u w:val="single"/>
        </w:rPr>
      </w:pPr>
      <w:r w:rsidRPr="001C25CA">
        <w:rPr>
          <w:rFonts w:ascii="Arial" w:hAnsi="Arial" w:cs="Arial"/>
          <w:sz w:val="24"/>
          <w:szCs w:val="24"/>
          <w:u w:val="single"/>
        </w:rPr>
        <w:t>The constitutional challenge to s 76</w:t>
      </w:r>
    </w:p>
    <w:p w:rsidR="00C50740" w:rsidRDefault="00FC4AEE"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Although there was </w:t>
      </w:r>
      <w:r w:rsidR="00C50740">
        <w:rPr>
          <w:rFonts w:ascii="Arial" w:hAnsi="Arial" w:cs="Arial"/>
          <w:sz w:val="24"/>
          <w:szCs w:val="24"/>
        </w:rPr>
        <w:t>no</w:t>
      </w:r>
      <w:r w:rsidRPr="001C25CA">
        <w:rPr>
          <w:rFonts w:ascii="Arial" w:hAnsi="Arial" w:cs="Arial"/>
          <w:sz w:val="24"/>
          <w:szCs w:val="24"/>
        </w:rPr>
        <w:t xml:space="preserve"> trace</w:t>
      </w:r>
      <w:r w:rsidR="000A3C68">
        <w:rPr>
          <w:rFonts w:ascii="Arial" w:hAnsi="Arial" w:cs="Arial"/>
          <w:sz w:val="24"/>
          <w:szCs w:val="24"/>
        </w:rPr>
        <w:t xml:space="preserve"> of any acknowledgement </w:t>
      </w:r>
      <w:r w:rsidRPr="001C25CA">
        <w:rPr>
          <w:rFonts w:ascii="Arial" w:hAnsi="Arial" w:cs="Arial"/>
          <w:sz w:val="24"/>
          <w:szCs w:val="24"/>
        </w:rPr>
        <w:t xml:space="preserve">in the appellant’s papers </w:t>
      </w:r>
      <w:r w:rsidR="00C50740">
        <w:rPr>
          <w:rFonts w:ascii="Arial" w:hAnsi="Arial" w:cs="Arial"/>
          <w:sz w:val="24"/>
          <w:szCs w:val="24"/>
        </w:rPr>
        <w:t>o</w:t>
      </w:r>
      <w:r w:rsidR="000A3C68">
        <w:rPr>
          <w:rFonts w:ascii="Arial" w:hAnsi="Arial" w:cs="Arial"/>
          <w:sz w:val="24"/>
          <w:szCs w:val="24"/>
        </w:rPr>
        <w:t>r</w:t>
      </w:r>
      <w:r w:rsidR="00C50740">
        <w:rPr>
          <w:rFonts w:ascii="Arial" w:hAnsi="Arial" w:cs="Arial"/>
          <w:sz w:val="24"/>
          <w:szCs w:val="24"/>
        </w:rPr>
        <w:t xml:space="preserve"> written argument </w:t>
      </w:r>
      <w:r w:rsidR="000A3C68">
        <w:rPr>
          <w:rFonts w:ascii="Arial" w:hAnsi="Arial" w:cs="Arial"/>
          <w:sz w:val="24"/>
          <w:szCs w:val="24"/>
        </w:rPr>
        <w:t xml:space="preserve">as to </w:t>
      </w:r>
      <w:r w:rsidRPr="001C25CA">
        <w:rPr>
          <w:rFonts w:ascii="Arial" w:hAnsi="Arial" w:cs="Arial"/>
          <w:sz w:val="24"/>
          <w:szCs w:val="24"/>
        </w:rPr>
        <w:t xml:space="preserve">the constitutional imperative to bring about land reform, this was </w:t>
      </w:r>
      <w:r w:rsidR="00854DD1">
        <w:rPr>
          <w:rFonts w:ascii="Arial" w:hAnsi="Arial" w:cs="Arial"/>
          <w:sz w:val="24"/>
          <w:szCs w:val="24"/>
        </w:rPr>
        <w:t xml:space="preserve">however </w:t>
      </w:r>
      <w:r w:rsidRPr="001C25CA">
        <w:rPr>
          <w:rFonts w:ascii="Arial" w:hAnsi="Arial" w:cs="Arial"/>
          <w:sz w:val="24"/>
          <w:szCs w:val="24"/>
        </w:rPr>
        <w:t xml:space="preserve">correctly acknowledged by Mr Tötemeyer in </w:t>
      </w:r>
      <w:r w:rsidR="00C50740">
        <w:rPr>
          <w:rFonts w:ascii="Arial" w:hAnsi="Arial" w:cs="Arial"/>
          <w:sz w:val="24"/>
          <w:szCs w:val="24"/>
        </w:rPr>
        <w:t xml:space="preserve">oral </w:t>
      </w:r>
      <w:r w:rsidRPr="001C25CA">
        <w:rPr>
          <w:rFonts w:ascii="Arial" w:hAnsi="Arial" w:cs="Arial"/>
          <w:sz w:val="24"/>
          <w:szCs w:val="24"/>
        </w:rPr>
        <w:t xml:space="preserve">argument. </w:t>
      </w:r>
    </w:p>
    <w:p w:rsidR="00C50740" w:rsidRDefault="00C50740" w:rsidP="00C50740">
      <w:pPr>
        <w:pStyle w:val="NoSpacing"/>
        <w:spacing w:line="480" w:lineRule="auto"/>
        <w:jc w:val="both"/>
        <w:rPr>
          <w:rFonts w:ascii="Arial" w:hAnsi="Arial" w:cs="Arial"/>
          <w:sz w:val="24"/>
          <w:szCs w:val="24"/>
        </w:rPr>
      </w:pPr>
    </w:p>
    <w:p w:rsidR="00D85432" w:rsidRPr="001C25CA" w:rsidRDefault="00FC4AEE"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purpose of the Act has been held by this court to </w:t>
      </w:r>
      <w:r w:rsidR="00F507DB" w:rsidRPr="001C25CA">
        <w:rPr>
          <w:rFonts w:ascii="Arial" w:hAnsi="Arial" w:cs="Arial"/>
          <w:sz w:val="24"/>
          <w:szCs w:val="24"/>
        </w:rPr>
        <w:t>‘</w:t>
      </w:r>
      <w:r w:rsidRPr="001C25CA">
        <w:rPr>
          <w:rFonts w:ascii="Arial" w:hAnsi="Arial" w:cs="Arial"/>
          <w:sz w:val="24"/>
          <w:szCs w:val="24"/>
        </w:rPr>
        <w:t>address the pressing issue of land reform, a perennial problem associated with this country’s history</w:t>
      </w:r>
      <w:r w:rsidR="00F507DB" w:rsidRPr="001C25CA">
        <w:rPr>
          <w:rFonts w:ascii="Arial" w:hAnsi="Arial" w:cs="Arial"/>
          <w:sz w:val="24"/>
          <w:szCs w:val="24"/>
        </w:rPr>
        <w:t>’</w:t>
      </w:r>
      <w:r w:rsidRPr="001C25CA">
        <w:rPr>
          <w:rFonts w:ascii="Arial" w:hAnsi="Arial" w:cs="Arial"/>
          <w:sz w:val="24"/>
          <w:szCs w:val="24"/>
        </w:rPr>
        <w:t>.</w:t>
      </w:r>
      <w:r w:rsidRPr="001C25CA">
        <w:rPr>
          <w:rStyle w:val="FootnoteReference"/>
          <w:rFonts w:ascii="Arial" w:hAnsi="Arial" w:cs="Arial"/>
          <w:sz w:val="24"/>
          <w:szCs w:val="24"/>
        </w:rPr>
        <w:footnoteReference w:id="17"/>
      </w:r>
      <w:r w:rsidRPr="001C25CA">
        <w:rPr>
          <w:rFonts w:ascii="Arial" w:hAnsi="Arial" w:cs="Arial"/>
          <w:sz w:val="24"/>
          <w:szCs w:val="24"/>
        </w:rPr>
        <w:t xml:space="preserve"> </w:t>
      </w:r>
      <w:r w:rsidR="00F507DB" w:rsidRPr="001C25CA">
        <w:rPr>
          <w:rFonts w:ascii="Arial" w:hAnsi="Arial" w:cs="Arial"/>
          <w:sz w:val="24"/>
          <w:szCs w:val="24"/>
        </w:rPr>
        <w:t>To this end</w:t>
      </w:r>
      <w:r w:rsidR="000A3C68">
        <w:rPr>
          <w:rFonts w:ascii="Arial" w:hAnsi="Arial" w:cs="Arial"/>
          <w:sz w:val="24"/>
          <w:szCs w:val="24"/>
        </w:rPr>
        <w:t>,</w:t>
      </w:r>
      <w:r w:rsidR="00F507DB" w:rsidRPr="001C25CA">
        <w:rPr>
          <w:rFonts w:ascii="Arial" w:hAnsi="Arial" w:cs="Arial"/>
          <w:sz w:val="24"/>
          <w:szCs w:val="24"/>
        </w:rPr>
        <w:t xml:space="preserve"> the Act provides for the acquisition of agricultural land by the state ‘to address the ravages of the inequality brought about by Namibia’s colonial pa</w:t>
      </w:r>
      <w:r w:rsidR="00497DB0">
        <w:rPr>
          <w:rFonts w:ascii="Arial" w:hAnsi="Arial" w:cs="Arial"/>
          <w:sz w:val="24"/>
          <w:szCs w:val="24"/>
        </w:rPr>
        <w:t>s</w:t>
      </w:r>
      <w:r w:rsidR="00F507DB" w:rsidRPr="001C25CA">
        <w:rPr>
          <w:rFonts w:ascii="Arial" w:hAnsi="Arial" w:cs="Arial"/>
          <w:sz w:val="24"/>
          <w:szCs w:val="24"/>
        </w:rPr>
        <w:t>t’.</w:t>
      </w:r>
      <w:r w:rsidR="00F507DB" w:rsidRPr="001C25CA">
        <w:rPr>
          <w:rStyle w:val="FootnoteReference"/>
          <w:rFonts w:ascii="Arial" w:hAnsi="Arial" w:cs="Arial"/>
          <w:sz w:val="24"/>
          <w:szCs w:val="24"/>
        </w:rPr>
        <w:footnoteReference w:id="18"/>
      </w:r>
      <w:r w:rsidR="00F507DB" w:rsidRPr="001C25CA">
        <w:rPr>
          <w:rFonts w:ascii="Arial" w:hAnsi="Arial" w:cs="Arial"/>
          <w:sz w:val="24"/>
          <w:szCs w:val="24"/>
        </w:rPr>
        <w:t xml:space="preserve"> The primary beneficiaries of this transformation programme are those Namibian citizens </w:t>
      </w:r>
      <w:r w:rsidR="00C50740">
        <w:rPr>
          <w:rFonts w:ascii="Arial" w:hAnsi="Arial" w:cs="Arial"/>
          <w:sz w:val="24"/>
          <w:szCs w:val="24"/>
        </w:rPr>
        <w:t>disadvantaged</w:t>
      </w:r>
      <w:r w:rsidR="004107D3" w:rsidRPr="001C25CA">
        <w:rPr>
          <w:rFonts w:ascii="Arial" w:hAnsi="Arial" w:cs="Arial"/>
          <w:sz w:val="24"/>
          <w:szCs w:val="24"/>
        </w:rPr>
        <w:t xml:space="preserve"> by past discriminatory laws or practices.</w:t>
      </w:r>
      <w:r w:rsidR="004107D3" w:rsidRPr="001C25CA">
        <w:rPr>
          <w:rStyle w:val="FootnoteReference"/>
          <w:rFonts w:ascii="Arial" w:hAnsi="Arial" w:cs="Arial"/>
          <w:sz w:val="24"/>
          <w:szCs w:val="24"/>
        </w:rPr>
        <w:footnoteReference w:id="19"/>
      </w:r>
      <w:r w:rsidR="004107D3" w:rsidRPr="001C25CA">
        <w:rPr>
          <w:rFonts w:ascii="Arial" w:hAnsi="Arial" w:cs="Arial"/>
          <w:sz w:val="24"/>
          <w:szCs w:val="24"/>
        </w:rPr>
        <w:t xml:space="preserve"> These practices included forcible dispossession from land by successi</w:t>
      </w:r>
      <w:r w:rsidR="00854DD1">
        <w:rPr>
          <w:rFonts w:ascii="Arial" w:hAnsi="Arial" w:cs="Arial"/>
          <w:sz w:val="24"/>
          <w:szCs w:val="24"/>
        </w:rPr>
        <w:t>ve</w:t>
      </w:r>
      <w:r w:rsidR="004107D3" w:rsidRPr="001C25CA">
        <w:rPr>
          <w:rFonts w:ascii="Arial" w:hAnsi="Arial" w:cs="Arial"/>
          <w:sz w:val="24"/>
          <w:szCs w:val="24"/>
        </w:rPr>
        <w:t xml:space="preserve"> colonial </w:t>
      </w:r>
      <w:r w:rsidR="00C50740">
        <w:rPr>
          <w:rFonts w:ascii="Arial" w:hAnsi="Arial" w:cs="Arial"/>
          <w:sz w:val="24"/>
          <w:szCs w:val="24"/>
        </w:rPr>
        <w:t>regimes</w:t>
      </w:r>
      <w:r w:rsidR="004107D3" w:rsidRPr="001C25CA">
        <w:rPr>
          <w:rFonts w:ascii="Arial" w:hAnsi="Arial" w:cs="Arial"/>
          <w:sz w:val="24"/>
          <w:szCs w:val="24"/>
        </w:rPr>
        <w:t xml:space="preserve"> and </w:t>
      </w:r>
      <w:r w:rsidR="00854DD1">
        <w:rPr>
          <w:rFonts w:ascii="Arial" w:hAnsi="Arial" w:cs="Arial"/>
          <w:sz w:val="24"/>
          <w:szCs w:val="24"/>
        </w:rPr>
        <w:lastRenderedPageBreak/>
        <w:t xml:space="preserve">subsequently </w:t>
      </w:r>
      <w:r w:rsidR="004107D3" w:rsidRPr="001C25CA">
        <w:rPr>
          <w:rFonts w:ascii="Arial" w:hAnsi="Arial" w:cs="Arial"/>
          <w:sz w:val="24"/>
          <w:szCs w:val="24"/>
        </w:rPr>
        <w:t xml:space="preserve">favouring </w:t>
      </w:r>
      <w:r w:rsidR="00854DD1">
        <w:rPr>
          <w:rFonts w:ascii="Arial" w:hAnsi="Arial" w:cs="Arial"/>
          <w:sz w:val="24"/>
          <w:szCs w:val="24"/>
        </w:rPr>
        <w:t>the beneficiaries</w:t>
      </w:r>
      <w:r w:rsidR="004107D3" w:rsidRPr="001C25CA">
        <w:rPr>
          <w:rFonts w:ascii="Arial" w:hAnsi="Arial" w:cs="Arial"/>
          <w:sz w:val="24"/>
          <w:szCs w:val="24"/>
        </w:rPr>
        <w:t xml:space="preserve"> </w:t>
      </w:r>
      <w:r w:rsidR="000A3C68">
        <w:rPr>
          <w:rFonts w:ascii="Arial" w:hAnsi="Arial" w:cs="Arial"/>
          <w:sz w:val="24"/>
          <w:szCs w:val="24"/>
        </w:rPr>
        <w:t>on racial</w:t>
      </w:r>
      <w:r w:rsidR="00854DD1">
        <w:rPr>
          <w:rFonts w:ascii="Arial" w:hAnsi="Arial" w:cs="Arial"/>
          <w:sz w:val="24"/>
          <w:szCs w:val="24"/>
        </w:rPr>
        <w:t>ly</w:t>
      </w:r>
      <w:r w:rsidR="000A3C68">
        <w:rPr>
          <w:rFonts w:ascii="Arial" w:hAnsi="Arial" w:cs="Arial"/>
          <w:sz w:val="24"/>
          <w:szCs w:val="24"/>
        </w:rPr>
        <w:t xml:space="preserve"> discriminatory grounds </w:t>
      </w:r>
      <w:r w:rsidR="004107D3" w:rsidRPr="001C25CA">
        <w:rPr>
          <w:rFonts w:ascii="Arial" w:hAnsi="Arial" w:cs="Arial"/>
          <w:sz w:val="24"/>
          <w:szCs w:val="24"/>
        </w:rPr>
        <w:t>in their acquisition of the land and with subsidies for their farming activities.</w:t>
      </w:r>
      <w:r w:rsidR="004107D3" w:rsidRPr="001C25CA">
        <w:rPr>
          <w:rStyle w:val="FootnoteReference"/>
          <w:rFonts w:ascii="Arial" w:hAnsi="Arial" w:cs="Arial"/>
          <w:sz w:val="24"/>
          <w:szCs w:val="24"/>
        </w:rPr>
        <w:footnoteReference w:id="20"/>
      </w:r>
    </w:p>
    <w:p w:rsidR="00D85432" w:rsidRPr="001C25CA" w:rsidRDefault="00D85432" w:rsidP="00D85432">
      <w:pPr>
        <w:pStyle w:val="ListParagraph"/>
        <w:rPr>
          <w:rFonts w:ascii="Arial" w:hAnsi="Arial" w:cs="Arial"/>
          <w:sz w:val="24"/>
          <w:szCs w:val="24"/>
        </w:rPr>
      </w:pPr>
    </w:p>
    <w:p w:rsidR="00D85432" w:rsidRPr="001C25CA" w:rsidRDefault="004107D3"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It has also been said that land reform in th</w:t>
      </w:r>
      <w:r w:rsidR="00BD0CB3">
        <w:rPr>
          <w:rFonts w:ascii="Arial" w:hAnsi="Arial" w:cs="Arial"/>
          <w:sz w:val="24"/>
          <w:szCs w:val="24"/>
        </w:rPr>
        <w:t>is</w:t>
      </w:r>
      <w:r w:rsidRPr="001C25CA">
        <w:rPr>
          <w:rFonts w:ascii="Arial" w:hAnsi="Arial" w:cs="Arial"/>
          <w:sz w:val="24"/>
          <w:szCs w:val="24"/>
        </w:rPr>
        <w:t xml:space="preserve"> context is a complex and multifaceted exercise, involving historic, economic, political and financial considerations.</w:t>
      </w:r>
      <w:r w:rsidRPr="001C25CA">
        <w:rPr>
          <w:rStyle w:val="FootnoteReference"/>
          <w:rFonts w:ascii="Arial" w:hAnsi="Arial" w:cs="Arial"/>
          <w:sz w:val="24"/>
          <w:szCs w:val="24"/>
        </w:rPr>
        <w:footnoteReference w:id="21"/>
      </w:r>
    </w:p>
    <w:p w:rsidR="00D85432" w:rsidRPr="001C25CA" w:rsidRDefault="00D85432" w:rsidP="00D85432">
      <w:pPr>
        <w:pStyle w:val="ListParagraph"/>
        <w:rPr>
          <w:rFonts w:ascii="Arial" w:hAnsi="Arial" w:cs="Arial"/>
          <w:sz w:val="24"/>
          <w:szCs w:val="24"/>
        </w:rPr>
      </w:pPr>
    </w:p>
    <w:p w:rsidR="00D85432" w:rsidRPr="001C25CA" w:rsidRDefault="00AB3F69"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Whilst the </w:t>
      </w:r>
      <w:r w:rsidR="00BD0CB3">
        <w:rPr>
          <w:rFonts w:ascii="Arial" w:hAnsi="Arial" w:cs="Arial"/>
          <w:sz w:val="24"/>
          <w:szCs w:val="24"/>
        </w:rPr>
        <w:t>C</w:t>
      </w:r>
      <w:r w:rsidRPr="001C25CA">
        <w:rPr>
          <w:rFonts w:ascii="Arial" w:hAnsi="Arial" w:cs="Arial"/>
          <w:sz w:val="24"/>
          <w:szCs w:val="24"/>
        </w:rPr>
        <w:t>onstitution is founded upon a separation of powers, with the legislative power vested in the National Assembly, no system of separation of powers is absolute.</w:t>
      </w:r>
      <w:r w:rsidRPr="001C25CA">
        <w:rPr>
          <w:rStyle w:val="FootnoteReference"/>
          <w:rFonts w:ascii="Arial" w:hAnsi="Arial" w:cs="Arial"/>
          <w:sz w:val="24"/>
          <w:szCs w:val="24"/>
        </w:rPr>
        <w:footnoteReference w:id="22"/>
      </w:r>
      <w:r w:rsidRPr="001C25CA">
        <w:rPr>
          <w:rFonts w:ascii="Arial" w:hAnsi="Arial" w:cs="Arial"/>
          <w:sz w:val="24"/>
          <w:szCs w:val="24"/>
        </w:rPr>
        <w:t xml:space="preserve"> Article 63(1) provide</w:t>
      </w:r>
      <w:r w:rsidR="00BD0CB3">
        <w:rPr>
          <w:rFonts w:ascii="Arial" w:hAnsi="Arial" w:cs="Arial"/>
          <w:sz w:val="24"/>
          <w:szCs w:val="24"/>
        </w:rPr>
        <w:t>s</w:t>
      </w:r>
      <w:r w:rsidRPr="001C25CA">
        <w:rPr>
          <w:rFonts w:ascii="Arial" w:hAnsi="Arial" w:cs="Arial"/>
          <w:sz w:val="24"/>
          <w:szCs w:val="24"/>
        </w:rPr>
        <w:t xml:space="preserve"> that the National Assembly</w:t>
      </w:r>
      <w:r w:rsidR="00BD0CB3">
        <w:rPr>
          <w:rFonts w:ascii="Arial" w:hAnsi="Arial" w:cs="Arial"/>
          <w:sz w:val="24"/>
          <w:szCs w:val="24"/>
        </w:rPr>
        <w:t>,</w:t>
      </w:r>
      <w:r w:rsidRPr="001C25CA">
        <w:rPr>
          <w:rFonts w:ascii="Arial" w:hAnsi="Arial" w:cs="Arial"/>
          <w:sz w:val="24"/>
          <w:szCs w:val="24"/>
        </w:rPr>
        <w:t xml:space="preserve"> as princip</w:t>
      </w:r>
      <w:r w:rsidR="00BD0CB3">
        <w:rPr>
          <w:rFonts w:ascii="Arial" w:hAnsi="Arial" w:cs="Arial"/>
          <w:sz w:val="24"/>
          <w:szCs w:val="24"/>
        </w:rPr>
        <w:t>al</w:t>
      </w:r>
      <w:r w:rsidRPr="001C25CA">
        <w:rPr>
          <w:rFonts w:ascii="Arial" w:hAnsi="Arial" w:cs="Arial"/>
          <w:sz w:val="24"/>
          <w:szCs w:val="24"/>
        </w:rPr>
        <w:t xml:space="preserve"> legislative authority</w:t>
      </w:r>
      <w:r w:rsidR="00BD0CB3">
        <w:rPr>
          <w:rFonts w:ascii="Arial" w:hAnsi="Arial" w:cs="Arial"/>
          <w:sz w:val="24"/>
          <w:szCs w:val="24"/>
        </w:rPr>
        <w:t>,</w:t>
      </w:r>
      <w:r w:rsidRPr="001C25CA">
        <w:rPr>
          <w:rFonts w:ascii="Arial" w:hAnsi="Arial" w:cs="Arial"/>
          <w:sz w:val="24"/>
          <w:szCs w:val="24"/>
        </w:rPr>
        <w:t xml:space="preserve"> has the power ‘to make and repeal laws for the peace, order and good </w:t>
      </w:r>
      <w:r w:rsidR="0017081A" w:rsidRPr="001C25CA">
        <w:rPr>
          <w:rFonts w:ascii="Arial" w:hAnsi="Arial" w:cs="Arial"/>
          <w:sz w:val="24"/>
          <w:szCs w:val="24"/>
        </w:rPr>
        <w:t>government of the country in the best interest of the people of Namibia’.</w:t>
      </w:r>
    </w:p>
    <w:p w:rsidR="00D85432" w:rsidRPr="001C25CA" w:rsidRDefault="00D85432" w:rsidP="00D85432">
      <w:pPr>
        <w:pStyle w:val="ListParagraph"/>
        <w:rPr>
          <w:rFonts w:ascii="Arial" w:hAnsi="Arial" w:cs="Arial"/>
          <w:sz w:val="24"/>
          <w:szCs w:val="24"/>
        </w:rPr>
      </w:pPr>
    </w:p>
    <w:p w:rsidR="00D85432" w:rsidRPr="001C25CA" w:rsidRDefault="0017081A"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Article 63(2)(b) further empowers the National Assembly, subject to the Constitution</w:t>
      </w:r>
      <w:r w:rsidR="00BD0CB3">
        <w:rPr>
          <w:rFonts w:ascii="Arial" w:hAnsi="Arial" w:cs="Arial"/>
          <w:sz w:val="24"/>
          <w:szCs w:val="24"/>
        </w:rPr>
        <w:t>,</w:t>
      </w:r>
      <w:r w:rsidRPr="001C25CA">
        <w:rPr>
          <w:rFonts w:ascii="Arial" w:hAnsi="Arial" w:cs="Arial"/>
          <w:sz w:val="24"/>
          <w:szCs w:val="24"/>
        </w:rPr>
        <w:t xml:space="preserve"> ‘to provide for revenue and taxation’. This court has held that this power accords with the principle of ‘no taxation without representation’ </w:t>
      </w:r>
      <w:r w:rsidR="00854DD1">
        <w:rPr>
          <w:rFonts w:ascii="Arial" w:hAnsi="Arial" w:cs="Arial"/>
          <w:sz w:val="24"/>
          <w:szCs w:val="24"/>
        </w:rPr>
        <w:t>by</w:t>
      </w:r>
      <w:r w:rsidR="009C0964">
        <w:rPr>
          <w:rFonts w:ascii="Arial" w:hAnsi="Arial" w:cs="Arial"/>
          <w:sz w:val="24"/>
          <w:szCs w:val="24"/>
        </w:rPr>
        <w:t xml:space="preserve"> </w:t>
      </w:r>
      <w:r w:rsidRPr="001C25CA">
        <w:rPr>
          <w:rFonts w:ascii="Arial" w:hAnsi="Arial" w:cs="Arial"/>
          <w:sz w:val="24"/>
          <w:szCs w:val="24"/>
        </w:rPr>
        <w:t>ensuring that ‘the subject cannot be made to suffer the burden of tax except by law duly enacted by the branch of the government wielding the power to make and unmake laws’, namely the National Assembly.</w:t>
      </w:r>
      <w:r w:rsidRPr="001C25CA">
        <w:rPr>
          <w:rStyle w:val="FootnoteReference"/>
          <w:rFonts w:ascii="Arial" w:hAnsi="Arial" w:cs="Arial"/>
          <w:sz w:val="24"/>
          <w:szCs w:val="24"/>
        </w:rPr>
        <w:footnoteReference w:id="23"/>
      </w:r>
    </w:p>
    <w:p w:rsidR="0017081A" w:rsidRPr="001C25CA" w:rsidRDefault="0017081A" w:rsidP="0017081A">
      <w:pPr>
        <w:pStyle w:val="ListParagraph"/>
        <w:rPr>
          <w:rFonts w:ascii="Arial" w:hAnsi="Arial" w:cs="Arial"/>
          <w:sz w:val="24"/>
          <w:szCs w:val="24"/>
        </w:rPr>
      </w:pPr>
    </w:p>
    <w:p w:rsidR="00854DD1" w:rsidRDefault="0017081A"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This court in </w:t>
      </w:r>
      <w:r w:rsidRPr="001C25CA">
        <w:rPr>
          <w:rFonts w:ascii="Arial" w:hAnsi="Arial" w:cs="Arial"/>
          <w:i/>
          <w:sz w:val="24"/>
          <w:szCs w:val="24"/>
        </w:rPr>
        <w:t>CRAN</w:t>
      </w:r>
      <w:r w:rsidR="000F61A4">
        <w:rPr>
          <w:rFonts w:ascii="Arial" w:hAnsi="Arial" w:cs="Arial"/>
          <w:sz w:val="24"/>
          <w:szCs w:val="24"/>
        </w:rPr>
        <w:t xml:space="preserve"> also emphasised that:</w:t>
      </w:r>
    </w:p>
    <w:p w:rsidR="00854DD1" w:rsidRDefault="00854DD1" w:rsidP="00854DD1">
      <w:pPr>
        <w:pStyle w:val="ListParagraph"/>
        <w:rPr>
          <w:rFonts w:ascii="Arial" w:hAnsi="Arial" w:cs="Arial"/>
          <w:sz w:val="24"/>
          <w:szCs w:val="24"/>
        </w:rPr>
      </w:pPr>
    </w:p>
    <w:p w:rsidR="0017081A" w:rsidRPr="005157B4" w:rsidRDefault="0017081A" w:rsidP="005157B4">
      <w:pPr>
        <w:pStyle w:val="NoSpacing"/>
        <w:spacing w:line="360" w:lineRule="auto"/>
        <w:ind w:left="720"/>
        <w:jc w:val="both"/>
        <w:rPr>
          <w:rFonts w:ascii="Arial" w:hAnsi="Arial" w:cs="Arial"/>
        </w:rPr>
      </w:pPr>
      <w:r w:rsidRPr="005157B4">
        <w:rPr>
          <w:rFonts w:ascii="Arial" w:hAnsi="Arial" w:cs="Arial"/>
        </w:rPr>
        <w:t xml:space="preserve">‘. . . </w:t>
      </w:r>
      <w:r w:rsidR="00854DD1" w:rsidRPr="005157B4">
        <w:rPr>
          <w:rFonts w:ascii="Arial" w:hAnsi="Arial" w:cs="Arial"/>
        </w:rPr>
        <w:t>(A)</w:t>
      </w:r>
      <w:r w:rsidRPr="005157B4">
        <w:rPr>
          <w:rFonts w:ascii="Arial" w:hAnsi="Arial" w:cs="Arial"/>
        </w:rPr>
        <w:t>lthough</w:t>
      </w:r>
      <w:r w:rsidR="001C25CA" w:rsidRPr="005157B4">
        <w:rPr>
          <w:rFonts w:ascii="Arial" w:hAnsi="Arial" w:cs="Arial"/>
        </w:rPr>
        <w:t xml:space="preserve"> </w:t>
      </w:r>
      <w:r w:rsidR="001C25CA" w:rsidRPr="005157B4">
        <w:rPr>
          <w:rFonts w:ascii="Arial" w:hAnsi="Arial" w:cs="Arial"/>
          <w:color w:val="000000"/>
          <w:shd w:val="clear" w:color="auto" w:fill="FFFFFF"/>
        </w:rPr>
        <w:t>it is permissible for parliament to delegate a legislative power to the executive or an administrative body, it may not delegate </w:t>
      </w:r>
      <w:r w:rsidR="001C25CA" w:rsidRPr="005157B4">
        <w:rPr>
          <w:rStyle w:val="Emphasis"/>
          <w:rFonts w:ascii="Arial" w:hAnsi="Arial" w:cs="Arial"/>
          <w:color w:val="000000"/>
          <w:shd w:val="clear" w:color="auto" w:fill="FFFFFF"/>
        </w:rPr>
        <w:t>plenary</w:t>
      </w:r>
      <w:r w:rsidR="001C25CA" w:rsidRPr="005157B4">
        <w:rPr>
          <w:rFonts w:ascii="Arial" w:hAnsi="Arial" w:cs="Arial"/>
          <w:color w:val="000000"/>
          <w:shd w:val="clear" w:color="auto" w:fill="FFFFFF"/>
        </w:rPr>
        <w:t> legislative power. That approach has been accepted as trite by the South African Constitutional Court and applies with equal force to the interpretation of the Namibian Constitution. As Chaskalson P put it in </w:t>
      </w:r>
      <w:r w:rsidR="001C25CA" w:rsidRPr="005157B4">
        <w:rPr>
          <w:rStyle w:val="Emphasis"/>
          <w:rFonts w:ascii="Arial" w:hAnsi="Arial" w:cs="Arial"/>
          <w:color w:val="000000"/>
          <w:shd w:val="clear" w:color="auto" w:fill="FFFFFF"/>
        </w:rPr>
        <w:t>Executive Council, Western Cape Legislature, &amp; others v President of the Republic of SA &amp; others</w:t>
      </w:r>
      <w:r w:rsidR="001C25CA" w:rsidRPr="005157B4">
        <w:rPr>
          <w:rFonts w:ascii="Arial" w:hAnsi="Arial" w:cs="Arial"/>
          <w:color w:val="000000"/>
          <w:shd w:val="clear" w:color="auto" w:fill="FFFFFF"/>
        </w:rPr>
        <w:t> 1995 (4) SA 877 (CC) para 51</w:t>
      </w:r>
      <w:r w:rsidR="001C25CA" w:rsidRPr="005157B4">
        <w:rPr>
          <w:rFonts w:ascii="Arial" w:hAnsi="Arial" w:cs="Arial"/>
        </w:rPr>
        <w:t>:</w:t>
      </w:r>
    </w:p>
    <w:p w:rsidR="00BD0CB3" w:rsidRPr="005157B4" w:rsidRDefault="00BD0CB3" w:rsidP="005157B4">
      <w:pPr>
        <w:pStyle w:val="ListParagraph"/>
        <w:spacing w:after="0" w:line="360" w:lineRule="auto"/>
        <w:rPr>
          <w:rFonts w:ascii="Arial" w:hAnsi="Arial" w:cs="Arial"/>
        </w:rPr>
      </w:pPr>
    </w:p>
    <w:p w:rsidR="00BD0CB3" w:rsidRPr="001C25CA" w:rsidRDefault="005157B4" w:rsidP="005157B4">
      <w:pPr>
        <w:pStyle w:val="NoSpacing"/>
        <w:spacing w:line="360" w:lineRule="auto"/>
        <w:ind w:left="1440"/>
        <w:jc w:val="both"/>
        <w:rPr>
          <w:rFonts w:ascii="Arial" w:hAnsi="Arial" w:cs="Arial"/>
          <w:sz w:val="24"/>
          <w:szCs w:val="24"/>
        </w:rPr>
      </w:pPr>
      <w:r>
        <w:rPr>
          <w:rFonts w:ascii="Arial" w:eastAsia="Times New Roman" w:hAnsi="Arial" w:cs="Arial"/>
          <w:color w:val="000000"/>
          <w:lang w:eastAsia="en-GB"/>
        </w:rPr>
        <w:t>“</w:t>
      </w:r>
      <w:r w:rsidR="007402BF" w:rsidRPr="00961E18">
        <w:rPr>
          <w:rFonts w:ascii="Arial" w:eastAsia="Times New Roman" w:hAnsi="Arial" w:cs="Arial"/>
          <w:color w:val="000000"/>
          <w:lang w:eastAsia="en-GB"/>
        </w:rPr>
        <w:t xml:space="preserve">In a modern State detailed provisions are often required for the purpose of implementing and regulating laws Parliament cannot be expected to deal with all such matters itself. There is nothing in the Constitution which prohibits Parliament from delegating subordinate regulatory authority to other bodies. The power to do so is necessary for effective law-making. It is implicit in the power to make laws for the country and I have no doubt that under our Constitution Parliament can pass legislation delegating such legislative functions to other bodies. There is however a difference between delegating authority to make subordinate legislation within the framework of </w:t>
      </w:r>
      <w:r w:rsidR="00450915">
        <w:rPr>
          <w:rFonts w:ascii="Arial" w:eastAsia="Times New Roman" w:hAnsi="Arial" w:cs="Arial"/>
          <w:color w:val="000000"/>
          <w:lang w:eastAsia="en-GB"/>
        </w:rPr>
        <w:t xml:space="preserve">a </w:t>
      </w:r>
      <w:r w:rsidR="007402BF" w:rsidRPr="00961E18">
        <w:rPr>
          <w:rFonts w:ascii="Arial" w:eastAsia="Times New Roman" w:hAnsi="Arial" w:cs="Arial"/>
          <w:color w:val="000000"/>
          <w:lang w:eastAsia="en-GB"/>
        </w:rPr>
        <w:t>statute under which the delegation is made, and assigning plenary leg</w:t>
      </w:r>
      <w:r>
        <w:rPr>
          <w:rFonts w:ascii="Arial" w:eastAsia="Times New Roman" w:hAnsi="Arial" w:cs="Arial"/>
          <w:color w:val="000000"/>
          <w:lang w:eastAsia="en-GB"/>
        </w:rPr>
        <w:t>islative power to another body.”’</w:t>
      </w:r>
    </w:p>
    <w:p w:rsidR="0017081A" w:rsidRPr="001C25CA" w:rsidRDefault="0017081A" w:rsidP="0017081A">
      <w:pPr>
        <w:pStyle w:val="ListParagraph"/>
        <w:rPr>
          <w:rFonts w:ascii="Arial" w:hAnsi="Arial" w:cs="Arial"/>
          <w:sz w:val="24"/>
          <w:szCs w:val="24"/>
        </w:rPr>
      </w:pPr>
    </w:p>
    <w:p w:rsidR="00991729" w:rsidRDefault="009C0964"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w:t>
      </w:r>
      <w:r w:rsidR="00854DD1">
        <w:rPr>
          <w:rFonts w:ascii="Arial" w:hAnsi="Arial" w:cs="Arial"/>
          <w:sz w:val="24"/>
          <w:szCs w:val="24"/>
        </w:rPr>
        <w:t xml:space="preserve">he central issue </w:t>
      </w:r>
      <w:r w:rsidR="004A5FD0">
        <w:rPr>
          <w:rFonts w:ascii="Arial" w:hAnsi="Arial" w:cs="Arial"/>
          <w:sz w:val="24"/>
          <w:szCs w:val="24"/>
        </w:rPr>
        <w:t>t</w:t>
      </w:r>
      <w:r>
        <w:rPr>
          <w:rFonts w:ascii="Arial" w:hAnsi="Arial" w:cs="Arial"/>
          <w:sz w:val="24"/>
          <w:szCs w:val="24"/>
        </w:rPr>
        <w:t xml:space="preserve">o be determined in this appeal is whether s 76 conflicts the constitutional </w:t>
      </w:r>
      <w:r w:rsidR="00854DD1">
        <w:rPr>
          <w:rFonts w:ascii="Arial" w:hAnsi="Arial" w:cs="Arial"/>
          <w:sz w:val="24"/>
          <w:szCs w:val="24"/>
        </w:rPr>
        <w:t xml:space="preserve">principle of </w:t>
      </w:r>
      <w:r>
        <w:rPr>
          <w:rFonts w:ascii="Arial" w:hAnsi="Arial" w:cs="Arial"/>
          <w:sz w:val="24"/>
          <w:szCs w:val="24"/>
        </w:rPr>
        <w:t xml:space="preserve">separation of powers and </w:t>
      </w:r>
      <w:r w:rsidR="000610A3" w:rsidRPr="001C25CA">
        <w:rPr>
          <w:rFonts w:ascii="Arial" w:hAnsi="Arial" w:cs="Arial"/>
          <w:sz w:val="24"/>
          <w:szCs w:val="24"/>
        </w:rPr>
        <w:t xml:space="preserve">Art 63(2)(b) which accords </w:t>
      </w:r>
      <w:r w:rsidR="00450915">
        <w:rPr>
          <w:rFonts w:ascii="Arial" w:hAnsi="Arial" w:cs="Arial"/>
          <w:sz w:val="24"/>
          <w:szCs w:val="24"/>
        </w:rPr>
        <w:t xml:space="preserve">with </w:t>
      </w:r>
      <w:r w:rsidR="000610A3" w:rsidRPr="001C25CA">
        <w:rPr>
          <w:rFonts w:ascii="Arial" w:hAnsi="Arial" w:cs="Arial"/>
          <w:sz w:val="24"/>
          <w:szCs w:val="24"/>
        </w:rPr>
        <w:t>the National Assembly the power ‘to provide for revenue and taxation’</w:t>
      </w:r>
      <w:r w:rsidR="00854DD1">
        <w:rPr>
          <w:rFonts w:ascii="Arial" w:hAnsi="Arial" w:cs="Arial"/>
          <w:sz w:val="24"/>
          <w:szCs w:val="24"/>
        </w:rPr>
        <w:t>.</w:t>
      </w:r>
      <w:r w:rsidR="000610A3" w:rsidRPr="001C25CA">
        <w:rPr>
          <w:rFonts w:ascii="Arial" w:hAnsi="Arial" w:cs="Arial"/>
          <w:sz w:val="24"/>
          <w:szCs w:val="24"/>
        </w:rPr>
        <w:t xml:space="preserve"> </w:t>
      </w:r>
      <w:r>
        <w:rPr>
          <w:rFonts w:ascii="Arial" w:hAnsi="Arial" w:cs="Arial"/>
          <w:sz w:val="24"/>
          <w:szCs w:val="24"/>
        </w:rPr>
        <w:t xml:space="preserve">This depends on the language employed in the Constitution, properly construed in accordance with the values embodied in the </w:t>
      </w:r>
      <w:r w:rsidR="00854DD1">
        <w:rPr>
          <w:rFonts w:ascii="Arial" w:hAnsi="Arial" w:cs="Arial"/>
          <w:sz w:val="24"/>
          <w:szCs w:val="24"/>
        </w:rPr>
        <w:t>C</w:t>
      </w:r>
      <w:r>
        <w:rPr>
          <w:rFonts w:ascii="Arial" w:hAnsi="Arial" w:cs="Arial"/>
          <w:sz w:val="24"/>
          <w:szCs w:val="24"/>
        </w:rPr>
        <w:t xml:space="preserve">onstitution. </w:t>
      </w:r>
      <w:r w:rsidR="000610A3" w:rsidRPr="001C25CA">
        <w:rPr>
          <w:rFonts w:ascii="Arial" w:hAnsi="Arial" w:cs="Arial"/>
          <w:sz w:val="24"/>
          <w:szCs w:val="24"/>
        </w:rPr>
        <w:t>In my view</w:t>
      </w:r>
      <w:r>
        <w:rPr>
          <w:rFonts w:ascii="Arial" w:hAnsi="Arial" w:cs="Arial"/>
          <w:sz w:val="24"/>
          <w:szCs w:val="24"/>
        </w:rPr>
        <w:t xml:space="preserve"> it does</w:t>
      </w:r>
      <w:r w:rsidR="000610A3" w:rsidRPr="001C25CA">
        <w:rPr>
          <w:rFonts w:ascii="Arial" w:hAnsi="Arial" w:cs="Arial"/>
          <w:sz w:val="24"/>
          <w:szCs w:val="24"/>
        </w:rPr>
        <w:t xml:space="preserve"> not. On the contrary, this is what the National Assembly did in s 76</w:t>
      </w:r>
      <w:r w:rsidR="00991729">
        <w:rPr>
          <w:rFonts w:ascii="Arial" w:hAnsi="Arial" w:cs="Arial"/>
          <w:sz w:val="24"/>
          <w:szCs w:val="24"/>
        </w:rPr>
        <w:t>. I</w:t>
      </w:r>
      <w:r w:rsidR="000610A3" w:rsidRPr="001C25CA">
        <w:rPr>
          <w:rFonts w:ascii="Arial" w:hAnsi="Arial" w:cs="Arial"/>
          <w:sz w:val="24"/>
          <w:szCs w:val="24"/>
        </w:rPr>
        <w:t xml:space="preserve">t provided for land tax which Art 63(2)(b) expressly authorises to do so. </w:t>
      </w:r>
    </w:p>
    <w:p w:rsidR="00991729" w:rsidRDefault="00991729" w:rsidP="00991729">
      <w:pPr>
        <w:pStyle w:val="NoSpacing"/>
        <w:spacing w:line="480" w:lineRule="auto"/>
        <w:jc w:val="both"/>
        <w:rPr>
          <w:rFonts w:ascii="Arial" w:hAnsi="Arial" w:cs="Arial"/>
          <w:sz w:val="24"/>
          <w:szCs w:val="24"/>
        </w:rPr>
      </w:pPr>
    </w:p>
    <w:p w:rsidR="00991729" w:rsidRDefault="000610A3"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Section 76 </w:t>
      </w:r>
      <w:r w:rsidR="009C0964">
        <w:rPr>
          <w:rFonts w:ascii="Arial" w:hAnsi="Arial" w:cs="Arial"/>
          <w:sz w:val="24"/>
          <w:szCs w:val="24"/>
        </w:rPr>
        <w:t>itself enacted and established land tax</w:t>
      </w:r>
      <w:r w:rsidRPr="001C25CA">
        <w:rPr>
          <w:rFonts w:ascii="Arial" w:hAnsi="Arial" w:cs="Arial"/>
          <w:sz w:val="24"/>
          <w:szCs w:val="24"/>
        </w:rPr>
        <w:t xml:space="preserve"> upon landowners</w:t>
      </w:r>
      <w:r w:rsidR="009C0964">
        <w:rPr>
          <w:rFonts w:ascii="Arial" w:hAnsi="Arial" w:cs="Arial"/>
          <w:sz w:val="24"/>
          <w:szCs w:val="24"/>
        </w:rPr>
        <w:t xml:space="preserve">, </w:t>
      </w:r>
      <w:r w:rsidRPr="001C25CA">
        <w:rPr>
          <w:rFonts w:ascii="Arial" w:hAnsi="Arial" w:cs="Arial"/>
          <w:sz w:val="24"/>
          <w:szCs w:val="24"/>
        </w:rPr>
        <w:t>payable on the value of agricultural land in accordance with a formula set out in s 76(1)(a)</w:t>
      </w:r>
      <w:r w:rsidR="00854DD1">
        <w:rPr>
          <w:rFonts w:ascii="Arial" w:hAnsi="Arial" w:cs="Arial"/>
          <w:sz w:val="24"/>
          <w:szCs w:val="24"/>
        </w:rPr>
        <w:t xml:space="preserve"> by the National Assembly</w:t>
      </w:r>
      <w:r w:rsidRPr="001C25CA">
        <w:rPr>
          <w:rFonts w:ascii="Arial" w:hAnsi="Arial" w:cs="Arial"/>
          <w:sz w:val="24"/>
          <w:szCs w:val="24"/>
        </w:rPr>
        <w:t xml:space="preserve">. The tax is arrived at by multiplying the unimproved site </w:t>
      </w:r>
      <w:r w:rsidRPr="001C25CA">
        <w:rPr>
          <w:rFonts w:ascii="Arial" w:hAnsi="Arial" w:cs="Arial"/>
          <w:sz w:val="24"/>
          <w:szCs w:val="24"/>
        </w:rPr>
        <w:lastRenderedPageBreak/>
        <w:t xml:space="preserve">value by the rate of land tax. The only component of the </w:t>
      </w:r>
      <w:r w:rsidR="00991729">
        <w:rPr>
          <w:rFonts w:ascii="Arial" w:hAnsi="Arial" w:cs="Arial"/>
          <w:sz w:val="24"/>
          <w:szCs w:val="24"/>
        </w:rPr>
        <w:t xml:space="preserve">formula </w:t>
      </w:r>
      <w:r w:rsidR="00854DD1">
        <w:rPr>
          <w:rFonts w:ascii="Arial" w:hAnsi="Arial" w:cs="Arial"/>
          <w:sz w:val="24"/>
          <w:szCs w:val="24"/>
        </w:rPr>
        <w:t>(</w:t>
      </w:r>
      <w:r w:rsidR="009C0964">
        <w:rPr>
          <w:rFonts w:ascii="Arial" w:hAnsi="Arial" w:cs="Arial"/>
          <w:sz w:val="24"/>
          <w:szCs w:val="24"/>
        </w:rPr>
        <w:t>in arriving</w:t>
      </w:r>
      <w:r w:rsidR="00991729">
        <w:rPr>
          <w:rFonts w:ascii="Arial" w:hAnsi="Arial" w:cs="Arial"/>
          <w:sz w:val="24"/>
          <w:szCs w:val="24"/>
        </w:rPr>
        <w:t xml:space="preserve"> at the </w:t>
      </w:r>
      <w:r w:rsidRPr="001C25CA">
        <w:rPr>
          <w:rFonts w:ascii="Arial" w:hAnsi="Arial" w:cs="Arial"/>
          <w:sz w:val="24"/>
          <w:szCs w:val="24"/>
        </w:rPr>
        <w:t>tax</w:t>
      </w:r>
      <w:r w:rsidR="00854DD1">
        <w:rPr>
          <w:rFonts w:ascii="Arial" w:hAnsi="Arial" w:cs="Arial"/>
          <w:sz w:val="24"/>
          <w:szCs w:val="24"/>
        </w:rPr>
        <w:t>)</w:t>
      </w:r>
      <w:r w:rsidRPr="001C25CA">
        <w:rPr>
          <w:rFonts w:ascii="Arial" w:hAnsi="Arial" w:cs="Arial"/>
          <w:sz w:val="24"/>
          <w:szCs w:val="24"/>
        </w:rPr>
        <w:t xml:space="preserve"> </w:t>
      </w:r>
      <w:r w:rsidR="00991729">
        <w:rPr>
          <w:rFonts w:ascii="Arial" w:hAnsi="Arial" w:cs="Arial"/>
          <w:sz w:val="24"/>
          <w:szCs w:val="24"/>
        </w:rPr>
        <w:t xml:space="preserve">which is </w:t>
      </w:r>
      <w:r w:rsidRPr="001C25CA">
        <w:rPr>
          <w:rFonts w:ascii="Arial" w:hAnsi="Arial" w:cs="Arial"/>
          <w:sz w:val="24"/>
          <w:szCs w:val="24"/>
        </w:rPr>
        <w:t>left to the Minister to determine</w:t>
      </w:r>
      <w:r w:rsidR="00991729">
        <w:rPr>
          <w:rFonts w:ascii="Arial" w:hAnsi="Arial" w:cs="Arial"/>
          <w:sz w:val="24"/>
          <w:szCs w:val="24"/>
        </w:rPr>
        <w:t>, is</w:t>
      </w:r>
      <w:r w:rsidRPr="001C25CA">
        <w:rPr>
          <w:rFonts w:ascii="Arial" w:hAnsi="Arial" w:cs="Arial"/>
          <w:sz w:val="24"/>
          <w:szCs w:val="24"/>
        </w:rPr>
        <w:t xml:space="preserve"> the rate. The </w:t>
      </w:r>
      <w:r w:rsidR="001E4C77" w:rsidRPr="001C25CA">
        <w:rPr>
          <w:rFonts w:ascii="Arial" w:hAnsi="Arial" w:cs="Arial"/>
          <w:sz w:val="24"/>
          <w:szCs w:val="24"/>
        </w:rPr>
        <w:t>regulation</w:t>
      </w:r>
      <w:r w:rsidRPr="001C25CA">
        <w:rPr>
          <w:rFonts w:ascii="Arial" w:hAnsi="Arial" w:cs="Arial"/>
          <w:sz w:val="24"/>
          <w:szCs w:val="24"/>
        </w:rPr>
        <w:t xml:space="preserve">s promulgated by the Minister </w:t>
      </w:r>
      <w:r w:rsidR="00991729">
        <w:rPr>
          <w:rFonts w:ascii="Arial" w:hAnsi="Arial" w:cs="Arial"/>
          <w:sz w:val="24"/>
          <w:szCs w:val="24"/>
        </w:rPr>
        <w:t xml:space="preserve">under s 77 </w:t>
      </w:r>
      <w:r w:rsidRPr="001C25CA">
        <w:rPr>
          <w:rFonts w:ascii="Arial" w:hAnsi="Arial" w:cs="Arial"/>
          <w:sz w:val="24"/>
          <w:szCs w:val="24"/>
        </w:rPr>
        <w:t xml:space="preserve">relate to the administrative process primarily directed at </w:t>
      </w:r>
      <w:r w:rsidR="009C0964">
        <w:rPr>
          <w:rFonts w:ascii="Arial" w:hAnsi="Arial" w:cs="Arial"/>
          <w:sz w:val="24"/>
          <w:szCs w:val="24"/>
        </w:rPr>
        <w:t>how the unimproved site value is</w:t>
      </w:r>
      <w:r w:rsidRPr="001C25CA">
        <w:rPr>
          <w:rFonts w:ascii="Arial" w:hAnsi="Arial" w:cs="Arial"/>
          <w:sz w:val="24"/>
          <w:szCs w:val="24"/>
        </w:rPr>
        <w:t xml:space="preserve"> determined – a technical process involving expertise in land valuations. </w:t>
      </w:r>
    </w:p>
    <w:p w:rsidR="00854DD1" w:rsidRDefault="00854DD1" w:rsidP="00854DD1">
      <w:pPr>
        <w:pStyle w:val="NoSpacing"/>
        <w:spacing w:line="480" w:lineRule="auto"/>
        <w:jc w:val="both"/>
        <w:rPr>
          <w:rFonts w:ascii="Arial" w:hAnsi="Arial" w:cs="Arial"/>
          <w:sz w:val="24"/>
          <w:szCs w:val="24"/>
        </w:rPr>
      </w:pPr>
    </w:p>
    <w:p w:rsidR="0017081A" w:rsidRPr="001C25CA" w:rsidRDefault="000610A3"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 rate which the Minister determines is subject to approval by resolution of the National Assembly. I do not agree with th</w:t>
      </w:r>
      <w:r w:rsidR="009C0964">
        <w:rPr>
          <w:rFonts w:ascii="Arial" w:hAnsi="Arial" w:cs="Arial"/>
          <w:sz w:val="24"/>
          <w:szCs w:val="24"/>
        </w:rPr>
        <w:t>e</w:t>
      </w:r>
      <w:r w:rsidRPr="001C25CA">
        <w:rPr>
          <w:rFonts w:ascii="Arial" w:hAnsi="Arial" w:cs="Arial"/>
          <w:sz w:val="24"/>
          <w:szCs w:val="24"/>
        </w:rPr>
        <w:t xml:space="preserve"> appellant that this entails </w:t>
      </w:r>
      <w:r w:rsidR="00991729">
        <w:rPr>
          <w:rFonts w:ascii="Arial" w:hAnsi="Arial" w:cs="Arial"/>
          <w:sz w:val="24"/>
          <w:szCs w:val="24"/>
        </w:rPr>
        <w:t>no</w:t>
      </w:r>
      <w:r w:rsidRPr="001C25CA">
        <w:rPr>
          <w:rFonts w:ascii="Arial" w:hAnsi="Arial" w:cs="Arial"/>
          <w:sz w:val="24"/>
          <w:szCs w:val="24"/>
        </w:rPr>
        <w:t xml:space="preserve"> oversight or supervision</w:t>
      </w:r>
      <w:r w:rsidR="009C0964">
        <w:rPr>
          <w:rFonts w:ascii="Arial" w:hAnsi="Arial" w:cs="Arial"/>
          <w:sz w:val="24"/>
          <w:szCs w:val="24"/>
        </w:rPr>
        <w:t xml:space="preserve"> of this very function</w:t>
      </w:r>
      <w:r w:rsidRPr="001C25CA">
        <w:rPr>
          <w:rFonts w:ascii="Arial" w:hAnsi="Arial" w:cs="Arial"/>
          <w:sz w:val="24"/>
          <w:szCs w:val="24"/>
        </w:rPr>
        <w:t>. Approval by resolution necessarily means oversight and supervision. It is a jurisdictional fact required for the valid determination of the rate. In the absence of the National Assembly’s approval, there is no valid rate. That process certainly amounts to supervision and at the very least oversight by the legislature.</w:t>
      </w:r>
    </w:p>
    <w:p w:rsidR="000610A3" w:rsidRPr="001C25CA" w:rsidRDefault="000610A3" w:rsidP="000610A3">
      <w:pPr>
        <w:pStyle w:val="NoSpacing"/>
        <w:spacing w:line="480" w:lineRule="auto"/>
        <w:jc w:val="both"/>
        <w:rPr>
          <w:rFonts w:ascii="Arial" w:hAnsi="Arial" w:cs="Arial"/>
          <w:sz w:val="24"/>
          <w:szCs w:val="24"/>
        </w:rPr>
      </w:pPr>
    </w:p>
    <w:p w:rsidR="000610A3" w:rsidRPr="001C25CA" w:rsidRDefault="000610A3"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As was argued on behalf of the Minister, Art 63(2)(b) </w:t>
      </w:r>
      <w:r w:rsidR="00306CA5">
        <w:rPr>
          <w:rFonts w:ascii="Arial" w:hAnsi="Arial" w:cs="Arial"/>
          <w:sz w:val="24"/>
          <w:szCs w:val="24"/>
        </w:rPr>
        <w:t xml:space="preserve">properly construed </w:t>
      </w:r>
      <w:r w:rsidRPr="001C25CA">
        <w:rPr>
          <w:rFonts w:ascii="Arial" w:hAnsi="Arial" w:cs="Arial"/>
          <w:sz w:val="24"/>
          <w:szCs w:val="24"/>
        </w:rPr>
        <w:t>does not mean an absolute monopoly preserved for parliament in the process of imposition of taxation and revenue collection.</w:t>
      </w:r>
      <w:r w:rsidR="00E16776" w:rsidRPr="001C25CA">
        <w:rPr>
          <w:rFonts w:ascii="Arial" w:hAnsi="Arial" w:cs="Arial"/>
          <w:sz w:val="24"/>
          <w:szCs w:val="24"/>
        </w:rPr>
        <w:t xml:space="preserve"> It is difficult to conceive a system of determination of value, presupposed by land tax</w:t>
      </w:r>
      <w:r w:rsidR="009C0964">
        <w:rPr>
          <w:rFonts w:ascii="Arial" w:hAnsi="Arial" w:cs="Arial"/>
          <w:sz w:val="24"/>
          <w:szCs w:val="24"/>
        </w:rPr>
        <w:t>,</w:t>
      </w:r>
      <w:r w:rsidR="00E16776" w:rsidRPr="001C25CA">
        <w:rPr>
          <w:rFonts w:ascii="Arial" w:hAnsi="Arial" w:cs="Arial"/>
          <w:sz w:val="24"/>
          <w:szCs w:val="24"/>
        </w:rPr>
        <w:t xml:space="preserve"> </w:t>
      </w:r>
      <w:r w:rsidR="00306CA5">
        <w:rPr>
          <w:rFonts w:ascii="Arial" w:hAnsi="Arial" w:cs="Arial"/>
          <w:sz w:val="24"/>
          <w:szCs w:val="24"/>
        </w:rPr>
        <w:t xml:space="preserve">to be performed </w:t>
      </w:r>
      <w:r w:rsidR="00E16776" w:rsidRPr="001C25CA">
        <w:rPr>
          <w:rFonts w:ascii="Arial" w:hAnsi="Arial" w:cs="Arial"/>
          <w:sz w:val="24"/>
          <w:szCs w:val="24"/>
        </w:rPr>
        <w:t xml:space="preserve">by parliament itself. This is inherently an exercise properly left for technical and expert determination in accordance with a fair procedure established in subordinate legislation, as occurred in this case. This forms part of the administration of </w:t>
      </w:r>
      <w:r w:rsidR="00306CA5">
        <w:rPr>
          <w:rFonts w:ascii="Arial" w:hAnsi="Arial" w:cs="Arial"/>
          <w:sz w:val="24"/>
          <w:szCs w:val="24"/>
        </w:rPr>
        <w:t>the</w:t>
      </w:r>
      <w:r w:rsidR="00E16776" w:rsidRPr="001C25CA">
        <w:rPr>
          <w:rFonts w:ascii="Arial" w:hAnsi="Arial" w:cs="Arial"/>
          <w:sz w:val="24"/>
          <w:szCs w:val="24"/>
        </w:rPr>
        <w:t xml:space="preserve"> land tax system</w:t>
      </w:r>
      <w:r w:rsidR="003E289D">
        <w:rPr>
          <w:rFonts w:ascii="Arial" w:hAnsi="Arial" w:cs="Arial"/>
          <w:sz w:val="24"/>
          <w:szCs w:val="24"/>
        </w:rPr>
        <w:t xml:space="preserve"> based on value</w:t>
      </w:r>
      <w:r w:rsidR="00306CA5">
        <w:rPr>
          <w:rFonts w:ascii="Arial" w:hAnsi="Arial" w:cs="Arial"/>
          <w:sz w:val="24"/>
          <w:szCs w:val="24"/>
        </w:rPr>
        <w:t xml:space="preserve"> and</w:t>
      </w:r>
      <w:r w:rsidR="00E16776" w:rsidRPr="001C25CA">
        <w:rPr>
          <w:rFonts w:ascii="Arial" w:hAnsi="Arial" w:cs="Arial"/>
          <w:sz w:val="24"/>
          <w:szCs w:val="24"/>
        </w:rPr>
        <w:t xml:space="preserve"> </w:t>
      </w:r>
      <w:r w:rsidR="009C0964">
        <w:rPr>
          <w:rFonts w:ascii="Arial" w:hAnsi="Arial" w:cs="Arial"/>
          <w:sz w:val="24"/>
          <w:szCs w:val="24"/>
        </w:rPr>
        <w:t>established</w:t>
      </w:r>
      <w:r w:rsidR="00E16776" w:rsidRPr="001C25CA">
        <w:rPr>
          <w:rFonts w:ascii="Arial" w:hAnsi="Arial" w:cs="Arial"/>
          <w:sz w:val="24"/>
          <w:szCs w:val="24"/>
        </w:rPr>
        <w:t xml:space="preserve"> by parliament. </w:t>
      </w:r>
      <w:r w:rsidR="00854DD1">
        <w:rPr>
          <w:rFonts w:ascii="Arial" w:hAnsi="Arial" w:cs="Arial"/>
          <w:sz w:val="24"/>
          <w:szCs w:val="24"/>
        </w:rPr>
        <w:t xml:space="preserve">This structure accords with the widely accepted approach recognised and accepted by this court, that the </w:t>
      </w:r>
      <w:r w:rsidR="00306CA5">
        <w:rPr>
          <w:rFonts w:ascii="Arial" w:hAnsi="Arial" w:cs="Arial"/>
          <w:sz w:val="24"/>
          <w:szCs w:val="24"/>
        </w:rPr>
        <w:t xml:space="preserve">complexities of the </w:t>
      </w:r>
      <w:r w:rsidR="00854DD1">
        <w:rPr>
          <w:rFonts w:ascii="Arial" w:hAnsi="Arial" w:cs="Arial"/>
          <w:sz w:val="24"/>
          <w:szCs w:val="24"/>
        </w:rPr>
        <w:t>administration of a modern welfare state, particularly in technical fields</w:t>
      </w:r>
      <w:r w:rsidR="00306CA5">
        <w:rPr>
          <w:rFonts w:ascii="Arial" w:hAnsi="Arial" w:cs="Arial"/>
          <w:sz w:val="24"/>
          <w:szCs w:val="24"/>
        </w:rPr>
        <w:t xml:space="preserve">, means the passing of </w:t>
      </w:r>
      <w:r w:rsidR="00854DD1">
        <w:rPr>
          <w:rFonts w:ascii="Arial" w:hAnsi="Arial" w:cs="Arial"/>
          <w:sz w:val="24"/>
          <w:szCs w:val="24"/>
        </w:rPr>
        <w:t xml:space="preserve">legislation setting </w:t>
      </w:r>
      <w:r w:rsidR="00975830">
        <w:rPr>
          <w:rFonts w:ascii="Arial" w:hAnsi="Arial" w:cs="Arial"/>
          <w:sz w:val="24"/>
          <w:szCs w:val="24"/>
        </w:rPr>
        <w:t xml:space="preserve">principles and standards which are </w:t>
      </w:r>
      <w:r w:rsidR="00975830">
        <w:rPr>
          <w:rFonts w:ascii="Arial" w:hAnsi="Arial" w:cs="Arial"/>
          <w:sz w:val="24"/>
          <w:szCs w:val="24"/>
        </w:rPr>
        <w:lastRenderedPageBreak/>
        <w:t>left to subordinate legislat</w:t>
      </w:r>
      <w:r w:rsidR="00306CA5">
        <w:rPr>
          <w:rFonts w:ascii="Arial" w:hAnsi="Arial" w:cs="Arial"/>
          <w:sz w:val="24"/>
          <w:szCs w:val="24"/>
        </w:rPr>
        <w:t>ion</w:t>
      </w:r>
      <w:r w:rsidR="00975830">
        <w:rPr>
          <w:rFonts w:ascii="Arial" w:hAnsi="Arial" w:cs="Arial"/>
          <w:sz w:val="24"/>
          <w:szCs w:val="24"/>
        </w:rPr>
        <w:t xml:space="preserve"> for greater particularisation for their administration and implementation.</w:t>
      </w:r>
      <w:r w:rsidR="00975830">
        <w:rPr>
          <w:rStyle w:val="FootnoteReference"/>
          <w:rFonts w:ascii="Arial" w:hAnsi="Arial" w:cs="Arial"/>
          <w:sz w:val="24"/>
          <w:szCs w:val="24"/>
        </w:rPr>
        <w:footnoteReference w:id="24"/>
      </w:r>
    </w:p>
    <w:p w:rsidR="00E16776" w:rsidRPr="001C25CA" w:rsidRDefault="00E16776" w:rsidP="00E16776">
      <w:pPr>
        <w:pStyle w:val="ListParagraph"/>
        <w:rPr>
          <w:rFonts w:ascii="Arial" w:hAnsi="Arial" w:cs="Arial"/>
          <w:sz w:val="24"/>
          <w:szCs w:val="24"/>
        </w:rPr>
      </w:pPr>
    </w:p>
    <w:p w:rsidR="00E16776" w:rsidRPr="001C25CA" w:rsidRDefault="00E16776"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What the legislature did in s 76 was to exercise its own power </w:t>
      </w:r>
      <w:r w:rsidR="003E289D">
        <w:rPr>
          <w:rFonts w:ascii="Arial" w:hAnsi="Arial" w:cs="Arial"/>
          <w:sz w:val="24"/>
          <w:szCs w:val="24"/>
        </w:rPr>
        <w:t xml:space="preserve">to </w:t>
      </w:r>
      <w:r w:rsidRPr="001C25CA">
        <w:rPr>
          <w:rFonts w:ascii="Arial" w:hAnsi="Arial" w:cs="Arial"/>
          <w:sz w:val="24"/>
          <w:szCs w:val="24"/>
        </w:rPr>
        <w:t xml:space="preserve">impose </w:t>
      </w:r>
      <w:r w:rsidR="00975830">
        <w:rPr>
          <w:rFonts w:ascii="Arial" w:hAnsi="Arial" w:cs="Arial"/>
          <w:sz w:val="24"/>
          <w:szCs w:val="24"/>
        </w:rPr>
        <w:t xml:space="preserve">and make provision for </w:t>
      </w:r>
      <w:r w:rsidRPr="001C25CA">
        <w:rPr>
          <w:rFonts w:ascii="Arial" w:hAnsi="Arial" w:cs="Arial"/>
          <w:sz w:val="24"/>
          <w:szCs w:val="24"/>
        </w:rPr>
        <w:t>land tax</w:t>
      </w:r>
      <w:r w:rsidR="006C7E78" w:rsidRPr="001C25CA">
        <w:rPr>
          <w:rFonts w:ascii="Arial" w:hAnsi="Arial" w:cs="Arial"/>
          <w:sz w:val="24"/>
          <w:szCs w:val="24"/>
        </w:rPr>
        <w:t xml:space="preserve"> on landowners in accordance with a formula</w:t>
      </w:r>
      <w:r w:rsidR="00306CA5">
        <w:rPr>
          <w:rFonts w:ascii="Arial" w:hAnsi="Arial" w:cs="Arial"/>
          <w:sz w:val="24"/>
          <w:szCs w:val="24"/>
        </w:rPr>
        <w:t xml:space="preserve"> which it</w:t>
      </w:r>
      <w:r w:rsidR="006C7E78" w:rsidRPr="001C25CA">
        <w:rPr>
          <w:rFonts w:ascii="Arial" w:hAnsi="Arial" w:cs="Arial"/>
          <w:sz w:val="24"/>
          <w:szCs w:val="24"/>
        </w:rPr>
        <w:t xml:space="preserve"> set out in the section. Section 76 does not vest in the Minister or the executive any independent power to impose a tax</w:t>
      </w:r>
      <w:r w:rsidR="00975830">
        <w:rPr>
          <w:rFonts w:ascii="Arial" w:hAnsi="Arial" w:cs="Arial"/>
          <w:sz w:val="24"/>
          <w:szCs w:val="24"/>
        </w:rPr>
        <w:t xml:space="preserve">, the principle relied upon by the appellant </w:t>
      </w:r>
      <w:r w:rsidR="00306CA5">
        <w:rPr>
          <w:rFonts w:ascii="Arial" w:hAnsi="Arial" w:cs="Arial"/>
          <w:sz w:val="24"/>
          <w:szCs w:val="24"/>
        </w:rPr>
        <w:t xml:space="preserve">as set out </w:t>
      </w:r>
      <w:r w:rsidR="00975830">
        <w:rPr>
          <w:rFonts w:ascii="Arial" w:hAnsi="Arial" w:cs="Arial"/>
          <w:sz w:val="24"/>
          <w:szCs w:val="24"/>
        </w:rPr>
        <w:t xml:space="preserve">in a footnote in </w:t>
      </w:r>
      <w:r w:rsidR="00975830" w:rsidRPr="000F61A4">
        <w:rPr>
          <w:rFonts w:ascii="Arial" w:hAnsi="Arial" w:cs="Arial"/>
          <w:i/>
          <w:sz w:val="24"/>
          <w:szCs w:val="24"/>
        </w:rPr>
        <w:t>Fedsure Life Assurance Ltd and others v Greater Johannesburg Transitional Metropolitan Council and others</w:t>
      </w:r>
      <w:r w:rsidR="006C7E78" w:rsidRPr="001C25CA">
        <w:rPr>
          <w:rFonts w:ascii="Arial" w:hAnsi="Arial" w:cs="Arial"/>
          <w:sz w:val="24"/>
          <w:szCs w:val="24"/>
        </w:rPr>
        <w:t>.</w:t>
      </w:r>
      <w:r w:rsidR="00975830">
        <w:rPr>
          <w:rStyle w:val="FootnoteReference"/>
          <w:rFonts w:ascii="Arial" w:hAnsi="Arial" w:cs="Arial"/>
          <w:sz w:val="24"/>
          <w:szCs w:val="24"/>
        </w:rPr>
        <w:footnoteReference w:id="25"/>
      </w:r>
      <w:r w:rsidR="006C7E78" w:rsidRPr="001C25CA">
        <w:rPr>
          <w:rFonts w:ascii="Arial" w:hAnsi="Arial" w:cs="Arial"/>
          <w:sz w:val="24"/>
          <w:szCs w:val="24"/>
        </w:rPr>
        <w:t xml:space="preserve"> What is left to the Minister is to determine the rate</w:t>
      </w:r>
      <w:r w:rsidR="003E289D">
        <w:rPr>
          <w:rFonts w:ascii="Arial" w:hAnsi="Arial" w:cs="Arial"/>
          <w:sz w:val="24"/>
          <w:szCs w:val="24"/>
        </w:rPr>
        <w:t>,</w:t>
      </w:r>
      <w:r w:rsidR="006C7E78" w:rsidRPr="001C25CA">
        <w:rPr>
          <w:rFonts w:ascii="Arial" w:hAnsi="Arial" w:cs="Arial"/>
          <w:sz w:val="24"/>
          <w:szCs w:val="24"/>
        </w:rPr>
        <w:t xml:space="preserve"> subject to parliament’s approval</w:t>
      </w:r>
      <w:r w:rsidR="003E289D">
        <w:rPr>
          <w:rFonts w:ascii="Arial" w:hAnsi="Arial" w:cs="Arial"/>
          <w:sz w:val="24"/>
          <w:szCs w:val="24"/>
        </w:rPr>
        <w:t>,</w:t>
      </w:r>
      <w:r w:rsidR="006C7E78" w:rsidRPr="001C25CA">
        <w:rPr>
          <w:rFonts w:ascii="Arial" w:hAnsi="Arial" w:cs="Arial"/>
          <w:sz w:val="24"/>
          <w:szCs w:val="24"/>
        </w:rPr>
        <w:t xml:space="preserve"> and promulgate </w:t>
      </w:r>
      <w:r w:rsidR="001E4C77" w:rsidRPr="001C25CA">
        <w:rPr>
          <w:rFonts w:ascii="Arial" w:hAnsi="Arial" w:cs="Arial"/>
          <w:sz w:val="24"/>
          <w:szCs w:val="24"/>
        </w:rPr>
        <w:t>regulation</w:t>
      </w:r>
      <w:r w:rsidR="006C7E78" w:rsidRPr="001C25CA">
        <w:rPr>
          <w:rFonts w:ascii="Arial" w:hAnsi="Arial" w:cs="Arial"/>
          <w:sz w:val="24"/>
          <w:szCs w:val="24"/>
        </w:rPr>
        <w:t>s to provide for a procedure for the determination of the unim</w:t>
      </w:r>
      <w:r w:rsidR="003E289D">
        <w:rPr>
          <w:rFonts w:ascii="Arial" w:hAnsi="Arial" w:cs="Arial"/>
          <w:sz w:val="24"/>
          <w:szCs w:val="24"/>
        </w:rPr>
        <w:t>prov</w:t>
      </w:r>
      <w:r w:rsidR="006C7E78" w:rsidRPr="001C25CA">
        <w:rPr>
          <w:rFonts w:ascii="Arial" w:hAnsi="Arial" w:cs="Arial"/>
          <w:sz w:val="24"/>
          <w:szCs w:val="24"/>
        </w:rPr>
        <w:t>ed site value of land and related matters</w:t>
      </w:r>
      <w:r w:rsidR="009C0964">
        <w:rPr>
          <w:rFonts w:ascii="Arial" w:hAnsi="Arial" w:cs="Arial"/>
          <w:sz w:val="24"/>
          <w:szCs w:val="24"/>
        </w:rPr>
        <w:t>, thus giving efficacy to the land tax established by the legislature</w:t>
      </w:r>
      <w:r w:rsidR="006C7E78" w:rsidRPr="001C25CA">
        <w:rPr>
          <w:rFonts w:ascii="Arial" w:hAnsi="Arial" w:cs="Arial"/>
          <w:sz w:val="24"/>
          <w:szCs w:val="24"/>
        </w:rPr>
        <w:t>.</w:t>
      </w:r>
      <w:r w:rsidR="00975830">
        <w:rPr>
          <w:rFonts w:ascii="Arial" w:hAnsi="Arial" w:cs="Arial"/>
          <w:sz w:val="24"/>
          <w:szCs w:val="24"/>
        </w:rPr>
        <w:t xml:space="preserve"> This is indeed a far cry from vesting an independent power to tax upon the Minister. Parliament itself established the tax, the formula for its determination and merely left the rate to the Minister </w:t>
      </w:r>
      <w:r w:rsidR="00306CA5">
        <w:rPr>
          <w:rFonts w:ascii="Arial" w:hAnsi="Arial" w:cs="Arial"/>
          <w:sz w:val="24"/>
          <w:szCs w:val="24"/>
        </w:rPr>
        <w:t xml:space="preserve">but </w:t>
      </w:r>
      <w:r w:rsidR="00975830">
        <w:rPr>
          <w:rFonts w:ascii="Arial" w:hAnsi="Arial" w:cs="Arial"/>
          <w:sz w:val="24"/>
          <w:szCs w:val="24"/>
        </w:rPr>
        <w:t>subject to its approval</w:t>
      </w:r>
      <w:r w:rsidR="00450915">
        <w:rPr>
          <w:rFonts w:ascii="Arial" w:hAnsi="Arial" w:cs="Arial"/>
          <w:sz w:val="24"/>
          <w:szCs w:val="24"/>
        </w:rPr>
        <w:t xml:space="preserve">. Parliament </w:t>
      </w:r>
      <w:r w:rsidR="00975830">
        <w:rPr>
          <w:rFonts w:ascii="Arial" w:hAnsi="Arial" w:cs="Arial"/>
          <w:sz w:val="24"/>
          <w:szCs w:val="24"/>
        </w:rPr>
        <w:t>left the administration and collection</w:t>
      </w:r>
      <w:r w:rsidR="00306CA5">
        <w:rPr>
          <w:rFonts w:ascii="Arial" w:hAnsi="Arial" w:cs="Arial"/>
          <w:sz w:val="24"/>
          <w:szCs w:val="24"/>
        </w:rPr>
        <w:t xml:space="preserve"> of the tax</w:t>
      </w:r>
      <w:r w:rsidR="00975830">
        <w:rPr>
          <w:rFonts w:ascii="Arial" w:hAnsi="Arial" w:cs="Arial"/>
          <w:sz w:val="24"/>
          <w:szCs w:val="24"/>
        </w:rPr>
        <w:t xml:space="preserve"> to the Minister.</w:t>
      </w:r>
    </w:p>
    <w:p w:rsidR="00E16776" w:rsidRPr="001C25CA" w:rsidRDefault="00E16776" w:rsidP="00E16776">
      <w:pPr>
        <w:pStyle w:val="ListParagraph"/>
        <w:rPr>
          <w:rFonts w:ascii="Arial" w:hAnsi="Arial" w:cs="Arial"/>
          <w:sz w:val="24"/>
          <w:szCs w:val="24"/>
        </w:rPr>
      </w:pPr>
    </w:p>
    <w:p w:rsidR="009A41F4" w:rsidRDefault="006C7E78" w:rsidP="009A41F4">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 approach of the appellant to land tax that it is unconstitutional for any authority other than the legislature to prescribe or determine any element of a tax is fundamentally misconceived</w:t>
      </w:r>
      <w:r w:rsidR="00975830">
        <w:rPr>
          <w:rFonts w:ascii="Arial" w:hAnsi="Arial" w:cs="Arial"/>
          <w:sz w:val="24"/>
          <w:szCs w:val="24"/>
        </w:rPr>
        <w:t xml:space="preserve"> </w:t>
      </w:r>
      <w:r w:rsidRPr="001C25CA">
        <w:rPr>
          <w:rFonts w:ascii="Arial" w:hAnsi="Arial" w:cs="Arial"/>
          <w:sz w:val="24"/>
          <w:szCs w:val="24"/>
        </w:rPr>
        <w:t xml:space="preserve">and is in conflict with an ordinary meaning of the term ‘provide for taxation’ </w:t>
      </w:r>
      <w:r w:rsidR="003E289D">
        <w:rPr>
          <w:rFonts w:ascii="Arial" w:hAnsi="Arial" w:cs="Arial"/>
          <w:sz w:val="24"/>
          <w:szCs w:val="24"/>
        </w:rPr>
        <w:t xml:space="preserve">which is </w:t>
      </w:r>
      <w:r w:rsidRPr="001C25CA">
        <w:rPr>
          <w:rFonts w:ascii="Arial" w:hAnsi="Arial" w:cs="Arial"/>
          <w:sz w:val="24"/>
          <w:szCs w:val="24"/>
        </w:rPr>
        <w:t>contained in Art 63(2)(b).</w:t>
      </w:r>
    </w:p>
    <w:p w:rsidR="009A41F4" w:rsidRDefault="009A41F4" w:rsidP="009A41F4">
      <w:pPr>
        <w:pStyle w:val="ListParagraph"/>
        <w:rPr>
          <w:rFonts w:ascii="Arial" w:hAnsi="Arial" w:cs="Arial"/>
          <w:sz w:val="24"/>
          <w:szCs w:val="24"/>
        </w:rPr>
      </w:pPr>
    </w:p>
    <w:p w:rsidR="009A41F4" w:rsidRPr="009A41F4" w:rsidRDefault="009A41F4" w:rsidP="009A41F4">
      <w:pPr>
        <w:pStyle w:val="NoSpacing"/>
        <w:numPr>
          <w:ilvl w:val="0"/>
          <w:numId w:val="4"/>
        </w:numPr>
        <w:spacing w:line="480" w:lineRule="auto"/>
        <w:ind w:left="0" w:firstLine="0"/>
        <w:jc w:val="both"/>
        <w:rPr>
          <w:rFonts w:ascii="Arial" w:hAnsi="Arial" w:cs="Arial"/>
          <w:sz w:val="24"/>
          <w:szCs w:val="24"/>
        </w:rPr>
      </w:pPr>
      <w:r w:rsidRPr="009A41F4">
        <w:rPr>
          <w:rFonts w:ascii="Arial" w:hAnsi="Arial" w:cs="Arial"/>
          <w:sz w:val="24"/>
          <w:szCs w:val="24"/>
        </w:rPr>
        <w:t xml:space="preserve">The regulations essentially prescribe the means and procedure of determining the unimproved value of agricultural land so that the land tax, </w:t>
      </w:r>
      <w:r w:rsidRPr="009A41F4">
        <w:rPr>
          <w:rFonts w:ascii="Arial" w:hAnsi="Arial" w:cs="Arial"/>
          <w:sz w:val="24"/>
          <w:szCs w:val="24"/>
        </w:rPr>
        <w:lastRenderedPageBreak/>
        <w:t>established by parliament, can be determined in accordance with the formula set out</w:t>
      </w:r>
      <w:r w:rsidR="004A5FD0">
        <w:rPr>
          <w:rFonts w:ascii="Arial" w:hAnsi="Arial" w:cs="Arial"/>
          <w:sz w:val="24"/>
          <w:szCs w:val="24"/>
        </w:rPr>
        <w:t xml:space="preserve"> by parliament</w:t>
      </w:r>
      <w:r w:rsidRPr="009A41F4">
        <w:rPr>
          <w:rFonts w:ascii="Arial" w:hAnsi="Arial" w:cs="Arial"/>
          <w:sz w:val="24"/>
          <w:szCs w:val="24"/>
        </w:rPr>
        <w:t xml:space="preserve"> in s 76(1). The determination of the value of agricultural land is inherently a matter of administrative action for duly qualified valuers involving a reasonable and fair procedure which can be provided for in subordinate legislation, as has occurred in the regulations. The detailed provisions dealing with valuation, objections, a valuation court, appeals from it and service of notices are likewise administrative matters to be particularised by the Minister in regulations under the Act and do not constitute an unconstitutional delegation of legislative powers.</w:t>
      </w:r>
    </w:p>
    <w:p w:rsidR="0017081A" w:rsidRPr="001C25CA" w:rsidRDefault="0017081A" w:rsidP="0017081A">
      <w:pPr>
        <w:pStyle w:val="ListParagraph"/>
        <w:rPr>
          <w:rFonts w:ascii="Arial" w:hAnsi="Arial" w:cs="Arial"/>
          <w:sz w:val="24"/>
          <w:szCs w:val="24"/>
        </w:rPr>
      </w:pPr>
    </w:p>
    <w:p w:rsidR="0017081A" w:rsidRPr="001C25CA" w:rsidRDefault="006C7E78"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High Court’s </w:t>
      </w:r>
      <w:r w:rsidR="009C0964">
        <w:rPr>
          <w:rFonts w:ascii="Arial" w:hAnsi="Arial" w:cs="Arial"/>
          <w:sz w:val="24"/>
          <w:szCs w:val="24"/>
        </w:rPr>
        <w:t xml:space="preserve">fundamental </w:t>
      </w:r>
      <w:r w:rsidRPr="001C25CA">
        <w:rPr>
          <w:rFonts w:ascii="Arial" w:hAnsi="Arial" w:cs="Arial"/>
          <w:sz w:val="24"/>
          <w:szCs w:val="24"/>
        </w:rPr>
        <w:t xml:space="preserve">approach </w:t>
      </w:r>
      <w:r w:rsidR="009C0964">
        <w:rPr>
          <w:rFonts w:ascii="Arial" w:hAnsi="Arial" w:cs="Arial"/>
          <w:sz w:val="24"/>
          <w:szCs w:val="24"/>
        </w:rPr>
        <w:t xml:space="preserve">to this question </w:t>
      </w:r>
      <w:r w:rsidRPr="001C25CA">
        <w:rPr>
          <w:rFonts w:ascii="Arial" w:hAnsi="Arial" w:cs="Arial"/>
          <w:sz w:val="24"/>
          <w:szCs w:val="24"/>
        </w:rPr>
        <w:t>in its closely reasoned judgment is thus sound</w:t>
      </w:r>
      <w:r w:rsidR="009C0964">
        <w:rPr>
          <w:rFonts w:ascii="Arial" w:hAnsi="Arial" w:cs="Arial"/>
          <w:sz w:val="24"/>
          <w:szCs w:val="24"/>
        </w:rPr>
        <w:t xml:space="preserve">. It follows </w:t>
      </w:r>
      <w:r w:rsidR="009A41F4">
        <w:rPr>
          <w:rFonts w:ascii="Arial" w:hAnsi="Arial" w:cs="Arial"/>
          <w:sz w:val="24"/>
          <w:szCs w:val="24"/>
        </w:rPr>
        <w:t xml:space="preserve">that </w:t>
      </w:r>
      <w:r w:rsidRPr="001C25CA">
        <w:rPr>
          <w:rFonts w:ascii="Arial" w:hAnsi="Arial" w:cs="Arial"/>
          <w:sz w:val="24"/>
          <w:szCs w:val="24"/>
        </w:rPr>
        <w:t xml:space="preserve">the primary basis upon which the land tax </w:t>
      </w:r>
      <w:r w:rsidR="009C0964">
        <w:rPr>
          <w:rFonts w:ascii="Arial" w:hAnsi="Arial" w:cs="Arial"/>
          <w:sz w:val="24"/>
          <w:szCs w:val="24"/>
        </w:rPr>
        <w:t xml:space="preserve">provisions (s 76 and s 77) </w:t>
      </w:r>
      <w:r w:rsidRPr="001C25CA">
        <w:rPr>
          <w:rFonts w:ascii="Arial" w:hAnsi="Arial" w:cs="Arial"/>
          <w:sz w:val="24"/>
          <w:szCs w:val="24"/>
        </w:rPr>
        <w:t xml:space="preserve">and the </w:t>
      </w:r>
      <w:r w:rsidR="001E4C77" w:rsidRPr="001C25CA">
        <w:rPr>
          <w:rFonts w:ascii="Arial" w:hAnsi="Arial" w:cs="Arial"/>
          <w:sz w:val="24"/>
          <w:szCs w:val="24"/>
        </w:rPr>
        <w:t>regulation</w:t>
      </w:r>
      <w:r w:rsidRPr="001C25CA">
        <w:rPr>
          <w:rFonts w:ascii="Arial" w:hAnsi="Arial" w:cs="Arial"/>
          <w:sz w:val="24"/>
          <w:szCs w:val="24"/>
        </w:rPr>
        <w:t>s ha</w:t>
      </w:r>
      <w:r w:rsidR="00450915">
        <w:rPr>
          <w:rFonts w:ascii="Arial" w:hAnsi="Arial" w:cs="Arial"/>
          <w:sz w:val="24"/>
          <w:szCs w:val="24"/>
        </w:rPr>
        <w:t>ve</w:t>
      </w:r>
      <w:r w:rsidRPr="001C25CA">
        <w:rPr>
          <w:rFonts w:ascii="Arial" w:hAnsi="Arial" w:cs="Arial"/>
          <w:sz w:val="24"/>
          <w:szCs w:val="24"/>
        </w:rPr>
        <w:t xml:space="preserve"> been challenged falls to be rejected.</w:t>
      </w:r>
    </w:p>
    <w:p w:rsidR="006C7E78" w:rsidRPr="001C25CA" w:rsidRDefault="006C7E78" w:rsidP="006C7E78">
      <w:pPr>
        <w:rPr>
          <w:rFonts w:ascii="Arial" w:hAnsi="Arial" w:cs="Arial"/>
          <w:sz w:val="24"/>
          <w:szCs w:val="24"/>
        </w:rPr>
      </w:pPr>
    </w:p>
    <w:p w:rsidR="006C7E78" w:rsidRPr="001C25CA" w:rsidRDefault="006C7E78" w:rsidP="006C7E78">
      <w:pPr>
        <w:rPr>
          <w:rFonts w:ascii="Arial" w:hAnsi="Arial" w:cs="Arial"/>
          <w:sz w:val="24"/>
          <w:szCs w:val="24"/>
          <w:u w:val="single"/>
        </w:rPr>
      </w:pPr>
      <w:r w:rsidRPr="001C25CA">
        <w:rPr>
          <w:rFonts w:ascii="Arial" w:hAnsi="Arial" w:cs="Arial"/>
          <w:sz w:val="24"/>
          <w:szCs w:val="24"/>
          <w:u w:val="single"/>
        </w:rPr>
        <w:t>Section 76B</w:t>
      </w:r>
    </w:p>
    <w:p w:rsidR="006C7E78" w:rsidRPr="001C25CA" w:rsidRDefault="006C7E78"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attack upon s 76B(1) is that it is inconsistent with the equality clause </w:t>
      </w:r>
      <w:r w:rsidR="00E54957" w:rsidRPr="001C25CA">
        <w:rPr>
          <w:rFonts w:ascii="Arial" w:hAnsi="Arial" w:cs="Arial"/>
          <w:sz w:val="24"/>
          <w:szCs w:val="24"/>
        </w:rPr>
        <w:t xml:space="preserve">(Art 10), contains an impermissibly wide </w:t>
      </w:r>
      <w:r w:rsidR="003E289D">
        <w:rPr>
          <w:rFonts w:ascii="Arial" w:hAnsi="Arial" w:cs="Arial"/>
          <w:sz w:val="24"/>
          <w:szCs w:val="24"/>
        </w:rPr>
        <w:t xml:space="preserve">and </w:t>
      </w:r>
      <w:r w:rsidR="00E54957" w:rsidRPr="001C25CA">
        <w:rPr>
          <w:rFonts w:ascii="Arial" w:hAnsi="Arial" w:cs="Arial"/>
          <w:sz w:val="24"/>
          <w:szCs w:val="24"/>
        </w:rPr>
        <w:t xml:space="preserve">unguided discretion and is </w:t>
      </w:r>
      <w:r w:rsidR="00710062">
        <w:rPr>
          <w:rFonts w:ascii="Arial" w:hAnsi="Arial" w:cs="Arial"/>
          <w:sz w:val="24"/>
          <w:szCs w:val="24"/>
        </w:rPr>
        <w:t xml:space="preserve">in </w:t>
      </w:r>
      <w:r w:rsidR="00E54957" w:rsidRPr="001C25CA">
        <w:rPr>
          <w:rFonts w:ascii="Arial" w:hAnsi="Arial" w:cs="Arial"/>
          <w:sz w:val="24"/>
          <w:szCs w:val="24"/>
        </w:rPr>
        <w:t xml:space="preserve">conflict with Art 22. </w:t>
      </w:r>
    </w:p>
    <w:p w:rsidR="006C7E78" w:rsidRPr="001C25CA" w:rsidRDefault="006C7E78" w:rsidP="006C7E78">
      <w:pPr>
        <w:pStyle w:val="ListParagraph"/>
        <w:rPr>
          <w:rFonts w:ascii="Arial" w:hAnsi="Arial" w:cs="Arial"/>
          <w:sz w:val="24"/>
          <w:szCs w:val="24"/>
        </w:rPr>
      </w:pPr>
    </w:p>
    <w:p w:rsidR="006C7E78" w:rsidRPr="001C25CA" w:rsidRDefault="00E54957"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Article 23(2) </w:t>
      </w:r>
      <w:r w:rsidR="009A41F4">
        <w:rPr>
          <w:rFonts w:ascii="Arial" w:hAnsi="Arial" w:cs="Arial"/>
          <w:sz w:val="24"/>
          <w:szCs w:val="24"/>
        </w:rPr>
        <w:t xml:space="preserve">of the Constitution, referred to in s 76B </w:t>
      </w:r>
      <w:r w:rsidRPr="001C25CA">
        <w:rPr>
          <w:rFonts w:ascii="Arial" w:hAnsi="Arial" w:cs="Arial"/>
          <w:sz w:val="24"/>
          <w:szCs w:val="24"/>
        </w:rPr>
        <w:t>provides:</w:t>
      </w:r>
    </w:p>
    <w:p w:rsidR="00E54957" w:rsidRPr="001C25CA" w:rsidRDefault="00E54957" w:rsidP="00E54957">
      <w:pPr>
        <w:pStyle w:val="ListParagraph"/>
        <w:rPr>
          <w:rFonts w:ascii="Arial" w:hAnsi="Arial" w:cs="Arial"/>
          <w:sz w:val="24"/>
          <w:szCs w:val="24"/>
        </w:rPr>
      </w:pPr>
    </w:p>
    <w:p w:rsidR="00E54957" w:rsidRPr="00643C33" w:rsidRDefault="00076931" w:rsidP="00643C33">
      <w:pPr>
        <w:pStyle w:val="ListParagraph"/>
        <w:spacing w:line="360" w:lineRule="auto"/>
        <w:jc w:val="both"/>
        <w:rPr>
          <w:rFonts w:ascii="Arial" w:hAnsi="Arial" w:cs="Arial"/>
        </w:rPr>
      </w:pPr>
      <w:r w:rsidRPr="00643C33">
        <w:rPr>
          <w:rFonts w:ascii="Arial" w:hAnsi="Arial" w:cs="Arial"/>
          <w:color w:val="000000"/>
          <w:shd w:val="clear" w:color="auto" w:fill="FAFAFA"/>
        </w:rPr>
        <w:t>‘Nothing contained in Article 10 hereof shall prevent Parliament from enacting legislation providing directly or indirectly for the advancement of persons within Namibia who have been socially, economically or educationally disadvantaged by past discriminatory laws or practices, or for the implementation of policies and programmes aimed at redressing social, economic or educational imbalances in the Namibian society arising out of past discriminatory laws or practices, or for achieving a balanced structuring of the public service, the police force, the defence force, and the prison service.’</w:t>
      </w:r>
    </w:p>
    <w:p w:rsidR="00E54957" w:rsidRPr="001C25CA" w:rsidRDefault="00E54957" w:rsidP="00E54957">
      <w:pPr>
        <w:pStyle w:val="ListParagraph"/>
        <w:rPr>
          <w:rFonts w:ascii="Arial" w:hAnsi="Arial" w:cs="Arial"/>
          <w:sz w:val="24"/>
          <w:szCs w:val="24"/>
        </w:rPr>
      </w:pPr>
    </w:p>
    <w:p w:rsidR="00E54957" w:rsidRPr="001C25CA" w:rsidRDefault="00E54957"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It expressly authorises parliament to enact legislation ‘providing directly or indirectly’ for the purpose set out in it. Section 76B empowers the Minister upon application to exempt landowners by notice in the Gazette from paying land tax but only if belonging to the category of persons contemplated in Art 23.</w:t>
      </w:r>
    </w:p>
    <w:p w:rsidR="006C7E78" w:rsidRPr="001C25CA" w:rsidRDefault="006C7E78" w:rsidP="006C7E78">
      <w:pPr>
        <w:pStyle w:val="ListParagraph"/>
        <w:rPr>
          <w:rFonts w:ascii="Arial" w:hAnsi="Arial" w:cs="Arial"/>
          <w:sz w:val="24"/>
          <w:szCs w:val="24"/>
        </w:rPr>
      </w:pPr>
    </w:p>
    <w:p w:rsidR="006C7E78" w:rsidRPr="001C25CA" w:rsidRDefault="00E54957"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In enacting this provision, Parliament has provided</w:t>
      </w:r>
      <w:r w:rsidR="009A41F4">
        <w:rPr>
          <w:rFonts w:ascii="Arial" w:hAnsi="Arial" w:cs="Arial"/>
          <w:sz w:val="24"/>
          <w:szCs w:val="24"/>
        </w:rPr>
        <w:t>,</w:t>
      </w:r>
      <w:r w:rsidRPr="001C25CA">
        <w:rPr>
          <w:rFonts w:ascii="Arial" w:hAnsi="Arial" w:cs="Arial"/>
          <w:sz w:val="24"/>
          <w:szCs w:val="24"/>
        </w:rPr>
        <w:t xml:space="preserve"> by means of an exemption upon application granted by the Minister</w:t>
      </w:r>
      <w:r w:rsidR="009A41F4">
        <w:rPr>
          <w:rFonts w:ascii="Arial" w:hAnsi="Arial" w:cs="Arial"/>
          <w:sz w:val="24"/>
          <w:szCs w:val="24"/>
        </w:rPr>
        <w:t>,</w:t>
      </w:r>
      <w:r w:rsidRPr="001C25CA">
        <w:rPr>
          <w:rFonts w:ascii="Arial" w:hAnsi="Arial" w:cs="Arial"/>
          <w:sz w:val="24"/>
          <w:szCs w:val="24"/>
        </w:rPr>
        <w:t xml:space="preserve"> indirectly for the benefit of persons referred to in Art 23(2). The reason for providing the Minister with this power is self-evident. The purpose of the imposition of the tax is to enable the fund to provide funds to the Minister for the purpose of acquiring agricultural land in the public interest</w:t>
      </w:r>
      <w:r w:rsidR="003039EF">
        <w:rPr>
          <w:rFonts w:ascii="Arial" w:hAnsi="Arial" w:cs="Arial"/>
          <w:sz w:val="24"/>
          <w:szCs w:val="24"/>
        </w:rPr>
        <w:t xml:space="preserve"> under s 14 read with s 13A, in order</w:t>
      </w:r>
      <w:r w:rsidRPr="001C25CA">
        <w:rPr>
          <w:rFonts w:ascii="Arial" w:hAnsi="Arial" w:cs="Arial"/>
          <w:sz w:val="24"/>
          <w:szCs w:val="24"/>
        </w:rPr>
        <w:t xml:space="preserve"> to make </w:t>
      </w:r>
      <w:r w:rsidR="003039EF">
        <w:rPr>
          <w:rFonts w:ascii="Arial" w:hAnsi="Arial" w:cs="Arial"/>
          <w:sz w:val="24"/>
          <w:szCs w:val="24"/>
        </w:rPr>
        <w:t>that land</w:t>
      </w:r>
      <w:r w:rsidRPr="001C25CA">
        <w:rPr>
          <w:rFonts w:ascii="Arial" w:hAnsi="Arial" w:cs="Arial"/>
          <w:sz w:val="24"/>
          <w:szCs w:val="24"/>
        </w:rPr>
        <w:t xml:space="preserve"> available for Namibian citizens who do not own or have the use of </w:t>
      </w:r>
      <w:r w:rsidR="000B0A11" w:rsidRPr="001C25CA">
        <w:rPr>
          <w:rFonts w:ascii="Arial" w:hAnsi="Arial" w:cs="Arial"/>
          <w:sz w:val="24"/>
          <w:szCs w:val="24"/>
        </w:rPr>
        <w:t>agricultural land and who have been socially, economically or educationally disadvantaged by pa</w:t>
      </w:r>
      <w:r w:rsidR="003039EF">
        <w:rPr>
          <w:rFonts w:ascii="Arial" w:hAnsi="Arial" w:cs="Arial"/>
          <w:sz w:val="24"/>
          <w:szCs w:val="24"/>
        </w:rPr>
        <w:t>s</w:t>
      </w:r>
      <w:r w:rsidR="000B0A11" w:rsidRPr="001C25CA">
        <w:rPr>
          <w:rFonts w:ascii="Arial" w:hAnsi="Arial" w:cs="Arial"/>
          <w:sz w:val="24"/>
          <w:szCs w:val="24"/>
        </w:rPr>
        <w:t>t discriminatory laws or practices</w:t>
      </w:r>
      <w:r w:rsidR="003039EF">
        <w:rPr>
          <w:rFonts w:ascii="Arial" w:hAnsi="Arial" w:cs="Arial"/>
          <w:sz w:val="24"/>
          <w:szCs w:val="24"/>
        </w:rPr>
        <w:t>. As was pointed out on behalf of the Minister, i</w:t>
      </w:r>
      <w:r w:rsidR="000B0A11" w:rsidRPr="001C25CA">
        <w:rPr>
          <w:rFonts w:ascii="Arial" w:hAnsi="Arial" w:cs="Arial"/>
          <w:sz w:val="24"/>
          <w:szCs w:val="24"/>
        </w:rPr>
        <w:t>f these beneficiaries of land reform under the Act were to be taxed without differentiating, this could impose a burden on those who could least of all afford paying land tax and who have not as yet reaped the benefit of lan</w:t>
      </w:r>
      <w:r w:rsidR="003039EF">
        <w:rPr>
          <w:rFonts w:ascii="Arial" w:hAnsi="Arial" w:cs="Arial"/>
          <w:sz w:val="24"/>
          <w:szCs w:val="24"/>
        </w:rPr>
        <w:t>downership</w:t>
      </w:r>
      <w:r w:rsidR="000B0A11" w:rsidRPr="001C25CA">
        <w:rPr>
          <w:rFonts w:ascii="Arial" w:hAnsi="Arial" w:cs="Arial"/>
          <w:sz w:val="24"/>
          <w:szCs w:val="24"/>
        </w:rPr>
        <w:t xml:space="preserve">. As was also </w:t>
      </w:r>
      <w:r w:rsidR="003039EF">
        <w:rPr>
          <w:rFonts w:ascii="Arial" w:hAnsi="Arial" w:cs="Arial"/>
          <w:sz w:val="24"/>
          <w:szCs w:val="24"/>
        </w:rPr>
        <w:t>correctly pointed out</w:t>
      </w:r>
      <w:r w:rsidR="000B0A11" w:rsidRPr="001C25CA">
        <w:rPr>
          <w:rFonts w:ascii="Arial" w:hAnsi="Arial" w:cs="Arial"/>
          <w:sz w:val="24"/>
          <w:szCs w:val="24"/>
        </w:rPr>
        <w:t>, those previously disadvantaged persons in a position to pay land tax may</w:t>
      </w:r>
      <w:r w:rsidR="003039EF">
        <w:rPr>
          <w:rFonts w:ascii="Arial" w:hAnsi="Arial" w:cs="Arial"/>
          <w:sz w:val="24"/>
          <w:szCs w:val="24"/>
        </w:rPr>
        <w:t xml:space="preserve"> however</w:t>
      </w:r>
      <w:r w:rsidR="000B0A11" w:rsidRPr="001C25CA">
        <w:rPr>
          <w:rFonts w:ascii="Arial" w:hAnsi="Arial" w:cs="Arial"/>
          <w:sz w:val="24"/>
          <w:szCs w:val="24"/>
        </w:rPr>
        <w:t xml:space="preserve"> not be exempted by the Minister in the exercise of his discretion </w:t>
      </w:r>
      <w:r w:rsidR="003039EF">
        <w:rPr>
          <w:rFonts w:ascii="Arial" w:hAnsi="Arial" w:cs="Arial"/>
          <w:sz w:val="24"/>
          <w:szCs w:val="24"/>
        </w:rPr>
        <w:t>on</w:t>
      </w:r>
      <w:r w:rsidR="000B0A11" w:rsidRPr="001C25CA">
        <w:rPr>
          <w:rFonts w:ascii="Arial" w:hAnsi="Arial" w:cs="Arial"/>
          <w:sz w:val="24"/>
          <w:szCs w:val="24"/>
        </w:rPr>
        <w:t xml:space="preserve"> a case by case assessment, given the personal and subjective circumstances of each case. As was also correctly conceded on behalf of the Minister, anything else may bring about injustice and could be subject to a challenge.</w:t>
      </w:r>
    </w:p>
    <w:p w:rsidR="006C7E78" w:rsidRPr="001C25CA" w:rsidRDefault="006C7E78" w:rsidP="006C7E78">
      <w:pPr>
        <w:pStyle w:val="ListParagraph"/>
        <w:rPr>
          <w:rFonts w:ascii="Arial" w:hAnsi="Arial" w:cs="Arial"/>
          <w:sz w:val="24"/>
          <w:szCs w:val="24"/>
        </w:rPr>
      </w:pPr>
    </w:p>
    <w:p w:rsidR="006C7E78" w:rsidRPr="001C25CA" w:rsidRDefault="000B0A11"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lastRenderedPageBreak/>
        <w:t xml:space="preserve">The full bench case cited in support of the appellant’s argument against </w:t>
      </w:r>
      <w:r w:rsidR="000F61A4">
        <w:rPr>
          <w:rFonts w:ascii="Arial" w:hAnsi="Arial" w:cs="Arial"/>
          <w:sz w:val="24"/>
          <w:szCs w:val="24"/>
        </w:rPr>
        <w:t xml:space="preserve">           </w:t>
      </w:r>
      <w:r w:rsidRPr="001C25CA">
        <w:rPr>
          <w:rFonts w:ascii="Arial" w:hAnsi="Arial" w:cs="Arial"/>
          <w:sz w:val="24"/>
          <w:szCs w:val="24"/>
        </w:rPr>
        <w:t>s 76B</w:t>
      </w:r>
      <w:r w:rsidR="003039EF">
        <w:rPr>
          <w:rFonts w:ascii="Arial" w:hAnsi="Arial" w:cs="Arial"/>
          <w:sz w:val="24"/>
          <w:szCs w:val="24"/>
        </w:rPr>
        <w:t xml:space="preserve">, </w:t>
      </w:r>
      <w:r w:rsidRPr="001C25CA">
        <w:rPr>
          <w:rFonts w:ascii="Arial" w:hAnsi="Arial" w:cs="Arial"/>
          <w:i/>
          <w:sz w:val="24"/>
          <w:szCs w:val="24"/>
        </w:rPr>
        <w:t>Grobbelaar v Council of the Municipality of Walvis Bay</w:t>
      </w:r>
      <w:r w:rsidRPr="001C25CA">
        <w:rPr>
          <w:rStyle w:val="FootnoteReference"/>
          <w:rFonts w:ascii="Arial" w:hAnsi="Arial" w:cs="Arial"/>
          <w:sz w:val="24"/>
          <w:szCs w:val="24"/>
        </w:rPr>
        <w:footnoteReference w:id="26"/>
      </w:r>
      <w:r w:rsidRPr="001C25CA">
        <w:rPr>
          <w:rFonts w:ascii="Arial" w:hAnsi="Arial" w:cs="Arial"/>
          <w:sz w:val="24"/>
          <w:szCs w:val="24"/>
        </w:rPr>
        <w:t xml:space="preserve"> does not in fact support it</w:t>
      </w:r>
      <w:r w:rsidR="003039EF">
        <w:rPr>
          <w:rFonts w:ascii="Arial" w:hAnsi="Arial" w:cs="Arial"/>
          <w:sz w:val="24"/>
          <w:szCs w:val="24"/>
        </w:rPr>
        <w:t>s position at all</w:t>
      </w:r>
      <w:r w:rsidRPr="001C25CA">
        <w:rPr>
          <w:rFonts w:ascii="Arial" w:hAnsi="Arial" w:cs="Arial"/>
          <w:sz w:val="24"/>
          <w:szCs w:val="24"/>
        </w:rPr>
        <w:t xml:space="preserve">. In </w:t>
      </w:r>
      <w:r w:rsidRPr="001C25CA">
        <w:rPr>
          <w:rFonts w:ascii="Arial" w:hAnsi="Arial" w:cs="Arial"/>
          <w:i/>
          <w:sz w:val="24"/>
          <w:szCs w:val="24"/>
        </w:rPr>
        <w:t>Grobbelaar,</w:t>
      </w:r>
      <w:r w:rsidRPr="001C25CA">
        <w:rPr>
          <w:rFonts w:ascii="Arial" w:hAnsi="Arial" w:cs="Arial"/>
          <w:sz w:val="24"/>
          <w:szCs w:val="24"/>
        </w:rPr>
        <w:t xml:space="preserve"> there was no power enacted by parliament to exempt</w:t>
      </w:r>
      <w:r w:rsidR="003039EF">
        <w:rPr>
          <w:rFonts w:ascii="Arial" w:hAnsi="Arial" w:cs="Arial"/>
          <w:sz w:val="24"/>
          <w:szCs w:val="24"/>
        </w:rPr>
        <w:t>,</w:t>
      </w:r>
      <w:r w:rsidR="00190F70" w:rsidRPr="001C25CA">
        <w:rPr>
          <w:rFonts w:ascii="Arial" w:hAnsi="Arial" w:cs="Arial"/>
          <w:sz w:val="24"/>
          <w:szCs w:val="24"/>
        </w:rPr>
        <w:t xml:space="preserve"> as opposed to where this is expressly done</w:t>
      </w:r>
      <w:r w:rsidR="003039EF">
        <w:rPr>
          <w:rFonts w:ascii="Arial" w:hAnsi="Arial" w:cs="Arial"/>
          <w:sz w:val="24"/>
          <w:szCs w:val="24"/>
        </w:rPr>
        <w:t xml:space="preserve"> </w:t>
      </w:r>
      <w:r w:rsidR="003039EF" w:rsidRPr="001C25CA">
        <w:rPr>
          <w:rFonts w:ascii="Arial" w:hAnsi="Arial" w:cs="Arial"/>
          <w:sz w:val="24"/>
          <w:szCs w:val="24"/>
        </w:rPr>
        <w:t>in s 76B</w:t>
      </w:r>
      <w:r w:rsidR="00190F70" w:rsidRPr="001C25CA">
        <w:rPr>
          <w:rFonts w:ascii="Arial" w:hAnsi="Arial" w:cs="Arial"/>
          <w:sz w:val="24"/>
          <w:szCs w:val="24"/>
        </w:rPr>
        <w:t xml:space="preserve">. The </w:t>
      </w:r>
      <w:r w:rsidR="00190F70" w:rsidRPr="003039EF">
        <w:rPr>
          <w:rFonts w:ascii="Arial" w:hAnsi="Arial" w:cs="Arial"/>
          <w:i/>
          <w:sz w:val="24"/>
          <w:szCs w:val="24"/>
        </w:rPr>
        <w:t>ad hoc</w:t>
      </w:r>
      <w:r w:rsidR="00190F70" w:rsidRPr="001C25CA">
        <w:rPr>
          <w:rFonts w:ascii="Arial" w:hAnsi="Arial" w:cs="Arial"/>
          <w:sz w:val="24"/>
          <w:szCs w:val="24"/>
        </w:rPr>
        <w:t xml:space="preserve"> exemptions contemplated by s 76B – expressly authorised by Art 23</w:t>
      </w:r>
      <w:r w:rsidR="003039EF">
        <w:rPr>
          <w:rFonts w:ascii="Arial" w:hAnsi="Arial" w:cs="Arial"/>
          <w:sz w:val="24"/>
          <w:szCs w:val="24"/>
        </w:rPr>
        <w:t xml:space="preserve"> and</w:t>
      </w:r>
      <w:r w:rsidR="009A41F4">
        <w:rPr>
          <w:rFonts w:ascii="Arial" w:hAnsi="Arial" w:cs="Arial"/>
          <w:sz w:val="24"/>
          <w:szCs w:val="24"/>
        </w:rPr>
        <w:t xml:space="preserve"> by</w:t>
      </w:r>
      <w:r w:rsidR="003039EF">
        <w:rPr>
          <w:rFonts w:ascii="Arial" w:hAnsi="Arial" w:cs="Arial"/>
          <w:sz w:val="24"/>
          <w:szCs w:val="24"/>
        </w:rPr>
        <w:t xml:space="preserve"> invoking that provision</w:t>
      </w:r>
      <w:r w:rsidR="00190F70" w:rsidRPr="001C25CA">
        <w:rPr>
          <w:rFonts w:ascii="Arial" w:hAnsi="Arial" w:cs="Arial"/>
          <w:sz w:val="24"/>
          <w:szCs w:val="24"/>
        </w:rPr>
        <w:t xml:space="preserve"> – would not entail any violation of Art 22(b).</w:t>
      </w:r>
    </w:p>
    <w:p w:rsidR="006C7E78" w:rsidRPr="001C25CA" w:rsidRDefault="006C7E78" w:rsidP="006C7E78">
      <w:pPr>
        <w:pStyle w:val="ListParagraph"/>
        <w:rPr>
          <w:rFonts w:ascii="Arial" w:hAnsi="Arial" w:cs="Arial"/>
          <w:sz w:val="24"/>
          <w:szCs w:val="24"/>
        </w:rPr>
      </w:pPr>
    </w:p>
    <w:p w:rsidR="006C7E78" w:rsidRPr="001C25CA" w:rsidRDefault="00190F70"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appellant also took issue with exemptions under s 76B </w:t>
      </w:r>
      <w:r w:rsidR="003039EF">
        <w:rPr>
          <w:rFonts w:ascii="Arial" w:hAnsi="Arial" w:cs="Arial"/>
          <w:sz w:val="24"/>
          <w:szCs w:val="24"/>
        </w:rPr>
        <w:t xml:space="preserve">on </w:t>
      </w:r>
      <w:r w:rsidRPr="001C25CA">
        <w:rPr>
          <w:rFonts w:ascii="Arial" w:hAnsi="Arial" w:cs="Arial"/>
          <w:sz w:val="24"/>
          <w:szCs w:val="24"/>
        </w:rPr>
        <w:t xml:space="preserve">the basis that s 76B had failed to come into operation because the procedure contemplated (by way of </w:t>
      </w:r>
      <w:r w:rsidR="001E4C77" w:rsidRPr="001C25CA">
        <w:rPr>
          <w:rFonts w:ascii="Arial" w:hAnsi="Arial" w:cs="Arial"/>
          <w:sz w:val="24"/>
          <w:szCs w:val="24"/>
        </w:rPr>
        <w:t>regulation</w:t>
      </w:r>
      <w:r w:rsidR="009A41F4" w:rsidRPr="009A41F4">
        <w:rPr>
          <w:rFonts w:ascii="Arial" w:hAnsi="Arial" w:cs="Arial"/>
          <w:sz w:val="24"/>
          <w:szCs w:val="24"/>
        </w:rPr>
        <w:t xml:space="preserve"> </w:t>
      </w:r>
      <w:r w:rsidR="009A41F4">
        <w:rPr>
          <w:rFonts w:ascii="Arial" w:hAnsi="Arial" w:cs="Arial"/>
          <w:sz w:val="24"/>
          <w:szCs w:val="24"/>
        </w:rPr>
        <w:t>for exemption applications</w:t>
      </w:r>
      <w:r w:rsidRPr="001C25CA">
        <w:rPr>
          <w:rFonts w:ascii="Arial" w:hAnsi="Arial" w:cs="Arial"/>
          <w:sz w:val="24"/>
          <w:szCs w:val="24"/>
        </w:rPr>
        <w:t xml:space="preserve">) in s 77 had not been invoked. This argument rests on an incorrect premise. The coming into operation of </w:t>
      </w:r>
      <w:r w:rsidR="009A41F4">
        <w:rPr>
          <w:rFonts w:ascii="Arial" w:hAnsi="Arial" w:cs="Arial"/>
          <w:sz w:val="24"/>
          <w:szCs w:val="24"/>
        </w:rPr>
        <w:t>s 76B</w:t>
      </w:r>
      <w:r w:rsidRPr="001C25CA">
        <w:rPr>
          <w:rFonts w:ascii="Arial" w:hAnsi="Arial" w:cs="Arial"/>
          <w:sz w:val="24"/>
          <w:szCs w:val="24"/>
        </w:rPr>
        <w:t xml:space="preserve"> is provided for in Act 2 of 2001 and not in the </w:t>
      </w:r>
      <w:r w:rsidR="001E4C77" w:rsidRPr="001C25CA">
        <w:rPr>
          <w:rFonts w:ascii="Arial" w:hAnsi="Arial" w:cs="Arial"/>
          <w:sz w:val="24"/>
          <w:szCs w:val="24"/>
        </w:rPr>
        <w:t>regulation</w:t>
      </w:r>
      <w:r w:rsidRPr="001C25CA">
        <w:rPr>
          <w:rFonts w:ascii="Arial" w:hAnsi="Arial" w:cs="Arial"/>
          <w:sz w:val="24"/>
          <w:szCs w:val="24"/>
        </w:rPr>
        <w:t xml:space="preserve">s to be made by the Minister. It was </w:t>
      </w:r>
      <w:r w:rsidR="003039EF">
        <w:rPr>
          <w:rFonts w:ascii="Arial" w:hAnsi="Arial" w:cs="Arial"/>
          <w:sz w:val="24"/>
          <w:szCs w:val="24"/>
        </w:rPr>
        <w:t xml:space="preserve">thus </w:t>
      </w:r>
      <w:r w:rsidR="009A41F4">
        <w:rPr>
          <w:rFonts w:ascii="Arial" w:hAnsi="Arial" w:cs="Arial"/>
          <w:sz w:val="24"/>
          <w:szCs w:val="24"/>
        </w:rPr>
        <w:t>put</w:t>
      </w:r>
      <w:r w:rsidRPr="001C25CA">
        <w:rPr>
          <w:rFonts w:ascii="Arial" w:hAnsi="Arial" w:cs="Arial"/>
          <w:sz w:val="24"/>
          <w:szCs w:val="24"/>
        </w:rPr>
        <w:t xml:space="preserve"> into operation by the Act.</w:t>
      </w:r>
    </w:p>
    <w:p w:rsidR="006C7E78" w:rsidRPr="001C25CA" w:rsidRDefault="006C7E78" w:rsidP="006C7E78">
      <w:pPr>
        <w:pStyle w:val="ListParagraph"/>
        <w:rPr>
          <w:rFonts w:ascii="Arial" w:hAnsi="Arial" w:cs="Arial"/>
          <w:sz w:val="24"/>
          <w:szCs w:val="24"/>
        </w:rPr>
      </w:pPr>
    </w:p>
    <w:p w:rsidR="006C7E78" w:rsidRPr="001C25CA" w:rsidRDefault="00190F70"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A point was also taken in the found</w:t>
      </w:r>
      <w:r w:rsidR="003039EF">
        <w:rPr>
          <w:rFonts w:ascii="Arial" w:hAnsi="Arial" w:cs="Arial"/>
          <w:sz w:val="24"/>
          <w:szCs w:val="24"/>
        </w:rPr>
        <w:t>ing</w:t>
      </w:r>
      <w:r w:rsidRPr="001C25CA">
        <w:rPr>
          <w:rFonts w:ascii="Arial" w:hAnsi="Arial" w:cs="Arial"/>
          <w:sz w:val="24"/>
          <w:szCs w:val="24"/>
        </w:rPr>
        <w:t xml:space="preserve"> affidavit </w:t>
      </w:r>
      <w:r w:rsidR="00305FE9" w:rsidRPr="001C25CA">
        <w:rPr>
          <w:rFonts w:ascii="Arial" w:hAnsi="Arial" w:cs="Arial"/>
          <w:sz w:val="24"/>
          <w:szCs w:val="24"/>
        </w:rPr>
        <w:t>that exemption</w:t>
      </w:r>
      <w:r w:rsidR="003039EF">
        <w:rPr>
          <w:rFonts w:ascii="Arial" w:hAnsi="Arial" w:cs="Arial"/>
          <w:sz w:val="24"/>
          <w:szCs w:val="24"/>
        </w:rPr>
        <w:t>s</w:t>
      </w:r>
      <w:r w:rsidR="00305FE9" w:rsidRPr="001C25CA">
        <w:rPr>
          <w:rFonts w:ascii="Arial" w:hAnsi="Arial" w:cs="Arial"/>
          <w:sz w:val="24"/>
          <w:szCs w:val="24"/>
        </w:rPr>
        <w:t xml:space="preserve"> </w:t>
      </w:r>
      <w:r w:rsidR="003039EF">
        <w:rPr>
          <w:rFonts w:ascii="Arial" w:hAnsi="Arial" w:cs="Arial"/>
          <w:sz w:val="24"/>
          <w:szCs w:val="24"/>
        </w:rPr>
        <w:t xml:space="preserve">were </w:t>
      </w:r>
      <w:r w:rsidR="00305FE9" w:rsidRPr="001C25CA">
        <w:rPr>
          <w:rFonts w:ascii="Arial" w:hAnsi="Arial" w:cs="Arial"/>
          <w:sz w:val="24"/>
          <w:szCs w:val="24"/>
        </w:rPr>
        <w:t>invalid by reason of the failure by the Minister to do so by notice in the Gazette. This is a factual question and is governed by the agreement to consolidate the proceedings. Factual averments were deemed in that application to be placed in issue. The court below and this court is not in a position</w:t>
      </w:r>
      <w:r w:rsidR="003039EF">
        <w:rPr>
          <w:rFonts w:ascii="Arial" w:hAnsi="Arial" w:cs="Arial"/>
          <w:sz w:val="24"/>
          <w:szCs w:val="24"/>
        </w:rPr>
        <w:t xml:space="preserve"> to determine this issue.</w:t>
      </w:r>
      <w:r w:rsidR="00CE6404">
        <w:rPr>
          <w:rFonts w:ascii="Arial" w:hAnsi="Arial" w:cs="Arial"/>
          <w:sz w:val="24"/>
          <w:szCs w:val="24"/>
        </w:rPr>
        <w:t xml:space="preserve"> Furthermore, there was no attempt to join recipients of exemptions who would plainly have an interest in relief directed at setting aside their exemptions. This even after non-joinder was raised.</w:t>
      </w:r>
      <w:r w:rsidR="003039EF">
        <w:rPr>
          <w:rFonts w:ascii="Arial" w:hAnsi="Arial" w:cs="Arial"/>
          <w:sz w:val="24"/>
          <w:szCs w:val="24"/>
        </w:rPr>
        <w:t xml:space="preserve"> For these</w:t>
      </w:r>
      <w:r w:rsidR="00305FE9" w:rsidRPr="001C25CA">
        <w:rPr>
          <w:rFonts w:ascii="Arial" w:hAnsi="Arial" w:cs="Arial"/>
          <w:sz w:val="24"/>
          <w:szCs w:val="24"/>
        </w:rPr>
        <w:t xml:space="preserve"> reason</w:t>
      </w:r>
      <w:r w:rsidR="003039EF">
        <w:rPr>
          <w:rFonts w:ascii="Arial" w:hAnsi="Arial" w:cs="Arial"/>
          <w:sz w:val="24"/>
          <w:szCs w:val="24"/>
        </w:rPr>
        <w:t>s</w:t>
      </w:r>
      <w:r w:rsidR="00305FE9" w:rsidRPr="001C25CA">
        <w:rPr>
          <w:rFonts w:ascii="Arial" w:hAnsi="Arial" w:cs="Arial"/>
          <w:sz w:val="24"/>
          <w:szCs w:val="24"/>
        </w:rPr>
        <w:t xml:space="preserve">, </w:t>
      </w:r>
      <w:r w:rsidR="009A41F4">
        <w:rPr>
          <w:rFonts w:ascii="Arial" w:hAnsi="Arial" w:cs="Arial"/>
          <w:sz w:val="24"/>
          <w:szCs w:val="24"/>
        </w:rPr>
        <w:t>it is not necessary</w:t>
      </w:r>
      <w:r w:rsidR="00305FE9" w:rsidRPr="001C25CA">
        <w:rPr>
          <w:rFonts w:ascii="Arial" w:hAnsi="Arial" w:cs="Arial"/>
          <w:sz w:val="24"/>
          <w:szCs w:val="24"/>
        </w:rPr>
        <w:t xml:space="preserve"> to express a view on </w:t>
      </w:r>
      <w:r w:rsidR="00CE6404">
        <w:rPr>
          <w:rFonts w:ascii="Arial" w:hAnsi="Arial" w:cs="Arial"/>
          <w:sz w:val="24"/>
          <w:szCs w:val="24"/>
        </w:rPr>
        <w:t>this point</w:t>
      </w:r>
      <w:r w:rsidR="009A41F4">
        <w:rPr>
          <w:rFonts w:ascii="Arial" w:hAnsi="Arial" w:cs="Arial"/>
          <w:sz w:val="24"/>
          <w:szCs w:val="24"/>
        </w:rPr>
        <w:t xml:space="preserve"> as the relief sought can thus not be granted</w:t>
      </w:r>
      <w:r w:rsidR="00305FE9" w:rsidRPr="001C25CA">
        <w:rPr>
          <w:rFonts w:ascii="Arial" w:hAnsi="Arial" w:cs="Arial"/>
          <w:sz w:val="24"/>
          <w:szCs w:val="24"/>
        </w:rPr>
        <w:t>.</w:t>
      </w:r>
      <w:r w:rsidR="00CE6404">
        <w:rPr>
          <w:rFonts w:ascii="Arial" w:hAnsi="Arial" w:cs="Arial"/>
          <w:sz w:val="24"/>
          <w:szCs w:val="24"/>
        </w:rPr>
        <w:t xml:space="preserve"> </w:t>
      </w:r>
    </w:p>
    <w:p w:rsidR="00305FE9" w:rsidRPr="001C25CA" w:rsidRDefault="00305FE9" w:rsidP="00305FE9">
      <w:pPr>
        <w:pStyle w:val="ListParagraph"/>
        <w:rPr>
          <w:rFonts w:ascii="Arial" w:hAnsi="Arial" w:cs="Arial"/>
          <w:sz w:val="24"/>
          <w:szCs w:val="24"/>
        </w:rPr>
      </w:pPr>
    </w:p>
    <w:p w:rsidR="00305FE9" w:rsidRPr="001C25CA" w:rsidRDefault="00305FE9"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lastRenderedPageBreak/>
        <w:t>I</w:t>
      </w:r>
      <w:r w:rsidR="000F61A4">
        <w:rPr>
          <w:rFonts w:ascii="Arial" w:hAnsi="Arial" w:cs="Arial"/>
          <w:sz w:val="24"/>
          <w:szCs w:val="24"/>
        </w:rPr>
        <w:t>t</w:t>
      </w:r>
      <w:r w:rsidRPr="001C25CA">
        <w:rPr>
          <w:rFonts w:ascii="Arial" w:hAnsi="Arial" w:cs="Arial"/>
          <w:sz w:val="24"/>
          <w:szCs w:val="24"/>
        </w:rPr>
        <w:t xml:space="preserve"> accordingly follows that </w:t>
      </w:r>
      <w:r w:rsidR="00450915">
        <w:rPr>
          <w:rFonts w:ascii="Arial" w:hAnsi="Arial" w:cs="Arial"/>
          <w:sz w:val="24"/>
          <w:szCs w:val="24"/>
        </w:rPr>
        <w:t xml:space="preserve">the </w:t>
      </w:r>
      <w:r w:rsidRPr="001C25CA">
        <w:rPr>
          <w:rFonts w:ascii="Arial" w:hAnsi="Arial" w:cs="Arial"/>
          <w:sz w:val="24"/>
          <w:szCs w:val="24"/>
        </w:rPr>
        <w:t>High Court did not err in rejecting the challenge upon s 76B of the Act.</w:t>
      </w:r>
    </w:p>
    <w:p w:rsidR="00305FE9" w:rsidRPr="001C25CA" w:rsidRDefault="00305FE9" w:rsidP="005821BB">
      <w:pPr>
        <w:rPr>
          <w:rFonts w:ascii="Arial" w:hAnsi="Arial" w:cs="Arial"/>
          <w:sz w:val="24"/>
          <w:szCs w:val="24"/>
        </w:rPr>
      </w:pPr>
    </w:p>
    <w:p w:rsidR="005821BB" w:rsidRPr="001C25CA" w:rsidRDefault="005821BB" w:rsidP="005821BB">
      <w:pPr>
        <w:rPr>
          <w:rFonts w:ascii="Arial" w:hAnsi="Arial" w:cs="Arial"/>
          <w:sz w:val="24"/>
          <w:szCs w:val="24"/>
          <w:u w:val="single"/>
        </w:rPr>
      </w:pPr>
      <w:r w:rsidRPr="001C25CA">
        <w:rPr>
          <w:rFonts w:ascii="Arial" w:hAnsi="Arial" w:cs="Arial"/>
          <w:sz w:val="24"/>
          <w:szCs w:val="24"/>
          <w:u w:val="single"/>
        </w:rPr>
        <w:t xml:space="preserve">The challenge upon the </w:t>
      </w:r>
      <w:r w:rsidR="001E4C77" w:rsidRPr="001C25CA">
        <w:rPr>
          <w:rFonts w:ascii="Arial" w:hAnsi="Arial" w:cs="Arial"/>
          <w:sz w:val="24"/>
          <w:szCs w:val="24"/>
          <w:u w:val="single"/>
        </w:rPr>
        <w:t>regulatio</w:t>
      </w:r>
      <w:r w:rsidRPr="001C25CA">
        <w:rPr>
          <w:rFonts w:ascii="Arial" w:hAnsi="Arial" w:cs="Arial"/>
          <w:sz w:val="24"/>
          <w:szCs w:val="24"/>
          <w:u w:val="single"/>
        </w:rPr>
        <w:t>ns</w:t>
      </w:r>
    </w:p>
    <w:p w:rsidR="00305FE9" w:rsidRDefault="005821BB"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As I have already said, the primary attack upon the validity </w:t>
      </w:r>
      <w:r w:rsidR="001E4C77" w:rsidRPr="001C25CA">
        <w:rPr>
          <w:rFonts w:ascii="Arial" w:hAnsi="Arial" w:cs="Arial"/>
          <w:sz w:val="24"/>
          <w:szCs w:val="24"/>
        </w:rPr>
        <w:t>regulatio</w:t>
      </w:r>
      <w:r w:rsidRPr="001C25CA">
        <w:rPr>
          <w:rFonts w:ascii="Arial" w:hAnsi="Arial" w:cs="Arial"/>
          <w:sz w:val="24"/>
          <w:szCs w:val="24"/>
        </w:rPr>
        <w:t xml:space="preserve">ns is that they were issued pursuant to a taxation scheme under s 76 and s 77 which is in conflict with the Constitution. That </w:t>
      </w:r>
      <w:r w:rsidR="00CE6404">
        <w:rPr>
          <w:rFonts w:ascii="Arial" w:hAnsi="Arial" w:cs="Arial"/>
          <w:sz w:val="24"/>
          <w:szCs w:val="24"/>
        </w:rPr>
        <w:t>premise has been</w:t>
      </w:r>
      <w:r w:rsidRPr="001C25CA">
        <w:rPr>
          <w:rFonts w:ascii="Arial" w:hAnsi="Arial" w:cs="Arial"/>
          <w:sz w:val="24"/>
          <w:szCs w:val="24"/>
        </w:rPr>
        <w:t xml:space="preserve"> shown to be unfounded.</w:t>
      </w:r>
      <w:r w:rsidR="00CE6404">
        <w:rPr>
          <w:rFonts w:ascii="Arial" w:hAnsi="Arial" w:cs="Arial"/>
          <w:sz w:val="24"/>
          <w:szCs w:val="24"/>
        </w:rPr>
        <w:t xml:space="preserve"> Several i</w:t>
      </w:r>
      <w:r w:rsidRPr="001C25CA">
        <w:rPr>
          <w:rFonts w:ascii="Arial" w:hAnsi="Arial" w:cs="Arial"/>
          <w:sz w:val="24"/>
          <w:szCs w:val="24"/>
        </w:rPr>
        <w:t xml:space="preserve">ndividual </w:t>
      </w:r>
      <w:r w:rsidR="001E4C77" w:rsidRPr="001C25CA">
        <w:rPr>
          <w:rFonts w:ascii="Arial" w:hAnsi="Arial" w:cs="Arial"/>
          <w:sz w:val="24"/>
          <w:szCs w:val="24"/>
        </w:rPr>
        <w:t>regulatio</w:t>
      </w:r>
      <w:r w:rsidRPr="001C25CA">
        <w:rPr>
          <w:rFonts w:ascii="Arial" w:hAnsi="Arial" w:cs="Arial"/>
          <w:sz w:val="24"/>
          <w:szCs w:val="24"/>
        </w:rPr>
        <w:t xml:space="preserve">ns were also challenged on further grounds which are separately specified with reference to each of the impugned </w:t>
      </w:r>
      <w:r w:rsidR="001E4C77" w:rsidRPr="001C25CA">
        <w:rPr>
          <w:rFonts w:ascii="Arial" w:hAnsi="Arial" w:cs="Arial"/>
          <w:sz w:val="24"/>
          <w:szCs w:val="24"/>
        </w:rPr>
        <w:t>regulatio</w:t>
      </w:r>
      <w:r w:rsidRPr="001C25CA">
        <w:rPr>
          <w:rFonts w:ascii="Arial" w:hAnsi="Arial" w:cs="Arial"/>
          <w:sz w:val="24"/>
          <w:szCs w:val="24"/>
        </w:rPr>
        <w:t>ns</w:t>
      </w:r>
      <w:r w:rsidR="00CE6404">
        <w:rPr>
          <w:rFonts w:ascii="Arial" w:hAnsi="Arial" w:cs="Arial"/>
          <w:sz w:val="24"/>
          <w:szCs w:val="24"/>
        </w:rPr>
        <w:t xml:space="preserve"> in respect of the challenges</w:t>
      </w:r>
      <w:r w:rsidRPr="001C25CA">
        <w:rPr>
          <w:rFonts w:ascii="Arial" w:hAnsi="Arial" w:cs="Arial"/>
          <w:sz w:val="24"/>
          <w:szCs w:val="24"/>
        </w:rPr>
        <w:t xml:space="preserve"> which remain in issue on appeal.</w:t>
      </w:r>
    </w:p>
    <w:p w:rsidR="004A5FD0" w:rsidRDefault="004A5FD0" w:rsidP="004A5FD0">
      <w:pPr>
        <w:pStyle w:val="NoSpacing"/>
        <w:spacing w:line="480" w:lineRule="auto"/>
        <w:jc w:val="both"/>
        <w:rPr>
          <w:rFonts w:ascii="Arial" w:hAnsi="Arial" w:cs="Arial"/>
          <w:sz w:val="24"/>
          <w:szCs w:val="24"/>
        </w:rPr>
      </w:pPr>
    </w:p>
    <w:p w:rsidR="004A5FD0" w:rsidRPr="001C25CA" w:rsidRDefault="00525868"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The regulations set out how the tax is to be administered. They provide for the valuation of agricultural land, the appointment, powers and duties of a valuer and the process of valuation, objections against values included in a provisional valuation roll, the establishment, powers and duties of the valuation court appointed to consider and determine objections against valuations, appeals from that court to the High Court, the validity of the valuation roll and alternations to it. The regulations also provide for the furnishing of returns and the assessment of land tax, rebates and interest on tax, its recovery and the service of notices.</w:t>
      </w:r>
    </w:p>
    <w:p w:rsidR="00305FE9" w:rsidRDefault="00305FE9" w:rsidP="00CC7A02">
      <w:pPr>
        <w:rPr>
          <w:rFonts w:ascii="Arial" w:hAnsi="Arial" w:cs="Arial"/>
          <w:sz w:val="24"/>
          <w:szCs w:val="24"/>
        </w:rPr>
      </w:pPr>
    </w:p>
    <w:p w:rsidR="00CC7A02" w:rsidRPr="001C25CA" w:rsidRDefault="001E4C77" w:rsidP="00CC7A02">
      <w:pPr>
        <w:rPr>
          <w:rFonts w:ascii="Arial" w:hAnsi="Arial" w:cs="Arial"/>
          <w:sz w:val="24"/>
          <w:szCs w:val="24"/>
          <w:u w:val="single"/>
        </w:rPr>
      </w:pPr>
      <w:r w:rsidRPr="001C25CA">
        <w:rPr>
          <w:rFonts w:ascii="Arial" w:hAnsi="Arial" w:cs="Arial"/>
          <w:sz w:val="24"/>
          <w:szCs w:val="24"/>
          <w:u w:val="single"/>
        </w:rPr>
        <w:t>Regulation</w:t>
      </w:r>
      <w:r w:rsidR="00CC7A02" w:rsidRPr="001C25CA">
        <w:rPr>
          <w:rFonts w:ascii="Arial" w:hAnsi="Arial" w:cs="Arial"/>
          <w:sz w:val="24"/>
          <w:szCs w:val="24"/>
          <w:u w:val="single"/>
        </w:rPr>
        <w:t xml:space="preserve"> 4(4)</w:t>
      </w:r>
    </w:p>
    <w:p w:rsidR="00305FE9" w:rsidRPr="001C25CA" w:rsidRDefault="001E4C77"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Regulation</w:t>
      </w:r>
      <w:r w:rsidR="00CC7A02" w:rsidRPr="001C25CA">
        <w:rPr>
          <w:rFonts w:ascii="Arial" w:hAnsi="Arial" w:cs="Arial"/>
          <w:sz w:val="24"/>
          <w:szCs w:val="24"/>
        </w:rPr>
        <w:t xml:space="preserve"> 4 deals with the appointment, p</w:t>
      </w:r>
      <w:r w:rsidR="00CE6404">
        <w:rPr>
          <w:rFonts w:ascii="Arial" w:hAnsi="Arial" w:cs="Arial"/>
          <w:sz w:val="24"/>
          <w:szCs w:val="24"/>
        </w:rPr>
        <w:t>owers and duties of the valuer. S</w:t>
      </w:r>
      <w:r w:rsidR="00CC7A02" w:rsidRPr="001C25CA">
        <w:rPr>
          <w:rFonts w:ascii="Arial" w:hAnsi="Arial" w:cs="Arial"/>
          <w:sz w:val="24"/>
          <w:szCs w:val="24"/>
        </w:rPr>
        <w:t>ub-</w:t>
      </w:r>
      <w:r w:rsidRPr="001C25CA">
        <w:rPr>
          <w:rFonts w:ascii="Arial" w:hAnsi="Arial" w:cs="Arial"/>
          <w:sz w:val="24"/>
          <w:szCs w:val="24"/>
        </w:rPr>
        <w:t>regulation</w:t>
      </w:r>
      <w:r w:rsidR="00CC7A02" w:rsidRPr="001C25CA">
        <w:rPr>
          <w:rFonts w:ascii="Arial" w:hAnsi="Arial" w:cs="Arial"/>
          <w:sz w:val="24"/>
          <w:szCs w:val="24"/>
        </w:rPr>
        <w:t xml:space="preserve"> 4(4) provides:</w:t>
      </w:r>
    </w:p>
    <w:p w:rsidR="00CC7A02" w:rsidRPr="001C25CA" w:rsidRDefault="00CC7A02" w:rsidP="00CC7A02">
      <w:pPr>
        <w:pStyle w:val="NoSpacing"/>
        <w:spacing w:line="480" w:lineRule="auto"/>
        <w:jc w:val="both"/>
        <w:rPr>
          <w:rFonts w:ascii="Arial" w:hAnsi="Arial" w:cs="Arial"/>
          <w:sz w:val="24"/>
          <w:szCs w:val="24"/>
        </w:rPr>
      </w:pPr>
    </w:p>
    <w:p w:rsidR="00CC7A02" w:rsidRPr="00B55A60" w:rsidRDefault="00CC7A02" w:rsidP="00B55A60">
      <w:pPr>
        <w:pStyle w:val="NoSpacing"/>
        <w:spacing w:line="360" w:lineRule="auto"/>
        <w:ind w:left="720"/>
        <w:jc w:val="both"/>
        <w:rPr>
          <w:rFonts w:ascii="Arial" w:hAnsi="Arial" w:cs="Arial"/>
        </w:rPr>
      </w:pPr>
      <w:r w:rsidRPr="00B55A60">
        <w:rPr>
          <w:rFonts w:ascii="Arial" w:hAnsi="Arial" w:cs="Arial"/>
        </w:rPr>
        <w:t>‘</w:t>
      </w:r>
      <w:r w:rsidR="00B55A60" w:rsidRPr="00B55A60">
        <w:rPr>
          <w:rFonts w:ascii="Arial" w:hAnsi="Arial" w:cs="Arial"/>
        </w:rPr>
        <w:t>The minister must cause a certificate of appointment in such a form as the Minister may determine to be issued to a valuer upon his or her designation or appointment.</w:t>
      </w:r>
      <w:r w:rsidRPr="00B55A60">
        <w:rPr>
          <w:rFonts w:ascii="Arial" w:hAnsi="Arial" w:cs="Arial"/>
        </w:rPr>
        <w:t>’</w:t>
      </w:r>
    </w:p>
    <w:p w:rsidR="006C7E78" w:rsidRPr="001C25CA" w:rsidRDefault="006C7E78" w:rsidP="006C7E78">
      <w:pPr>
        <w:pStyle w:val="ListParagraph"/>
        <w:rPr>
          <w:rFonts w:ascii="Arial" w:hAnsi="Arial" w:cs="Arial"/>
          <w:sz w:val="24"/>
          <w:szCs w:val="24"/>
        </w:rPr>
      </w:pPr>
    </w:p>
    <w:p w:rsidR="006C7E78" w:rsidRPr="001C25CA" w:rsidRDefault="00CC7A02"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lastRenderedPageBreak/>
        <w:t xml:space="preserve">The appellant’s complaint against this </w:t>
      </w:r>
      <w:r w:rsidR="001E4C77" w:rsidRPr="001C25CA">
        <w:rPr>
          <w:rFonts w:ascii="Arial" w:hAnsi="Arial" w:cs="Arial"/>
          <w:sz w:val="24"/>
          <w:szCs w:val="24"/>
        </w:rPr>
        <w:t>regulation</w:t>
      </w:r>
      <w:r w:rsidRPr="001C25CA">
        <w:rPr>
          <w:rFonts w:ascii="Arial" w:hAnsi="Arial" w:cs="Arial"/>
          <w:sz w:val="24"/>
          <w:szCs w:val="24"/>
        </w:rPr>
        <w:t xml:space="preserve"> is that ‘the form should be predetermined by (the Minister) and published’. </w:t>
      </w:r>
    </w:p>
    <w:p w:rsidR="002E426A" w:rsidRPr="001C25CA" w:rsidRDefault="002E426A" w:rsidP="002E426A">
      <w:pPr>
        <w:pStyle w:val="ListParagraph"/>
        <w:rPr>
          <w:rFonts w:ascii="Arial" w:hAnsi="Arial" w:cs="Arial"/>
          <w:sz w:val="24"/>
          <w:szCs w:val="24"/>
        </w:rPr>
      </w:pPr>
    </w:p>
    <w:p w:rsidR="00CE6404" w:rsidRDefault="00CC7A02"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Mr Tötemeyer argued that the appointment is</w:t>
      </w:r>
      <w:r w:rsidR="00CE6404">
        <w:rPr>
          <w:rFonts w:ascii="Arial" w:hAnsi="Arial" w:cs="Arial"/>
          <w:sz w:val="24"/>
          <w:szCs w:val="24"/>
        </w:rPr>
        <w:t xml:space="preserve"> thus</w:t>
      </w:r>
      <w:r w:rsidRPr="001C25CA">
        <w:rPr>
          <w:rFonts w:ascii="Arial" w:hAnsi="Arial" w:cs="Arial"/>
          <w:sz w:val="24"/>
          <w:szCs w:val="24"/>
        </w:rPr>
        <w:t xml:space="preserve"> ‘secretive’ and that this sub-</w:t>
      </w:r>
      <w:r w:rsidR="001E4C77" w:rsidRPr="001C25CA">
        <w:rPr>
          <w:rFonts w:ascii="Arial" w:hAnsi="Arial" w:cs="Arial"/>
          <w:sz w:val="24"/>
          <w:szCs w:val="24"/>
        </w:rPr>
        <w:t>regulation</w:t>
      </w:r>
      <w:r w:rsidRPr="001C25CA">
        <w:rPr>
          <w:rFonts w:ascii="Arial" w:hAnsi="Arial" w:cs="Arial"/>
          <w:sz w:val="24"/>
          <w:szCs w:val="24"/>
        </w:rPr>
        <w:t xml:space="preserve"> is void as a consequence. Quite how the appointment is impermissibly secret</w:t>
      </w:r>
      <w:r w:rsidR="00CE6404">
        <w:rPr>
          <w:rFonts w:ascii="Arial" w:hAnsi="Arial" w:cs="Arial"/>
          <w:sz w:val="24"/>
          <w:szCs w:val="24"/>
        </w:rPr>
        <w:t>ive</w:t>
      </w:r>
      <w:r w:rsidRPr="001C25CA">
        <w:rPr>
          <w:rFonts w:ascii="Arial" w:hAnsi="Arial" w:cs="Arial"/>
          <w:sz w:val="24"/>
          <w:szCs w:val="24"/>
        </w:rPr>
        <w:t xml:space="preserve"> is not self-eviden</w:t>
      </w:r>
      <w:r w:rsidR="00CE6404">
        <w:rPr>
          <w:rFonts w:ascii="Arial" w:hAnsi="Arial" w:cs="Arial"/>
          <w:sz w:val="24"/>
          <w:szCs w:val="24"/>
        </w:rPr>
        <w:t>t</w:t>
      </w:r>
      <w:r w:rsidRPr="001C25CA">
        <w:rPr>
          <w:rFonts w:ascii="Arial" w:hAnsi="Arial" w:cs="Arial"/>
          <w:sz w:val="24"/>
          <w:szCs w:val="24"/>
        </w:rPr>
        <w:t>. Mr Tötemeyer argued the issue of a</w:t>
      </w:r>
      <w:r w:rsidR="00CE6404">
        <w:rPr>
          <w:rFonts w:ascii="Arial" w:hAnsi="Arial" w:cs="Arial"/>
          <w:sz w:val="24"/>
          <w:szCs w:val="24"/>
        </w:rPr>
        <w:t>n appointment</w:t>
      </w:r>
      <w:r w:rsidRPr="001C25CA">
        <w:rPr>
          <w:rFonts w:ascii="Arial" w:hAnsi="Arial" w:cs="Arial"/>
          <w:sz w:val="24"/>
          <w:szCs w:val="24"/>
        </w:rPr>
        <w:t xml:space="preserve"> certificate is a jurisdictional fact in the process of determining value and the form should be predetermined and should be ‘transparent, comply with open justice and must not be vague’. But neither the founding papers nor his argument explain</w:t>
      </w:r>
      <w:r w:rsidR="00CE6404">
        <w:rPr>
          <w:rFonts w:ascii="Arial" w:hAnsi="Arial" w:cs="Arial"/>
          <w:sz w:val="24"/>
          <w:szCs w:val="24"/>
        </w:rPr>
        <w:t>s</w:t>
      </w:r>
      <w:r w:rsidRPr="001C25CA">
        <w:rPr>
          <w:rFonts w:ascii="Arial" w:hAnsi="Arial" w:cs="Arial"/>
          <w:sz w:val="24"/>
          <w:szCs w:val="24"/>
        </w:rPr>
        <w:t xml:space="preserve"> why the form should be ‘predetermined and published’. Nor were any practical reasons </w:t>
      </w:r>
      <w:r w:rsidR="00CE6404">
        <w:rPr>
          <w:rFonts w:ascii="Arial" w:hAnsi="Arial" w:cs="Arial"/>
          <w:sz w:val="24"/>
          <w:szCs w:val="24"/>
        </w:rPr>
        <w:t>advanced as to</w:t>
      </w:r>
      <w:r w:rsidRPr="001C25CA">
        <w:rPr>
          <w:rFonts w:ascii="Arial" w:hAnsi="Arial" w:cs="Arial"/>
          <w:sz w:val="24"/>
          <w:szCs w:val="24"/>
        </w:rPr>
        <w:t xml:space="preserve"> why the form of an appointment should be</w:t>
      </w:r>
      <w:r w:rsidR="009A41F4">
        <w:rPr>
          <w:rFonts w:ascii="Arial" w:hAnsi="Arial" w:cs="Arial"/>
          <w:sz w:val="24"/>
          <w:szCs w:val="24"/>
        </w:rPr>
        <w:t xml:space="preserve"> ‘predetermined a</w:t>
      </w:r>
      <w:r w:rsidR="004A5FD0">
        <w:rPr>
          <w:rFonts w:ascii="Arial" w:hAnsi="Arial" w:cs="Arial"/>
          <w:sz w:val="24"/>
          <w:szCs w:val="24"/>
        </w:rPr>
        <w:t>nd published’ and why</w:t>
      </w:r>
      <w:r w:rsidR="009A41F4">
        <w:rPr>
          <w:rFonts w:ascii="Arial" w:hAnsi="Arial" w:cs="Arial"/>
          <w:sz w:val="24"/>
          <w:szCs w:val="24"/>
        </w:rPr>
        <w:t xml:space="preserve"> </w:t>
      </w:r>
      <w:r w:rsidR="006515A9">
        <w:rPr>
          <w:rFonts w:ascii="Arial" w:hAnsi="Arial" w:cs="Arial"/>
          <w:sz w:val="24"/>
          <w:szCs w:val="24"/>
        </w:rPr>
        <w:t>the absence of predetermination and publicat</w:t>
      </w:r>
      <w:r w:rsidR="004A5FD0">
        <w:rPr>
          <w:rFonts w:ascii="Arial" w:hAnsi="Arial" w:cs="Arial"/>
          <w:sz w:val="24"/>
          <w:szCs w:val="24"/>
        </w:rPr>
        <w:t>ion renders this provision void.</w:t>
      </w:r>
    </w:p>
    <w:p w:rsidR="00CE6404" w:rsidRDefault="00CE6404" w:rsidP="00CE6404">
      <w:pPr>
        <w:pStyle w:val="ListParagraph"/>
        <w:rPr>
          <w:rFonts w:ascii="Arial" w:hAnsi="Arial" w:cs="Arial"/>
          <w:sz w:val="24"/>
          <w:szCs w:val="24"/>
        </w:rPr>
      </w:pPr>
    </w:p>
    <w:p w:rsidR="002E426A" w:rsidRPr="001C25CA" w:rsidRDefault="00CC7A02"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 appellant singularly failed to show how and in what respects this sub-</w:t>
      </w:r>
      <w:r w:rsidR="001E4C77" w:rsidRPr="001C25CA">
        <w:rPr>
          <w:rFonts w:ascii="Arial" w:hAnsi="Arial" w:cs="Arial"/>
          <w:sz w:val="24"/>
          <w:szCs w:val="24"/>
        </w:rPr>
        <w:t>regulation</w:t>
      </w:r>
      <w:r w:rsidRPr="001C25CA">
        <w:rPr>
          <w:rFonts w:ascii="Arial" w:hAnsi="Arial" w:cs="Arial"/>
          <w:sz w:val="24"/>
          <w:szCs w:val="24"/>
        </w:rPr>
        <w:t xml:space="preserve"> could conceivably be void on the grounds stated in the notice of motion, not amplified in the founding papers and only cryptically referred to in argument.</w:t>
      </w:r>
    </w:p>
    <w:p w:rsidR="00960DA5" w:rsidRPr="001C25CA" w:rsidRDefault="00960DA5" w:rsidP="00960DA5">
      <w:pPr>
        <w:rPr>
          <w:rFonts w:ascii="Arial" w:hAnsi="Arial" w:cs="Arial"/>
          <w:sz w:val="24"/>
          <w:szCs w:val="24"/>
        </w:rPr>
      </w:pPr>
    </w:p>
    <w:p w:rsidR="00960DA5" w:rsidRPr="001C25CA" w:rsidRDefault="001E4C77" w:rsidP="00960DA5">
      <w:pPr>
        <w:rPr>
          <w:rFonts w:ascii="Arial" w:hAnsi="Arial" w:cs="Arial"/>
          <w:sz w:val="24"/>
          <w:szCs w:val="24"/>
          <w:u w:val="single"/>
        </w:rPr>
      </w:pPr>
      <w:r w:rsidRPr="001C25CA">
        <w:rPr>
          <w:rFonts w:ascii="Arial" w:hAnsi="Arial" w:cs="Arial"/>
          <w:sz w:val="24"/>
          <w:szCs w:val="24"/>
          <w:u w:val="single"/>
        </w:rPr>
        <w:t>Regulation</w:t>
      </w:r>
      <w:r w:rsidR="00960DA5" w:rsidRPr="001C25CA">
        <w:rPr>
          <w:rFonts w:ascii="Arial" w:hAnsi="Arial" w:cs="Arial"/>
          <w:sz w:val="24"/>
          <w:szCs w:val="24"/>
          <w:u w:val="single"/>
        </w:rPr>
        <w:t xml:space="preserve"> 4(7)(a) and (b)</w:t>
      </w:r>
    </w:p>
    <w:p w:rsidR="00960DA5" w:rsidRPr="001C25CA" w:rsidRDefault="00960DA5" w:rsidP="00960DA5">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Sub-</w:t>
      </w:r>
      <w:r w:rsidR="00CE6404">
        <w:rPr>
          <w:rFonts w:ascii="Arial" w:hAnsi="Arial" w:cs="Arial"/>
          <w:sz w:val="24"/>
          <w:szCs w:val="24"/>
        </w:rPr>
        <w:t xml:space="preserve">regulation 4(7) </w:t>
      </w:r>
      <w:r w:rsidRPr="001C25CA">
        <w:rPr>
          <w:rFonts w:ascii="Arial" w:hAnsi="Arial" w:cs="Arial"/>
          <w:sz w:val="24"/>
          <w:szCs w:val="24"/>
        </w:rPr>
        <w:t>provides:</w:t>
      </w:r>
    </w:p>
    <w:p w:rsidR="00960DA5" w:rsidRPr="001C25CA" w:rsidRDefault="00960DA5" w:rsidP="00960DA5">
      <w:pPr>
        <w:rPr>
          <w:rFonts w:ascii="Arial" w:hAnsi="Arial" w:cs="Arial"/>
          <w:sz w:val="24"/>
          <w:szCs w:val="24"/>
        </w:rPr>
      </w:pPr>
    </w:p>
    <w:p w:rsidR="007807B5" w:rsidRPr="007807B5" w:rsidRDefault="00960DA5" w:rsidP="007807B5">
      <w:pPr>
        <w:spacing w:line="360" w:lineRule="auto"/>
        <w:ind w:left="720"/>
        <w:jc w:val="both"/>
        <w:rPr>
          <w:rFonts w:ascii="Arial" w:hAnsi="Arial" w:cs="Arial"/>
        </w:rPr>
      </w:pPr>
      <w:r w:rsidRPr="007807B5">
        <w:rPr>
          <w:rFonts w:ascii="Arial" w:hAnsi="Arial" w:cs="Arial"/>
        </w:rPr>
        <w:t>‘</w:t>
      </w:r>
      <w:r w:rsidR="007807B5" w:rsidRPr="007807B5">
        <w:rPr>
          <w:rFonts w:ascii="Arial" w:hAnsi="Arial" w:cs="Arial"/>
        </w:rPr>
        <w:t>(7)</w:t>
      </w:r>
      <w:r w:rsidR="007807B5" w:rsidRPr="007807B5">
        <w:rPr>
          <w:rFonts w:ascii="Arial" w:hAnsi="Arial" w:cs="Arial"/>
        </w:rPr>
        <w:tab/>
        <w:t xml:space="preserve">In determining the value of any agricultural land in terms of these regulations, a valuer – </w:t>
      </w:r>
    </w:p>
    <w:p w:rsidR="007807B5" w:rsidRPr="007807B5" w:rsidRDefault="007807B5" w:rsidP="007807B5">
      <w:pPr>
        <w:pStyle w:val="ListParagraph"/>
        <w:numPr>
          <w:ilvl w:val="0"/>
          <w:numId w:val="13"/>
        </w:numPr>
        <w:spacing w:line="360" w:lineRule="auto"/>
        <w:jc w:val="both"/>
        <w:rPr>
          <w:rFonts w:ascii="Arial" w:hAnsi="Arial" w:cs="Arial"/>
        </w:rPr>
      </w:pPr>
      <w:r w:rsidRPr="007807B5">
        <w:rPr>
          <w:rFonts w:ascii="Arial" w:hAnsi="Arial" w:cs="Arial"/>
        </w:rPr>
        <w:t xml:space="preserve">must have due regard to the carrying capacity of such land as supplied by the Ministry administering agricultural affairs at the date of valuation; and </w:t>
      </w:r>
    </w:p>
    <w:p w:rsidR="007807B5" w:rsidRPr="007807B5" w:rsidRDefault="007807B5" w:rsidP="007807B5">
      <w:pPr>
        <w:pStyle w:val="ListParagraph"/>
        <w:spacing w:line="360" w:lineRule="auto"/>
        <w:ind w:left="1800"/>
        <w:jc w:val="both"/>
        <w:rPr>
          <w:rFonts w:ascii="Arial" w:hAnsi="Arial" w:cs="Arial"/>
        </w:rPr>
      </w:pPr>
    </w:p>
    <w:p w:rsidR="007807B5" w:rsidRPr="007807B5" w:rsidRDefault="007807B5" w:rsidP="007807B5">
      <w:pPr>
        <w:pStyle w:val="ListParagraph"/>
        <w:numPr>
          <w:ilvl w:val="0"/>
          <w:numId w:val="13"/>
        </w:numPr>
        <w:spacing w:line="360" w:lineRule="auto"/>
        <w:jc w:val="both"/>
        <w:rPr>
          <w:rFonts w:ascii="Arial" w:hAnsi="Arial" w:cs="Arial"/>
        </w:rPr>
      </w:pPr>
      <w:r w:rsidRPr="007807B5">
        <w:rPr>
          <w:rFonts w:ascii="Arial" w:hAnsi="Arial" w:cs="Arial"/>
        </w:rPr>
        <w:t xml:space="preserve">may use a mass appraisal approach to value the land and may – </w:t>
      </w:r>
    </w:p>
    <w:p w:rsidR="007807B5" w:rsidRPr="007807B5" w:rsidRDefault="007807B5" w:rsidP="007807B5">
      <w:pPr>
        <w:pStyle w:val="ListParagraph"/>
        <w:spacing w:line="360" w:lineRule="auto"/>
        <w:jc w:val="both"/>
        <w:rPr>
          <w:rFonts w:ascii="Arial" w:hAnsi="Arial" w:cs="Arial"/>
        </w:rPr>
      </w:pPr>
    </w:p>
    <w:p w:rsidR="007807B5" w:rsidRPr="007807B5" w:rsidRDefault="007807B5" w:rsidP="007807B5">
      <w:pPr>
        <w:pStyle w:val="ListParagraph"/>
        <w:numPr>
          <w:ilvl w:val="0"/>
          <w:numId w:val="14"/>
        </w:numPr>
        <w:spacing w:line="360" w:lineRule="auto"/>
        <w:jc w:val="both"/>
        <w:rPr>
          <w:rFonts w:ascii="Arial" w:hAnsi="Arial" w:cs="Arial"/>
        </w:rPr>
      </w:pPr>
      <w:r w:rsidRPr="007807B5">
        <w:rPr>
          <w:rFonts w:ascii="Arial" w:hAnsi="Arial" w:cs="Arial"/>
        </w:rPr>
        <w:t>divide the Republic of Namibia cadastral map into value zones to create an iso-value map showing the values of agricultural land per hectare;</w:t>
      </w:r>
    </w:p>
    <w:p w:rsidR="007807B5" w:rsidRPr="007807B5" w:rsidRDefault="007807B5" w:rsidP="007807B5">
      <w:pPr>
        <w:pStyle w:val="ListParagraph"/>
        <w:spacing w:line="360" w:lineRule="auto"/>
        <w:ind w:left="2520"/>
        <w:jc w:val="both"/>
        <w:rPr>
          <w:rFonts w:ascii="Arial" w:hAnsi="Arial" w:cs="Arial"/>
        </w:rPr>
      </w:pPr>
    </w:p>
    <w:p w:rsidR="00960DA5" w:rsidRPr="007807B5" w:rsidRDefault="007807B5" w:rsidP="007807B5">
      <w:pPr>
        <w:pStyle w:val="ListParagraph"/>
        <w:numPr>
          <w:ilvl w:val="0"/>
          <w:numId w:val="14"/>
        </w:numPr>
        <w:spacing w:line="360" w:lineRule="auto"/>
        <w:jc w:val="both"/>
        <w:rPr>
          <w:rFonts w:ascii="Arial" w:hAnsi="Arial" w:cs="Arial"/>
        </w:rPr>
      </w:pPr>
      <w:r w:rsidRPr="007807B5">
        <w:rPr>
          <w:rFonts w:ascii="Arial" w:hAnsi="Arial" w:cs="Arial"/>
        </w:rPr>
        <w:t>(ii) create value zones each of which may contain agricultural land with the same carrying capacity classification, and any agricultural land that lies in two or more carrying capacity classifications may, for the purpose of preparing value zones, be placed in the carrying capacity classification that constitutes the greater part of such land.</w:t>
      </w:r>
      <w:r w:rsidR="00960DA5" w:rsidRPr="007807B5">
        <w:rPr>
          <w:rFonts w:ascii="Arial" w:hAnsi="Arial" w:cs="Arial"/>
        </w:rPr>
        <w:t>’</w:t>
      </w:r>
    </w:p>
    <w:p w:rsidR="00960DA5" w:rsidRPr="001C25CA" w:rsidRDefault="00960DA5" w:rsidP="009510CB">
      <w:pPr>
        <w:spacing w:after="0"/>
        <w:rPr>
          <w:rFonts w:ascii="Arial" w:hAnsi="Arial" w:cs="Arial"/>
          <w:sz w:val="24"/>
          <w:szCs w:val="24"/>
        </w:rPr>
      </w:pPr>
    </w:p>
    <w:p w:rsidR="00CE6404" w:rsidRDefault="00960DA5"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In the notice of motion, the appellant contends that </w:t>
      </w:r>
      <w:r w:rsidR="001E4C77" w:rsidRPr="001C25CA">
        <w:rPr>
          <w:rFonts w:ascii="Arial" w:hAnsi="Arial" w:cs="Arial"/>
          <w:sz w:val="24"/>
          <w:szCs w:val="24"/>
        </w:rPr>
        <w:t>regulation</w:t>
      </w:r>
      <w:r w:rsidRPr="001C25CA">
        <w:rPr>
          <w:rFonts w:ascii="Arial" w:hAnsi="Arial" w:cs="Arial"/>
          <w:sz w:val="24"/>
          <w:szCs w:val="24"/>
        </w:rPr>
        <w:t xml:space="preserve"> 4(7)(a) is invalid ‘because it is inconsistent with the rule of law, Art</w:t>
      </w:r>
      <w:r w:rsidR="00497DB0">
        <w:rPr>
          <w:rFonts w:ascii="Arial" w:hAnsi="Arial" w:cs="Arial"/>
          <w:sz w:val="24"/>
          <w:szCs w:val="24"/>
        </w:rPr>
        <w:t>s</w:t>
      </w:r>
      <w:r w:rsidRPr="001C25CA">
        <w:rPr>
          <w:rFonts w:ascii="Arial" w:hAnsi="Arial" w:cs="Arial"/>
          <w:sz w:val="24"/>
          <w:szCs w:val="24"/>
        </w:rPr>
        <w:t xml:space="preserve"> 12(1)(a) and 18 of the Constitution, the common law and the third paragraph of the preamble’. In argument, this provision was also described as secretive and </w:t>
      </w:r>
      <w:r w:rsidR="00CE6404">
        <w:rPr>
          <w:rFonts w:ascii="Arial" w:hAnsi="Arial" w:cs="Arial"/>
          <w:sz w:val="24"/>
          <w:szCs w:val="24"/>
        </w:rPr>
        <w:t xml:space="preserve">that </w:t>
      </w:r>
      <w:r w:rsidR="006515A9">
        <w:rPr>
          <w:rFonts w:ascii="Arial" w:hAnsi="Arial" w:cs="Arial"/>
          <w:sz w:val="24"/>
          <w:szCs w:val="24"/>
        </w:rPr>
        <w:t xml:space="preserve">it </w:t>
      </w:r>
      <w:r w:rsidRPr="001C25CA">
        <w:rPr>
          <w:rFonts w:ascii="Arial" w:hAnsi="Arial" w:cs="Arial"/>
          <w:sz w:val="24"/>
          <w:szCs w:val="24"/>
        </w:rPr>
        <w:t>offend</w:t>
      </w:r>
      <w:r w:rsidR="00CE6404">
        <w:rPr>
          <w:rFonts w:ascii="Arial" w:hAnsi="Arial" w:cs="Arial"/>
          <w:sz w:val="24"/>
          <w:szCs w:val="24"/>
        </w:rPr>
        <w:t>ed</w:t>
      </w:r>
      <w:r w:rsidRPr="001C25CA">
        <w:rPr>
          <w:rFonts w:ascii="Arial" w:hAnsi="Arial" w:cs="Arial"/>
          <w:sz w:val="24"/>
          <w:szCs w:val="24"/>
        </w:rPr>
        <w:t xml:space="preserve"> against the right to a fair trial in Art 12(1)(a)</w:t>
      </w:r>
      <w:r w:rsidR="00CE6404">
        <w:rPr>
          <w:rFonts w:ascii="Arial" w:hAnsi="Arial" w:cs="Arial"/>
          <w:sz w:val="24"/>
          <w:szCs w:val="24"/>
        </w:rPr>
        <w:t>,</w:t>
      </w:r>
      <w:r w:rsidRPr="001C25CA">
        <w:rPr>
          <w:rFonts w:ascii="Arial" w:hAnsi="Arial" w:cs="Arial"/>
          <w:sz w:val="24"/>
          <w:szCs w:val="24"/>
        </w:rPr>
        <w:t xml:space="preserve"> transparency and open justice’. </w:t>
      </w:r>
    </w:p>
    <w:p w:rsidR="00CE6404" w:rsidRDefault="00CE6404" w:rsidP="00CE6404">
      <w:pPr>
        <w:pStyle w:val="NoSpacing"/>
        <w:spacing w:line="480" w:lineRule="auto"/>
        <w:jc w:val="both"/>
        <w:rPr>
          <w:rFonts w:ascii="Arial" w:hAnsi="Arial" w:cs="Arial"/>
          <w:sz w:val="24"/>
          <w:szCs w:val="24"/>
        </w:rPr>
      </w:pPr>
    </w:p>
    <w:p w:rsidR="00CE6404" w:rsidRDefault="00960DA5"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Nowhere is it explained in the papers quite how this provision has these unconstitutional consequences. Nor was this explained in written argument. When pressed on this and other challenges, Mr Tötemeyer argued that the valuation process should be considered ‘conjunctively’ and viewed as a  whole</w:t>
      </w:r>
      <w:r w:rsidR="00CE6404">
        <w:rPr>
          <w:rFonts w:ascii="Arial" w:hAnsi="Arial" w:cs="Arial"/>
          <w:sz w:val="24"/>
          <w:szCs w:val="24"/>
        </w:rPr>
        <w:t>,</w:t>
      </w:r>
      <w:r w:rsidRPr="001C25CA">
        <w:rPr>
          <w:rFonts w:ascii="Arial" w:hAnsi="Arial" w:cs="Arial"/>
          <w:sz w:val="24"/>
          <w:szCs w:val="24"/>
        </w:rPr>
        <w:t xml:space="preserve"> together with other </w:t>
      </w:r>
      <w:r w:rsidR="00CE6404">
        <w:rPr>
          <w:rFonts w:ascii="Arial" w:hAnsi="Arial" w:cs="Arial"/>
          <w:sz w:val="24"/>
          <w:szCs w:val="24"/>
        </w:rPr>
        <w:t>provisions</w:t>
      </w:r>
      <w:r w:rsidRPr="001C25CA">
        <w:rPr>
          <w:rFonts w:ascii="Arial" w:hAnsi="Arial" w:cs="Arial"/>
          <w:sz w:val="24"/>
          <w:szCs w:val="24"/>
        </w:rPr>
        <w:t xml:space="preserve"> where the standard of evidence is referred to and appeals </w:t>
      </w:r>
      <w:r w:rsidR="00CE6404">
        <w:rPr>
          <w:rFonts w:ascii="Arial" w:hAnsi="Arial" w:cs="Arial"/>
          <w:sz w:val="24"/>
          <w:szCs w:val="24"/>
        </w:rPr>
        <w:t xml:space="preserve">are </w:t>
      </w:r>
      <w:r w:rsidRPr="001C25CA">
        <w:rPr>
          <w:rFonts w:ascii="Arial" w:hAnsi="Arial" w:cs="Arial"/>
          <w:sz w:val="24"/>
          <w:szCs w:val="24"/>
        </w:rPr>
        <w:t xml:space="preserve">confined to a question of law. </w:t>
      </w:r>
    </w:p>
    <w:p w:rsidR="009A41F4" w:rsidRDefault="009A41F4" w:rsidP="009A41F4">
      <w:pPr>
        <w:pStyle w:val="NoSpacing"/>
        <w:spacing w:line="480" w:lineRule="auto"/>
        <w:jc w:val="both"/>
        <w:rPr>
          <w:rFonts w:ascii="Arial" w:hAnsi="Arial" w:cs="Arial"/>
          <w:sz w:val="24"/>
          <w:szCs w:val="24"/>
        </w:rPr>
      </w:pPr>
    </w:p>
    <w:p w:rsidR="000A3F6B" w:rsidRDefault="00CE6404"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It wa</w:t>
      </w:r>
      <w:r w:rsidR="00960DA5" w:rsidRPr="001C25CA">
        <w:rPr>
          <w:rFonts w:ascii="Arial" w:hAnsi="Arial" w:cs="Arial"/>
          <w:sz w:val="24"/>
          <w:szCs w:val="24"/>
        </w:rPr>
        <w:t xml:space="preserve">s not explained how the ‘open justice’ concept is offended. That principle requires that courts are to be open to the public as is emphatically enshrined in </w:t>
      </w:r>
      <w:r w:rsidR="00450915">
        <w:rPr>
          <w:rFonts w:ascii="Arial" w:hAnsi="Arial" w:cs="Arial"/>
          <w:sz w:val="24"/>
          <w:szCs w:val="24"/>
        </w:rPr>
        <w:t xml:space="preserve">      </w:t>
      </w:r>
      <w:r w:rsidR="00960DA5" w:rsidRPr="001C25CA">
        <w:rPr>
          <w:rFonts w:ascii="Arial" w:hAnsi="Arial" w:cs="Arial"/>
          <w:sz w:val="24"/>
          <w:szCs w:val="24"/>
        </w:rPr>
        <w:t>Art 12(1). Whether or not and th</w:t>
      </w:r>
      <w:r w:rsidR="00BC05AF" w:rsidRPr="001C25CA">
        <w:rPr>
          <w:rFonts w:ascii="Arial" w:hAnsi="Arial" w:cs="Arial"/>
          <w:sz w:val="24"/>
          <w:szCs w:val="24"/>
        </w:rPr>
        <w:t xml:space="preserve">e extent to which a valuer has </w:t>
      </w:r>
      <w:r w:rsidR="000A3F6B">
        <w:rPr>
          <w:rFonts w:ascii="Arial" w:hAnsi="Arial" w:cs="Arial"/>
          <w:sz w:val="24"/>
          <w:szCs w:val="24"/>
        </w:rPr>
        <w:t>regard</w:t>
      </w:r>
      <w:r w:rsidR="00BC05AF" w:rsidRPr="001C25CA">
        <w:rPr>
          <w:rFonts w:ascii="Arial" w:hAnsi="Arial" w:cs="Arial"/>
          <w:sz w:val="24"/>
          <w:szCs w:val="24"/>
        </w:rPr>
        <w:t xml:space="preserve"> to the carrying </w:t>
      </w:r>
      <w:r w:rsidR="00BC05AF" w:rsidRPr="001C25CA">
        <w:rPr>
          <w:rFonts w:ascii="Arial" w:hAnsi="Arial" w:cs="Arial"/>
          <w:sz w:val="24"/>
          <w:szCs w:val="24"/>
        </w:rPr>
        <w:lastRenderedPageBreak/>
        <w:t>capacity of land does not arise for the purpose of open justice protected b</w:t>
      </w:r>
      <w:r w:rsidR="000A3F6B">
        <w:rPr>
          <w:rFonts w:ascii="Arial" w:hAnsi="Arial" w:cs="Arial"/>
          <w:sz w:val="24"/>
          <w:szCs w:val="24"/>
        </w:rPr>
        <w:t>y</w:t>
      </w:r>
      <w:r w:rsidR="00BC05AF" w:rsidRPr="001C25CA">
        <w:rPr>
          <w:rFonts w:ascii="Arial" w:hAnsi="Arial" w:cs="Arial"/>
          <w:sz w:val="24"/>
          <w:szCs w:val="24"/>
        </w:rPr>
        <w:t xml:space="preserve"> Art 12. If the valuer were to act ir</w:t>
      </w:r>
      <w:r w:rsidR="001E4C77" w:rsidRPr="001C25CA">
        <w:rPr>
          <w:rFonts w:ascii="Arial" w:hAnsi="Arial" w:cs="Arial"/>
          <w:sz w:val="24"/>
          <w:szCs w:val="24"/>
        </w:rPr>
        <w:t>regu</w:t>
      </w:r>
      <w:r w:rsidR="00BC05AF" w:rsidRPr="001C25CA">
        <w:rPr>
          <w:rFonts w:ascii="Arial" w:hAnsi="Arial" w:cs="Arial"/>
          <w:sz w:val="24"/>
          <w:szCs w:val="24"/>
        </w:rPr>
        <w:t xml:space="preserve">larly in doing so, the remedy would be judicial review. </w:t>
      </w:r>
    </w:p>
    <w:p w:rsidR="000A3F6B" w:rsidRDefault="000A3F6B" w:rsidP="000A3F6B">
      <w:pPr>
        <w:pStyle w:val="ListParagraph"/>
        <w:rPr>
          <w:rFonts w:ascii="Arial" w:hAnsi="Arial" w:cs="Arial"/>
          <w:sz w:val="24"/>
          <w:szCs w:val="24"/>
        </w:rPr>
      </w:pPr>
    </w:p>
    <w:p w:rsidR="00960DA5" w:rsidRPr="001C25CA" w:rsidRDefault="00BC05AF"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It is incumbent upon a party alleging that a </w:t>
      </w:r>
      <w:r w:rsidR="001E4C77" w:rsidRPr="001C25CA">
        <w:rPr>
          <w:rFonts w:ascii="Arial" w:hAnsi="Arial" w:cs="Arial"/>
          <w:sz w:val="24"/>
          <w:szCs w:val="24"/>
        </w:rPr>
        <w:t>regulation</w:t>
      </w:r>
      <w:r w:rsidR="007531D6" w:rsidRPr="001C25CA">
        <w:rPr>
          <w:rFonts w:ascii="Arial" w:hAnsi="Arial" w:cs="Arial"/>
          <w:sz w:val="24"/>
          <w:szCs w:val="24"/>
        </w:rPr>
        <w:t xml:space="preserve"> </w:t>
      </w:r>
      <w:r w:rsidRPr="001C25CA">
        <w:rPr>
          <w:rFonts w:ascii="Arial" w:hAnsi="Arial" w:cs="Arial"/>
          <w:sz w:val="24"/>
          <w:szCs w:val="24"/>
        </w:rPr>
        <w:t>is unconstitutional to establish that, as was correctly held by the court below. Th</w:t>
      </w:r>
      <w:r w:rsidR="006515A9">
        <w:rPr>
          <w:rFonts w:ascii="Arial" w:hAnsi="Arial" w:cs="Arial"/>
          <w:sz w:val="24"/>
          <w:szCs w:val="24"/>
        </w:rPr>
        <w:t>e</w:t>
      </w:r>
      <w:r w:rsidRPr="001C25CA">
        <w:rPr>
          <w:rFonts w:ascii="Arial" w:hAnsi="Arial" w:cs="Arial"/>
          <w:sz w:val="24"/>
          <w:szCs w:val="24"/>
        </w:rPr>
        <w:t xml:space="preserve"> court correctly found that the appellant failed to establish the invalidity of sub-</w:t>
      </w:r>
      <w:r w:rsidR="001E4C77" w:rsidRPr="001C25CA">
        <w:rPr>
          <w:rFonts w:ascii="Arial" w:hAnsi="Arial" w:cs="Arial"/>
          <w:sz w:val="24"/>
          <w:szCs w:val="24"/>
        </w:rPr>
        <w:t>regulation</w:t>
      </w:r>
      <w:r w:rsidRPr="001C25CA">
        <w:rPr>
          <w:rFonts w:ascii="Arial" w:hAnsi="Arial" w:cs="Arial"/>
          <w:sz w:val="24"/>
          <w:szCs w:val="24"/>
        </w:rPr>
        <w:t xml:space="preserve"> 4(7)(a).</w:t>
      </w:r>
    </w:p>
    <w:p w:rsidR="00960DA5" w:rsidRPr="001C25CA" w:rsidRDefault="00960DA5" w:rsidP="00960DA5">
      <w:pPr>
        <w:pStyle w:val="ListParagraph"/>
        <w:rPr>
          <w:rFonts w:ascii="Arial" w:hAnsi="Arial" w:cs="Arial"/>
          <w:sz w:val="24"/>
          <w:szCs w:val="24"/>
        </w:rPr>
      </w:pPr>
    </w:p>
    <w:p w:rsidR="000A3F6B" w:rsidRDefault="00BC05AF"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appellant’s complaint against </w:t>
      </w:r>
      <w:r w:rsidR="001E4C77" w:rsidRPr="001C25CA">
        <w:rPr>
          <w:rFonts w:ascii="Arial" w:hAnsi="Arial" w:cs="Arial"/>
          <w:sz w:val="24"/>
          <w:szCs w:val="24"/>
        </w:rPr>
        <w:t>regulation</w:t>
      </w:r>
      <w:r w:rsidRPr="001C25CA">
        <w:rPr>
          <w:rFonts w:ascii="Arial" w:hAnsi="Arial" w:cs="Arial"/>
          <w:sz w:val="24"/>
          <w:szCs w:val="24"/>
        </w:rPr>
        <w:t xml:space="preserve"> 4(7)(b) is that the mass appraisal approach referred to in it ‘fails to determine the actual carrying capacity of the land’. This, so the appellant argued, denies individualisation and in turn offends against ‘the rule of law, legality, fairness and justice for all’. Apart from this </w:t>
      </w:r>
      <w:r w:rsidR="000A3F6B">
        <w:rPr>
          <w:rFonts w:ascii="Arial" w:hAnsi="Arial" w:cs="Arial"/>
          <w:sz w:val="24"/>
          <w:szCs w:val="24"/>
        </w:rPr>
        <w:t xml:space="preserve">bald </w:t>
      </w:r>
      <w:r w:rsidRPr="001C25CA">
        <w:rPr>
          <w:rFonts w:ascii="Arial" w:hAnsi="Arial" w:cs="Arial"/>
          <w:sz w:val="24"/>
          <w:szCs w:val="24"/>
        </w:rPr>
        <w:t xml:space="preserve">assertion, it is not explained why a mass appraisal approach as an aid to value land </w:t>
      </w:r>
      <w:r w:rsidR="006515A9">
        <w:rPr>
          <w:rFonts w:ascii="Arial" w:hAnsi="Arial" w:cs="Arial"/>
          <w:sz w:val="24"/>
          <w:szCs w:val="24"/>
        </w:rPr>
        <w:t xml:space="preserve">across the </w:t>
      </w:r>
      <w:r w:rsidRPr="001C25CA">
        <w:rPr>
          <w:rFonts w:ascii="Arial" w:hAnsi="Arial" w:cs="Arial"/>
          <w:sz w:val="24"/>
          <w:szCs w:val="24"/>
        </w:rPr>
        <w:t>country is not appropriate to this process. Clearly a landowner who may feel aggrieved or prejudiced by this method would have the opportunity to object to the provisional valuation roll</w:t>
      </w:r>
      <w:r w:rsidR="006515A9">
        <w:rPr>
          <w:rFonts w:ascii="Arial" w:hAnsi="Arial" w:cs="Arial"/>
          <w:sz w:val="24"/>
          <w:szCs w:val="24"/>
        </w:rPr>
        <w:t xml:space="preserve"> as the regulations provide</w:t>
      </w:r>
      <w:r w:rsidRPr="001C25CA">
        <w:rPr>
          <w:rFonts w:ascii="Arial" w:hAnsi="Arial" w:cs="Arial"/>
          <w:sz w:val="24"/>
          <w:szCs w:val="24"/>
        </w:rPr>
        <w:t xml:space="preserve">. </w:t>
      </w:r>
    </w:p>
    <w:p w:rsidR="000A3F6B" w:rsidRDefault="000A3F6B" w:rsidP="000A3F6B">
      <w:pPr>
        <w:pStyle w:val="ListParagraph"/>
        <w:rPr>
          <w:rFonts w:ascii="Arial" w:hAnsi="Arial" w:cs="Arial"/>
          <w:sz w:val="24"/>
          <w:szCs w:val="24"/>
        </w:rPr>
      </w:pPr>
    </w:p>
    <w:p w:rsidR="00960DA5" w:rsidRPr="001C25CA" w:rsidRDefault="00BC05AF"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 appellant failed to show how this approach</w:t>
      </w:r>
      <w:r w:rsidR="004A5FD0">
        <w:rPr>
          <w:rFonts w:ascii="Arial" w:hAnsi="Arial" w:cs="Arial"/>
          <w:sz w:val="24"/>
          <w:szCs w:val="24"/>
        </w:rPr>
        <w:t xml:space="preserve"> (of mass appraisal)</w:t>
      </w:r>
      <w:r w:rsidRPr="001C25CA">
        <w:rPr>
          <w:rFonts w:ascii="Arial" w:hAnsi="Arial" w:cs="Arial"/>
          <w:sz w:val="24"/>
          <w:szCs w:val="24"/>
        </w:rPr>
        <w:t xml:space="preserve"> has the far reaching unconstitutional consequences attributed to it. The High Court correctly held </w:t>
      </w:r>
      <w:r w:rsidR="00EE7401" w:rsidRPr="001C25CA">
        <w:rPr>
          <w:rFonts w:ascii="Arial" w:hAnsi="Arial" w:cs="Arial"/>
          <w:sz w:val="24"/>
          <w:szCs w:val="24"/>
        </w:rPr>
        <w:t>that</w:t>
      </w:r>
      <w:r w:rsidRPr="001C25CA">
        <w:rPr>
          <w:rFonts w:ascii="Arial" w:hAnsi="Arial" w:cs="Arial"/>
          <w:sz w:val="24"/>
          <w:szCs w:val="24"/>
        </w:rPr>
        <w:t xml:space="preserve"> </w:t>
      </w:r>
      <w:r w:rsidR="000A3F6B">
        <w:rPr>
          <w:rFonts w:ascii="Arial" w:hAnsi="Arial" w:cs="Arial"/>
          <w:sz w:val="24"/>
          <w:szCs w:val="24"/>
        </w:rPr>
        <w:t>this challenge</w:t>
      </w:r>
      <w:r w:rsidRPr="001C25CA">
        <w:rPr>
          <w:rFonts w:ascii="Arial" w:hAnsi="Arial" w:cs="Arial"/>
          <w:sz w:val="24"/>
          <w:szCs w:val="24"/>
        </w:rPr>
        <w:t xml:space="preserve"> was unfounded.</w:t>
      </w:r>
    </w:p>
    <w:p w:rsidR="00594EA3" w:rsidRPr="001C25CA" w:rsidRDefault="00594EA3" w:rsidP="00EE7401">
      <w:pPr>
        <w:rPr>
          <w:rFonts w:ascii="Arial" w:hAnsi="Arial" w:cs="Arial"/>
          <w:sz w:val="24"/>
          <w:szCs w:val="24"/>
        </w:rPr>
      </w:pPr>
    </w:p>
    <w:p w:rsidR="00EE7401" w:rsidRPr="001C25CA" w:rsidRDefault="001E4C77" w:rsidP="00EE7401">
      <w:pPr>
        <w:rPr>
          <w:rFonts w:ascii="Arial" w:hAnsi="Arial" w:cs="Arial"/>
          <w:sz w:val="24"/>
          <w:szCs w:val="24"/>
          <w:u w:val="single"/>
        </w:rPr>
      </w:pPr>
      <w:r w:rsidRPr="001C25CA">
        <w:rPr>
          <w:rFonts w:ascii="Arial" w:hAnsi="Arial" w:cs="Arial"/>
          <w:sz w:val="24"/>
          <w:szCs w:val="24"/>
          <w:u w:val="single"/>
        </w:rPr>
        <w:t>Regulation</w:t>
      </w:r>
      <w:r w:rsidR="00EE7401" w:rsidRPr="001C25CA">
        <w:rPr>
          <w:rFonts w:ascii="Arial" w:hAnsi="Arial" w:cs="Arial"/>
          <w:sz w:val="24"/>
          <w:szCs w:val="24"/>
          <w:u w:val="single"/>
        </w:rPr>
        <w:t>s 4(9)(b), 4(13) and 6(8)</w:t>
      </w:r>
    </w:p>
    <w:p w:rsidR="00BC05AF" w:rsidRPr="001C25CA" w:rsidRDefault="00EE7401"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These </w:t>
      </w:r>
      <w:r w:rsidR="006515A9">
        <w:rPr>
          <w:rFonts w:ascii="Arial" w:hAnsi="Arial" w:cs="Arial"/>
          <w:sz w:val="24"/>
          <w:szCs w:val="24"/>
        </w:rPr>
        <w:t xml:space="preserve">related </w:t>
      </w:r>
      <w:r w:rsidRPr="001C25CA">
        <w:rPr>
          <w:rFonts w:ascii="Arial" w:hAnsi="Arial" w:cs="Arial"/>
          <w:sz w:val="24"/>
          <w:szCs w:val="24"/>
        </w:rPr>
        <w:t>impugned provisions are as follows:</w:t>
      </w:r>
    </w:p>
    <w:p w:rsidR="00EE7401" w:rsidRPr="001C25CA" w:rsidRDefault="00EE7401" w:rsidP="00EE7401">
      <w:pPr>
        <w:pStyle w:val="NoSpacing"/>
        <w:spacing w:line="480" w:lineRule="auto"/>
        <w:jc w:val="both"/>
        <w:rPr>
          <w:rFonts w:ascii="Arial" w:hAnsi="Arial" w:cs="Arial"/>
          <w:sz w:val="24"/>
          <w:szCs w:val="24"/>
        </w:rPr>
      </w:pPr>
    </w:p>
    <w:p w:rsidR="007807B5" w:rsidRPr="007807B5" w:rsidRDefault="00EE7401" w:rsidP="007807B5">
      <w:pPr>
        <w:pStyle w:val="NoSpacing"/>
        <w:spacing w:line="360" w:lineRule="auto"/>
        <w:ind w:left="1440" w:hanging="720"/>
        <w:jc w:val="both"/>
        <w:rPr>
          <w:rFonts w:ascii="Arial" w:hAnsi="Arial" w:cs="Arial"/>
        </w:rPr>
      </w:pPr>
      <w:r w:rsidRPr="007807B5">
        <w:rPr>
          <w:rFonts w:ascii="Arial" w:hAnsi="Arial" w:cs="Arial"/>
        </w:rPr>
        <w:t>‘</w:t>
      </w:r>
      <w:r w:rsidR="000A3F6B">
        <w:rPr>
          <w:rFonts w:ascii="Arial" w:hAnsi="Arial" w:cs="Arial"/>
        </w:rPr>
        <w:t>4</w:t>
      </w:r>
      <w:r w:rsidR="007807B5" w:rsidRPr="007807B5">
        <w:rPr>
          <w:rFonts w:ascii="Arial" w:hAnsi="Arial" w:cs="Arial"/>
        </w:rPr>
        <w:t>(9)</w:t>
      </w:r>
      <w:r w:rsidR="007807B5" w:rsidRPr="007807B5">
        <w:rPr>
          <w:rFonts w:ascii="Arial" w:hAnsi="Arial" w:cs="Arial"/>
        </w:rPr>
        <w:tab/>
        <w:t xml:space="preserve">When a valuer or any person assisting the valuer exercises or performs a power or duty in terms of these regulations in the presence of any person affected thereby, he or she must, on demand by such person – </w:t>
      </w:r>
    </w:p>
    <w:p w:rsidR="007807B5" w:rsidRPr="007807B5" w:rsidRDefault="007807B5" w:rsidP="007807B5">
      <w:pPr>
        <w:pStyle w:val="NoSpacing"/>
        <w:spacing w:line="360" w:lineRule="auto"/>
        <w:ind w:left="1440"/>
        <w:jc w:val="both"/>
        <w:rPr>
          <w:rFonts w:ascii="Arial" w:hAnsi="Arial" w:cs="Arial"/>
        </w:rPr>
      </w:pPr>
      <w:r w:rsidRPr="007807B5">
        <w:rPr>
          <w:rFonts w:ascii="Arial" w:hAnsi="Arial" w:cs="Arial"/>
        </w:rPr>
        <w:t>. . . .</w:t>
      </w:r>
      <w:r w:rsidRPr="007807B5">
        <w:rPr>
          <w:rFonts w:ascii="Arial" w:hAnsi="Arial" w:cs="Arial"/>
        </w:rPr>
        <w:tab/>
      </w:r>
    </w:p>
    <w:p w:rsidR="00EE7401" w:rsidRDefault="007807B5" w:rsidP="007807B5">
      <w:pPr>
        <w:pStyle w:val="NoSpacing"/>
        <w:spacing w:line="360" w:lineRule="auto"/>
        <w:ind w:left="2160" w:hanging="720"/>
        <w:jc w:val="both"/>
        <w:rPr>
          <w:rFonts w:ascii="Arial" w:hAnsi="Arial" w:cs="Arial"/>
        </w:rPr>
      </w:pPr>
      <w:r w:rsidRPr="007807B5">
        <w:rPr>
          <w:rFonts w:ascii="Arial" w:hAnsi="Arial" w:cs="Arial"/>
        </w:rPr>
        <w:lastRenderedPageBreak/>
        <w:t>(b)</w:t>
      </w:r>
      <w:r w:rsidRPr="007807B5">
        <w:rPr>
          <w:rFonts w:ascii="Arial" w:hAnsi="Arial" w:cs="Arial"/>
        </w:rPr>
        <w:tab/>
        <w:t>in the case of a person assisting the valuer, produce a letter duly signed by the valuer authorizing him or her to perform specified duties on the valuer’s behalf in accordance with subregulations (13) and (14).</w:t>
      </w:r>
      <w:r>
        <w:rPr>
          <w:rFonts w:ascii="Arial" w:hAnsi="Arial" w:cs="Arial"/>
        </w:rPr>
        <w:t>’</w:t>
      </w:r>
    </w:p>
    <w:p w:rsidR="007807B5" w:rsidRDefault="007807B5" w:rsidP="007807B5">
      <w:pPr>
        <w:pStyle w:val="NoSpacing"/>
        <w:spacing w:line="480" w:lineRule="auto"/>
        <w:jc w:val="both"/>
        <w:rPr>
          <w:rFonts w:ascii="Arial" w:hAnsi="Arial" w:cs="Arial"/>
        </w:rPr>
      </w:pPr>
    </w:p>
    <w:p w:rsidR="007807B5" w:rsidRDefault="007807B5" w:rsidP="00594EA3">
      <w:pPr>
        <w:pStyle w:val="NoSpacing"/>
        <w:spacing w:line="480" w:lineRule="auto"/>
        <w:ind w:firstLine="720"/>
        <w:jc w:val="both"/>
        <w:rPr>
          <w:rFonts w:ascii="Arial" w:hAnsi="Arial" w:cs="Arial"/>
          <w:sz w:val="24"/>
          <w:szCs w:val="24"/>
        </w:rPr>
      </w:pPr>
      <w:r w:rsidRPr="007807B5">
        <w:rPr>
          <w:rFonts w:ascii="Arial" w:hAnsi="Arial" w:cs="Arial"/>
          <w:sz w:val="24"/>
          <w:szCs w:val="24"/>
        </w:rPr>
        <w:t xml:space="preserve">And </w:t>
      </w:r>
    </w:p>
    <w:p w:rsidR="009510CB" w:rsidRPr="007807B5" w:rsidRDefault="009510CB" w:rsidP="00594EA3">
      <w:pPr>
        <w:pStyle w:val="NoSpacing"/>
        <w:spacing w:line="480" w:lineRule="auto"/>
        <w:ind w:firstLine="720"/>
        <w:jc w:val="both"/>
        <w:rPr>
          <w:rFonts w:ascii="Arial" w:hAnsi="Arial" w:cs="Arial"/>
          <w:sz w:val="24"/>
          <w:szCs w:val="24"/>
        </w:rPr>
      </w:pPr>
    </w:p>
    <w:p w:rsidR="00EE7401" w:rsidRDefault="007807B5" w:rsidP="007807B5">
      <w:pPr>
        <w:pStyle w:val="NoSpacing"/>
        <w:spacing w:line="360" w:lineRule="auto"/>
        <w:ind w:left="1440" w:hanging="720"/>
        <w:jc w:val="both"/>
        <w:rPr>
          <w:rFonts w:ascii="Arial" w:hAnsi="Arial" w:cs="Arial"/>
        </w:rPr>
      </w:pPr>
      <w:r w:rsidRPr="007807B5">
        <w:rPr>
          <w:rFonts w:ascii="Arial" w:hAnsi="Arial" w:cs="Arial"/>
        </w:rPr>
        <w:t>‘</w:t>
      </w:r>
      <w:r w:rsidR="000A3F6B">
        <w:rPr>
          <w:rFonts w:ascii="Arial" w:hAnsi="Arial" w:cs="Arial"/>
        </w:rPr>
        <w:t>4</w:t>
      </w:r>
      <w:r w:rsidR="00EE7401" w:rsidRPr="007807B5">
        <w:rPr>
          <w:rFonts w:ascii="Arial" w:hAnsi="Arial" w:cs="Arial"/>
        </w:rPr>
        <w:t>(13)</w:t>
      </w:r>
      <w:r>
        <w:rPr>
          <w:rFonts w:ascii="Arial" w:hAnsi="Arial" w:cs="Arial"/>
        </w:rPr>
        <w:tab/>
      </w:r>
      <w:r w:rsidRPr="007807B5">
        <w:rPr>
          <w:rFonts w:ascii="Arial" w:hAnsi="Arial" w:cs="Arial"/>
        </w:rPr>
        <w:t>A valuer, when necessary, may delegate or assign to any suitable person any power or duty conferred or imposed upon the valuer in terms of these regulations.</w:t>
      </w:r>
      <w:r>
        <w:rPr>
          <w:rFonts w:ascii="Arial" w:hAnsi="Arial" w:cs="Arial"/>
        </w:rPr>
        <w:t>’</w:t>
      </w:r>
    </w:p>
    <w:p w:rsidR="007807B5" w:rsidRDefault="007807B5" w:rsidP="009510CB">
      <w:pPr>
        <w:pStyle w:val="NoSpacing"/>
        <w:spacing w:line="480" w:lineRule="auto"/>
        <w:jc w:val="both"/>
        <w:rPr>
          <w:rFonts w:ascii="Arial" w:hAnsi="Arial" w:cs="Arial"/>
        </w:rPr>
      </w:pPr>
    </w:p>
    <w:p w:rsidR="007807B5" w:rsidRPr="007807B5" w:rsidRDefault="007807B5" w:rsidP="00594EA3">
      <w:pPr>
        <w:pStyle w:val="NoSpacing"/>
        <w:spacing w:line="360" w:lineRule="auto"/>
        <w:ind w:firstLine="720"/>
        <w:jc w:val="both"/>
        <w:rPr>
          <w:rFonts w:ascii="Arial" w:hAnsi="Arial" w:cs="Arial"/>
          <w:sz w:val="24"/>
          <w:szCs w:val="24"/>
        </w:rPr>
      </w:pPr>
      <w:r w:rsidRPr="007807B5">
        <w:rPr>
          <w:rFonts w:ascii="Arial" w:hAnsi="Arial" w:cs="Arial"/>
          <w:sz w:val="24"/>
          <w:szCs w:val="24"/>
        </w:rPr>
        <w:t xml:space="preserve">And </w:t>
      </w:r>
    </w:p>
    <w:p w:rsidR="007807B5" w:rsidRPr="007807B5" w:rsidRDefault="007807B5" w:rsidP="009510CB">
      <w:pPr>
        <w:pStyle w:val="NoSpacing"/>
        <w:spacing w:line="480" w:lineRule="auto"/>
        <w:jc w:val="both"/>
        <w:rPr>
          <w:rFonts w:ascii="Arial" w:hAnsi="Arial" w:cs="Arial"/>
        </w:rPr>
      </w:pPr>
    </w:p>
    <w:p w:rsidR="007807B5" w:rsidRPr="007807B5" w:rsidRDefault="007807B5" w:rsidP="007807B5">
      <w:pPr>
        <w:pStyle w:val="NoSpacing"/>
        <w:spacing w:line="360" w:lineRule="auto"/>
        <w:ind w:left="1440" w:hanging="720"/>
        <w:jc w:val="both"/>
        <w:rPr>
          <w:rFonts w:ascii="Arial" w:hAnsi="Arial" w:cs="Arial"/>
        </w:rPr>
      </w:pPr>
      <w:r w:rsidRPr="007807B5">
        <w:rPr>
          <w:rFonts w:ascii="Arial" w:hAnsi="Arial" w:cs="Arial"/>
        </w:rPr>
        <w:t>‘</w:t>
      </w:r>
      <w:r w:rsidR="000A3F6B">
        <w:rPr>
          <w:rFonts w:ascii="Arial" w:hAnsi="Arial" w:cs="Arial"/>
        </w:rPr>
        <w:t>6</w:t>
      </w:r>
      <w:r w:rsidRPr="007807B5">
        <w:rPr>
          <w:rFonts w:ascii="Arial" w:hAnsi="Arial" w:cs="Arial"/>
        </w:rPr>
        <w:t>(8)</w:t>
      </w:r>
      <w:r w:rsidRPr="007807B5">
        <w:rPr>
          <w:rFonts w:ascii="Arial" w:hAnsi="Arial" w:cs="Arial"/>
        </w:rPr>
        <w:tab/>
        <w:t xml:space="preserve">For the purpose of resolving an objection or reaching an agreement to settle an objection with an owner who has lodged an objection pursuant to subregulation (4), the valuer or any person assisting the valuer may communicate to such owner, and may – </w:t>
      </w:r>
    </w:p>
    <w:p w:rsidR="007807B5" w:rsidRPr="007807B5" w:rsidRDefault="007807B5" w:rsidP="007807B5">
      <w:pPr>
        <w:pStyle w:val="NoSpacing"/>
        <w:spacing w:line="360" w:lineRule="auto"/>
        <w:ind w:left="1440" w:hanging="720"/>
        <w:jc w:val="both"/>
        <w:rPr>
          <w:rFonts w:ascii="Arial" w:hAnsi="Arial" w:cs="Arial"/>
        </w:rPr>
      </w:pPr>
    </w:p>
    <w:p w:rsidR="007807B5" w:rsidRPr="007807B5" w:rsidRDefault="007807B5" w:rsidP="007807B5">
      <w:pPr>
        <w:pStyle w:val="NoSpacing"/>
        <w:numPr>
          <w:ilvl w:val="0"/>
          <w:numId w:val="15"/>
        </w:numPr>
        <w:spacing w:line="360" w:lineRule="auto"/>
        <w:ind w:left="2268" w:hanging="828"/>
        <w:jc w:val="both"/>
        <w:rPr>
          <w:rFonts w:ascii="Arial" w:hAnsi="Arial" w:cs="Arial"/>
        </w:rPr>
      </w:pPr>
      <w:r w:rsidRPr="007807B5">
        <w:rPr>
          <w:rFonts w:ascii="Arial" w:hAnsi="Arial" w:cs="Arial"/>
        </w:rPr>
        <w:t xml:space="preserve">withdraw the objection; or </w:t>
      </w:r>
    </w:p>
    <w:p w:rsidR="007807B5" w:rsidRPr="007807B5" w:rsidRDefault="007807B5" w:rsidP="007807B5">
      <w:pPr>
        <w:pStyle w:val="NoSpacing"/>
        <w:spacing w:line="360" w:lineRule="auto"/>
        <w:ind w:left="2268"/>
        <w:jc w:val="both"/>
        <w:rPr>
          <w:rFonts w:ascii="Arial" w:hAnsi="Arial" w:cs="Arial"/>
        </w:rPr>
      </w:pPr>
    </w:p>
    <w:p w:rsidR="00EE7401" w:rsidRPr="007807B5" w:rsidRDefault="007807B5" w:rsidP="007807B5">
      <w:pPr>
        <w:pStyle w:val="NoSpacing"/>
        <w:numPr>
          <w:ilvl w:val="0"/>
          <w:numId w:val="15"/>
        </w:numPr>
        <w:spacing w:line="360" w:lineRule="auto"/>
        <w:ind w:left="2268" w:hanging="828"/>
        <w:jc w:val="both"/>
        <w:rPr>
          <w:rFonts w:ascii="Arial" w:hAnsi="Arial" w:cs="Arial"/>
        </w:rPr>
      </w:pPr>
      <w:r w:rsidRPr="007807B5">
        <w:rPr>
          <w:rFonts w:ascii="Arial" w:hAnsi="Arial" w:cs="Arial"/>
        </w:rPr>
        <w:t>reach an agreement to settle the objection, prior to the valuation court sitting.</w:t>
      </w:r>
      <w:r w:rsidR="00EE7401" w:rsidRPr="007807B5">
        <w:rPr>
          <w:rFonts w:ascii="Arial" w:hAnsi="Arial" w:cs="Arial"/>
        </w:rPr>
        <w:t>’</w:t>
      </w:r>
    </w:p>
    <w:p w:rsidR="00960DA5" w:rsidRPr="001C25CA" w:rsidRDefault="00960DA5" w:rsidP="00960DA5">
      <w:pPr>
        <w:pStyle w:val="ListParagraph"/>
        <w:rPr>
          <w:rFonts w:ascii="Arial" w:hAnsi="Arial" w:cs="Arial"/>
          <w:sz w:val="24"/>
          <w:szCs w:val="24"/>
        </w:rPr>
      </w:pPr>
    </w:p>
    <w:p w:rsidR="000A3F6B" w:rsidRDefault="00EE7401"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These provisions are attacked on the ground that the assistant (to the valuer) is not bound by </w:t>
      </w:r>
      <w:r w:rsidR="000A3F6B">
        <w:rPr>
          <w:rFonts w:ascii="Arial" w:hAnsi="Arial" w:cs="Arial"/>
          <w:sz w:val="24"/>
          <w:szCs w:val="24"/>
        </w:rPr>
        <w:t xml:space="preserve">the </w:t>
      </w:r>
      <w:r w:rsidRPr="001C25CA">
        <w:rPr>
          <w:rFonts w:ascii="Arial" w:hAnsi="Arial" w:cs="Arial"/>
          <w:sz w:val="24"/>
          <w:szCs w:val="24"/>
        </w:rPr>
        <w:t xml:space="preserve">oath and </w:t>
      </w:r>
      <w:r w:rsidR="006515A9">
        <w:rPr>
          <w:rFonts w:ascii="Arial" w:hAnsi="Arial" w:cs="Arial"/>
          <w:sz w:val="24"/>
          <w:szCs w:val="24"/>
        </w:rPr>
        <w:t xml:space="preserve">that </w:t>
      </w:r>
      <w:r w:rsidRPr="001C25CA">
        <w:rPr>
          <w:rFonts w:ascii="Arial" w:hAnsi="Arial" w:cs="Arial"/>
          <w:sz w:val="24"/>
          <w:szCs w:val="24"/>
        </w:rPr>
        <w:t xml:space="preserve">the valuer exercises an </w:t>
      </w:r>
      <w:r w:rsidR="000A3F6B">
        <w:rPr>
          <w:rFonts w:ascii="Arial" w:hAnsi="Arial" w:cs="Arial"/>
          <w:sz w:val="24"/>
          <w:szCs w:val="24"/>
        </w:rPr>
        <w:t>‘</w:t>
      </w:r>
      <w:r w:rsidRPr="001C25CA">
        <w:rPr>
          <w:rFonts w:ascii="Arial" w:hAnsi="Arial" w:cs="Arial"/>
          <w:sz w:val="24"/>
          <w:szCs w:val="24"/>
        </w:rPr>
        <w:t>uncontrolled power resulting in taxation</w:t>
      </w:r>
      <w:r w:rsidR="000A3F6B">
        <w:rPr>
          <w:rFonts w:ascii="Arial" w:hAnsi="Arial" w:cs="Arial"/>
          <w:sz w:val="24"/>
          <w:szCs w:val="24"/>
        </w:rPr>
        <w:t xml:space="preserve">’. </w:t>
      </w:r>
      <w:r w:rsidRPr="001C25CA">
        <w:rPr>
          <w:rFonts w:ascii="Arial" w:hAnsi="Arial" w:cs="Arial"/>
          <w:sz w:val="24"/>
          <w:szCs w:val="24"/>
        </w:rPr>
        <w:t xml:space="preserve">In argument, it emerged that these provisions are challenged on the grounds of </w:t>
      </w:r>
      <w:r w:rsidR="000A3F6B">
        <w:rPr>
          <w:rFonts w:ascii="Arial" w:hAnsi="Arial" w:cs="Arial"/>
          <w:sz w:val="24"/>
          <w:szCs w:val="24"/>
        </w:rPr>
        <w:t xml:space="preserve">an </w:t>
      </w:r>
      <w:r w:rsidRPr="001C25CA">
        <w:rPr>
          <w:rFonts w:ascii="Arial" w:hAnsi="Arial" w:cs="Arial"/>
          <w:sz w:val="24"/>
          <w:szCs w:val="24"/>
        </w:rPr>
        <w:t xml:space="preserve">impermissible delegation – referred to as a sub-delegation </w:t>
      </w:r>
      <w:r w:rsidR="000A3F6B">
        <w:rPr>
          <w:rFonts w:ascii="Arial" w:hAnsi="Arial" w:cs="Arial"/>
          <w:sz w:val="24"/>
          <w:szCs w:val="24"/>
        </w:rPr>
        <w:t>said to be</w:t>
      </w:r>
      <w:r w:rsidRPr="001C25CA">
        <w:rPr>
          <w:rFonts w:ascii="Arial" w:hAnsi="Arial" w:cs="Arial"/>
          <w:sz w:val="24"/>
          <w:szCs w:val="24"/>
        </w:rPr>
        <w:t xml:space="preserve"> </w:t>
      </w:r>
      <w:r w:rsidR="000A3F6B">
        <w:rPr>
          <w:rFonts w:ascii="Arial" w:hAnsi="Arial" w:cs="Arial"/>
          <w:sz w:val="24"/>
          <w:szCs w:val="24"/>
        </w:rPr>
        <w:t>‘</w:t>
      </w:r>
      <w:r w:rsidRPr="001C25CA">
        <w:rPr>
          <w:rFonts w:ascii="Arial" w:hAnsi="Arial" w:cs="Arial"/>
          <w:sz w:val="24"/>
          <w:szCs w:val="24"/>
        </w:rPr>
        <w:t xml:space="preserve">inconsistent with Art 18, the rule of law and legality.’ </w:t>
      </w:r>
    </w:p>
    <w:p w:rsidR="000A3F6B" w:rsidRDefault="000A3F6B" w:rsidP="000A3F6B">
      <w:pPr>
        <w:pStyle w:val="NoSpacing"/>
        <w:spacing w:line="480" w:lineRule="auto"/>
        <w:jc w:val="both"/>
        <w:rPr>
          <w:rFonts w:ascii="Arial" w:hAnsi="Arial" w:cs="Arial"/>
          <w:sz w:val="24"/>
          <w:szCs w:val="24"/>
        </w:rPr>
      </w:pPr>
    </w:p>
    <w:p w:rsidR="00960DA5" w:rsidRPr="001C25CA" w:rsidRDefault="00EE7401"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This characterisation of sub-delegation is incorrect. The valuer is not delegated by the Minister but is authorised by Parliament in terms of s 76 of the Act, </w:t>
      </w:r>
      <w:r w:rsidR="000A3F6B">
        <w:rPr>
          <w:rFonts w:ascii="Arial" w:hAnsi="Arial" w:cs="Arial"/>
          <w:sz w:val="24"/>
          <w:szCs w:val="24"/>
        </w:rPr>
        <w:lastRenderedPageBreak/>
        <w:t xml:space="preserve">and </w:t>
      </w:r>
      <w:r w:rsidRPr="001C25CA">
        <w:rPr>
          <w:rFonts w:ascii="Arial" w:hAnsi="Arial" w:cs="Arial"/>
          <w:sz w:val="24"/>
          <w:szCs w:val="24"/>
        </w:rPr>
        <w:t>thus</w:t>
      </w:r>
      <w:r w:rsidR="00A94967" w:rsidRPr="001C25CA">
        <w:rPr>
          <w:rFonts w:ascii="Arial" w:hAnsi="Arial" w:cs="Arial"/>
          <w:sz w:val="24"/>
          <w:szCs w:val="24"/>
        </w:rPr>
        <w:t xml:space="preserve"> vested with original authority to assess the unimproved site value of agricultural land</w:t>
      </w:r>
      <w:r w:rsidR="000A3F6B">
        <w:rPr>
          <w:rFonts w:ascii="Arial" w:hAnsi="Arial" w:cs="Arial"/>
          <w:sz w:val="24"/>
          <w:szCs w:val="24"/>
        </w:rPr>
        <w:t xml:space="preserve"> by the Act</w:t>
      </w:r>
      <w:r w:rsidR="00A94967" w:rsidRPr="001C25CA">
        <w:rPr>
          <w:rFonts w:ascii="Arial" w:hAnsi="Arial" w:cs="Arial"/>
          <w:sz w:val="24"/>
          <w:szCs w:val="24"/>
        </w:rPr>
        <w:t xml:space="preserve">. This objection falters upon this false premise. The High Court also correctly held that these </w:t>
      </w:r>
      <w:r w:rsidR="001E4C77" w:rsidRPr="001C25CA">
        <w:rPr>
          <w:rFonts w:ascii="Arial" w:hAnsi="Arial" w:cs="Arial"/>
          <w:sz w:val="24"/>
          <w:szCs w:val="24"/>
        </w:rPr>
        <w:t>regulation</w:t>
      </w:r>
      <w:r w:rsidR="00A94967" w:rsidRPr="001C25CA">
        <w:rPr>
          <w:rFonts w:ascii="Arial" w:hAnsi="Arial" w:cs="Arial"/>
          <w:sz w:val="24"/>
          <w:szCs w:val="24"/>
        </w:rPr>
        <w:t>s are not void.</w:t>
      </w:r>
    </w:p>
    <w:p w:rsidR="00A94967" w:rsidRPr="001C25CA" w:rsidRDefault="00A94967" w:rsidP="00A94967">
      <w:pPr>
        <w:pStyle w:val="NoSpacing"/>
        <w:spacing w:line="480" w:lineRule="auto"/>
        <w:jc w:val="both"/>
        <w:rPr>
          <w:rFonts w:ascii="Arial" w:hAnsi="Arial" w:cs="Arial"/>
          <w:sz w:val="24"/>
          <w:szCs w:val="24"/>
        </w:rPr>
      </w:pPr>
    </w:p>
    <w:p w:rsidR="00960DA5" w:rsidRPr="001C25CA" w:rsidRDefault="001E4C77" w:rsidP="00A94967">
      <w:pPr>
        <w:rPr>
          <w:rFonts w:ascii="Arial" w:hAnsi="Arial" w:cs="Arial"/>
          <w:sz w:val="24"/>
          <w:szCs w:val="24"/>
          <w:u w:val="single"/>
        </w:rPr>
      </w:pPr>
      <w:r w:rsidRPr="001C25CA">
        <w:rPr>
          <w:rFonts w:ascii="Arial" w:hAnsi="Arial" w:cs="Arial"/>
          <w:sz w:val="24"/>
          <w:szCs w:val="24"/>
          <w:u w:val="single"/>
        </w:rPr>
        <w:t>Regulation</w:t>
      </w:r>
      <w:r w:rsidR="00A94967" w:rsidRPr="001C25CA">
        <w:rPr>
          <w:rFonts w:ascii="Arial" w:hAnsi="Arial" w:cs="Arial"/>
          <w:sz w:val="24"/>
          <w:szCs w:val="24"/>
          <w:u w:val="single"/>
        </w:rPr>
        <w:t xml:space="preserve"> 13(1)</w:t>
      </w:r>
    </w:p>
    <w:p w:rsidR="00960DA5" w:rsidRPr="001C25CA" w:rsidRDefault="00A94967"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This provision states:</w:t>
      </w:r>
    </w:p>
    <w:p w:rsidR="00A94967" w:rsidRPr="001C25CA" w:rsidRDefault="00A94967" w:rsidP="009510CB">
      <w:pPr>
        <w:pStyle w:val="NoSpacing"/>
        <w:spacing w:line="360" w:lineRule="auto"/>
        <w:jc w:val="both"/>
        <w:rPr>
          <w:rFonts w:ascii="Arial" w:hAnsi="Arial" w:cs="Arial"/>
          <w:sz w:val="24"/>
          <w:szCs w:val="24"/>
        </w:rPr>
      </w:pPr>
    </w:p>
    <w:p w:rsidR="00A94967" w:rsidRPr="007807B5" w:rsidRDefault="00A94967" w:rsidP="007807B5">
      <w:pPr>
        <w:pStyle w:val="NoSpacing"/>
        <w:spacing w:line="360" w:lineRule="auto"/>
        <w:ind w:left="1440" w:hanging="720"/>
        <w:jc w:val="both"/>
        <w:rPr>
          <w:rFonts w:ascii="Arial" w:hAnsi="Arial" w:cs="Arial"/>
        </w:rPr>
      </w:pPr>
      <w:r w:rsidRPr="007807B5">
        <w:rPr>
          <w:rFonts w:ascii="Arial" w:hAnsi="Arial" w:cs="Arial"/>
        </w:rPr>
        <w:t>‘</w:t>
      </w:r>
      <w:r w:rsidR="007807B5" w:rsidRPr="007807B5">
        <w:rPr>
          <w:rFonts w:ascii="Arial" w:hAnsi="Arial" w:cs="Arial"/>
        </w:rPr>
        <w:t>(1)</w:t>
      </w:r>
      <w:r w:rsidR="007807B5" w:rsidRPr="007807B5">
        <w:rPr>
          <w:rFonts w:ascii="Arial" w:hAnsi="Arial" w:cs="Arial"/>
        </w:rPr>
        <w:tab/>
        <w:t>The proceedings before a valuation court are conducted in such a manner as the presiding officer considers most suitable to resolve the issues before the court and the court is not bound by any law relating to procedure and admissibility of evidence.</w:t>
      </w:r>
      <w:r w:rsidRPr="007807B5">
        <w:rPr>
          <w:rFonts w:ascii="Arial" w:hAnsi="Arial" w:cs="Arial"/>
        </w:rPr>
        <w:t>’</w:t>
      </w:r>
    </w:p>
    <w:p w:rsidR="00960DA5" w:rsidRPr="001C25CA" w:rsidRDefault="00960DA5" w:rsidP="00960DA5">
      <w:pPr>
        <w:pStyle w:val="ListParagraph"/>
        <w:rPr>
          <w:rFonts w:ascii="Arial" w:hAnsi="Arial" w:cs="Arial"/>
          <w:sz w:val="24"/>
          <w:szCs w:val="24"/>
        </w:rPr>
      </w:pPr>
    </w:p>
    <w:p w:rsidR="00960DA5" w:rsidRPr="00A6519D" w:rsidRDefault="00A94967" w:rsidP="00A6519D">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In the notice of motion, it is contended that this provision is void ‘because it is inconsistent with the rule of law, Art</w:t>
      </w:r>
      <w:r w:rsidR="00497DB0">
        <w:rPr>
          <w:rFonts w:ascii="Arial" w:hAnsi="Arial" w:cs="Arial"/>
          <w:sz w:val="24"/>
          <w:szCs w:val="24"/>
        </w:rPr>
        <w:t>s</w:t>
      </w:r>
      <w:r w:rsidRPr="001C25CA">
        <w:rPr>
          <w:rFonts w:ascii="Arial" w:hAnsi="Arial" w:cs="Arial"/>
          <w:sz w:val="24"/>
          <w:szCs w:val="24"/>
        </w:rPr>
        <w:t xml:space="preserve"> 12(1)(a) and 18’. In argument this was expanded by describing the </w:t>
      </w:r>
      <w:r w:rsidR="001E4C77" w:rsidRPr="001C25CA">
        <w:rPr>
          <w:rFonts w:ascii="Arial" w:hAnsi="Arial" w:cs="Arial"/>
          <w:sz w:val="24"/>
          <w:szCs w:val="24"/>
        </w:rPr>
        <w:t>regulation</w:t>
      </w:r>
      <w:r w:rsidRPr="001C25CA">
        <w:rPr>
          <w:rFonts w:ascii="Arial" w:hAnsi="Arial" w:cs="Arial"/>
          <w:sz w:val="24"/>
          <w:szCs w:val="24"/>
        </w:rPr>
        <w:t xml:space="preserve"> 13 procedure as ‘unpredictable, impossible to anticipate and accord</w:t>
      </w:r>
      <w:r w:rsidR="00A6519D">
        <w:rPr>
          <w:rFonts w:ascii="Arial" w:hAnsi="Arial" w:cs="Arial"/>
          <w:sz w:val="24"/>
          <w:szCs w:val="24"/>
        </w:rPr>
        <w:t xml:space="preserve">ingly to prepare for a hearing’ </w:t>
      </w:r>
      <w:r w:rsidRPr="00A6519D">
        <w:rPr>
          <w:rFonts w:ascii="Arial" w:hAnsi="Arial" w:cs="Arial"/>
          <w:sz w:val="24"/>
          <w:szCs w:val="24"/>
        </w:rPr>
        <w:t xml:space="preserve">and that the procedure is ‘foreign to accepted </w:t>
      </w:r>
      <w:r w:rsidR="006C50CB" w:rsidRPr="00A6519D">
        <w:rPr>
          <w:rFonts w:ascii="Arial" w:hAnsi="Arial" w:cs="Arial"/>
          <w:sz w:val="24"/>
          <w:szCs w:val="24"/>
        </w:rPr>
        <w:t>jurisprudence</w:t>
      </w:r>
      <w:r w:rsidRPr="00A6519D">
        <w:rPr>
          <w:rFonts w:ascii="Arial" w:hAnsi="Arial" w:cs="Arial"/>
          <w:sz w:val="24"/>
          <w:szCs w:val="24"/>
        </w:rPr>
        <w:t xml:space="preserve">’. Three cases are cited in support of this latter contention. One is a judgment of the High Court as </w:t>
      </w:r>
      <w:r w:rsidR="000A3F6B">
        <w:rPr>
          <w:rFonts w:ascii="Arial" w:hAnsi="Arial" w:cs="Arial"/>
          <w:sz w:val="24"/>
          <w:szCs w:val="24"/>
        </w:rPr>
        <w:t xml:space="preserve">it was </w:t>
      </w:r>
      <w:r w:rsidRPr="00A6519D">
        <w:rPr>
          <w:rFonts w:ascii="Arial" w:hAnsi="Arial" w:cs="Arial"/>
          <w:sz w:val="24"/>
          <w:szCs w:val="24"/>
        </w:rPr>
        <w:t xml:space="preserve">previously </w:t>
      </w:r>
      <w:r w:rsidR="006C50CB" w:rsidRPr="00A6519D">
        <w:rPr>
          <w:rFonts w:ascii="Arial" w:hAnsi="Arial" w:cs="Arial"/>
          <w:sz w:val="24"/>
          <w:szCs w:val="24"/>
        </w:rPr>
        <w:t>constituted</w:t>
      </w:r>
      <w:r w:rsidR="006C50CB" w:rsidRPr="001C25CA">
        <w:rPr>
          <w:rStyle w:val="FootnoteReference"/>
          <w:rFonts w:ascii="Arial" w:hAnsi="Arial" w:cs="Arial"/>
          <w:sz w:val="24"/>
          <w:szCs w:val="24"/>
        </w:rPr>
        <w:footnoteReference w:id="27"/>
      </w:r>
      <w:r w:rsidR="006C50CB" w:rsidRPr="00A6519D">
        <w:rPr>
          <w:rFonts w:ascii="Arial" w:hAnsi="Arial" w:cs="Arial"/>
          <w:sz w:val="24"/>
          <w:szCs w:val="24"/>
        </w:rPr>
        <w:t xml:space="preserve"> which merely likens </w:t>
      </w:r>
      <w:r w:rsidR="00BA09F8" w:rsidRPr="00A6519D">
        <w:rPr>
          <w:rFonts w:ascii="Arial" w:hAnsi="Arial" w:cs="Arial"/>
          <w:i/>
          <w:sz w:val="24"/>
          <w:szCs w:val="24"/>
        </w:rPr>
        <w:t>quasi</w:t>
      </w:r>
      <w:r w:rsidR="00BA09F8" w:rsidRPr="00A6519D">
        <w:rPr>
          <w:rFonts w:ascii="Arial" w:hAnsi="Arial" w:cs="Arial"/>
          <w:sz w:val="24"/>
          <w:szCs w:val="24"/>
        </w:rPr>
        <w:t>-judicial</w:t>
      </w:r>
      <w:r w:rsidR="006C50CB" w:rsidRPr="00A6519D">
        <w:rPr>
          <w:rFonts w:ascii="Arial" w:hAnsi="Arial" w:cs="Arial"/>
          <w:sz w:val="24"/>
          <w:szCs w:val="24"/>
        </w:rPr>
        <w:t xml:space="preserve"> proceedings before a transport commission to proceedings before a court. The two South African cases are to similar effect.</w:t>
      </w:r>
      <w:r w:rsidR="006C50CB" w:rsidRPr="001C25CA">
        <w:rPr>
          <w:rStyle w:val="FootnoteReference"/>
          <w:rFonts w:ascii="Arial" w:hAnsi="Arial" w:cs="Arial"/>
          <w:sz w:val="24"/>
          <w:szCs w:val="24"/>
        </w:rPr>
        <w:footnoteReference w:id="28"/>
      </w:r>
      <w:r w:rsidR="006C50CB" w:rsidRPr="00A6519D">
        <w:rPr>
          <w:rFonts w:ascii="Arial" w:hAnsi="Arial" w:cs="Arial"/>
          <w:sz w:val="24"/>
          <w:szCs w:val="24"/>
        </w:rPr>
        <w:t xml:space="preserve"> These cases are not authority for the proposition that </w:t>
      </w:r>
      <w:r w:rsidR="001E4C77" w:rsidRPr="00A6519D">
        <w:rPr>
          <w:rFonts w:ascii="Arial" w:hAnsi="Arial" w:cs="Arial"/>
          <w:sz w:val="24"/>
          <w:szCs w:val="24"/>
        </w:rPr>
        <w:t>regulation</w:t>
      </w:r>
      <w:r w:rsidR="006C50CB" w:rsidRPr="00A6519D">
        <w:rPr>
          <w:rFonts w:ascii="Arial" w:hAnsi="Arial" w:cs="Arial"/>
          <w:sz w:val="24"/>
          <w:szCs w:val="24"/>
        </w:rPr>
        <w:t xml:space="preserve"> 13(1)</w:t>
      </w:r>
      <w:r w:rsidR="001E4C77" w:rsidRPr="00A6519D">
        <w:rPr>
          <w:rFonts w:ascii="Arial" w:hAnsi="Arial" w:cs="Arial"/>
          <w:sz w:val="24"/>
          <w:szCs w:val="24"/>
        </w:rPr>
        <w:t xml:space="preserve"> would necessarily conflict with A</w:t>
      </w:r>
      <w:r w:rsidR="000A3F6B">
        <w:rPr>
          <w:rFonts w:ascii="Arial" w:hAnsi="Arial" w:cs="Arial"/>
          <w:sz w:val="24"/>
          <w:szCs w:val="24"/>
        </w:rPr>
        <w:t>r</w:t>
      </w:r>
      <w:r w:rsidR="001E4C77" w:rsidRPr="00A6519D">
        <w:rPr>
          <w:rFonts w:ascii="Arial" w:hAnsi="Arial" w:cs="Arial"/>
          <w:sz w:val="24"/>
          <w:szCs w:val="24"/>
        </w:rPr>
        <w:t>ts 12 or 18 or the common law.</w:t>
      </w:r>
      <w:r w:rsidR="000A3F6B">
        <w:rPr>
          <w:rFonts w:ascii="Arial" w:hAnsi="Arial" w:cs="Arial"/>
          <w:sz w:val="24"/>
          <w:szCs w:val="24"/>
        </w:rPr>
        <w:t xml:space="preserve"> On the contrary</w:t>
      </w:r>
      <w:r w:rsidR="006515A9">
        <w:rPr>
          <w:rFonts w:ascii="Arial" w:hAnsi="Arial" w:cs="Arial"/>
          <w:sz w:val="24"/>
          <w:szCs w:val="24"/>
        </w:rPr>
        <w:t>,</w:t>
      </w:r>
      <w:r w:rsidR="000A3F6B">
        <w:rPr>
          <w:rFonts w:ascii="Arial" w:hAnsi="Arial" w:cs="Arial"/>
          <w:sz w:val="24"/>
          <w:szCs w:val="24"/>
        </w:rPr>
        <w:t xml:space="preserve"> the courts in Namibia and elsewhere recognise the role of specialist tribunals w</w:t>
      </w:r>
      <w:r w:rsidR="00B30010">
        <w:rPr>
          <w:rFonts w:ascii="Arial" w:hAnsi="Arial" w:cs="Arial"/>
          <w:sz w:val="24"/>
          <w:szCs w:val="24"/>
        </w:rPr>
        <w:t>here procedures may differ from adversarial trial procedure.</w:t>
      </w:r>
    </w:p>
    <w:p w:rsidR="00960DA5" w:rsidRPr="001C25CA" w:rsidRDefault="00960DA5" w:rsidP="00960DA5">
      <w:pPr>
        <w:pStyle w:val="ListParagraph"/>
        <w:rPr>
          <w:rFonts w:ascii="Arial" w:hAnsi="Arial" w:cs="Arial"/>
          <w:sz w:val="24"/>
          <w:szCs w:val="24"/>
        </w:rPr>
      </w:pPr>
    </w:p>
    <w:p w:rsidR="00960DA5" w:rsidRPr="001C25CA" w:rsidRDefault="001E4C77"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lastRenderedPageBreak/>
        <w:t>The rules governing District Labour Courts established by the Labour Act, 1992</w:t>
      </w:r>
      <w:r w:rsidRPr="001C25CA">
        <w:rPr>
          <w:rStyle w:val="FootnoteReference"/>
          <w:rFonts w:ascii="Arial" w:hAnsi="Arial" w:cs="Arial"/>
          <w:sz w:val="24"/>
          <w:szCs w:val="24"/>
        </w:rPr>
        <w:footnoteReference w:id="29"/>
      </w:r>
      <w:r w:rsidRPr="001C25CA">
        <w:rPr>
          <w:rFonts w:ascii="Arial" w:hAnsi="Arial" w:cs="Arial"/>
          <w:sz w:val="24"/>
          <w:szCs w:val="24"/>
        </w:rPr>
        <w:t xml:space="preserve"> had a similar provision:</w:t>
      </w:r>
    </w:p>
    <w:p w:rsidR="004D1969" w:rsidRPr="001C25CA" w:rsidRDefault="004D1969" w:rsidP="009510CB">
      <w:pPr>
        <w:pStyle w:val="ListParagraph"/>
        <w:spacing w:after="0" w:line="480" w:lineRule="auto"/>
        <w:rPr>
          <w:rFonts w:ascii="Arial" w:hAnsi="Arial" w:cs="Arial"/>
          <w:sz w:val="24"/>
          <w:szCs w:val="24"/>
        </w:rPr>
      </w:pPr>
    </w:p>
    <w:p w:rsidR="004D1969" w:rsidRPr="00A066DB" w:rsidRDefault="004D1969" w:rsidP="00594EA3">
      <w:pPr>
        <w:pStyle w:val="NoSpacing"/>
        <w:spacing w:line="360" w:lineRule="auto"/>
        <w:ind w:left="720"/>
        <w:jc w:val="both"/>
        <w:rPr>
          <w:rFonts w:ascii="Arial" w:hAnsi="Arial" w:cs="Arial"/>
        </w:rPr>
      </w:pPr>
      <w:r w:rsidRPr="00A066DB">
        <w:rPr>
          <w:rFonts w:ascii="Arial" w:hAnsi="Arial" w:cs="Arial"/>
        </w:rPr>
        <w:t>‘The hearing of the complaint shall be conducted in such manner as the chairperson considers most suitable to the clarification of the issues before the court and generally to the just handling of the proceedings and the chairperson shall, so far as it appears appropriate, seek to avoid formality in the proceedings and, except terms of the provisions of section 110 of the Act, shall not be bound by any law relating to the admissibility of evidence.’</w:t>
      </w:r>
    </w:p>
    <w:p w:rsidR="001E4C77" w:rsidRDefault="001E4C77" w:rsidP="009510CB">
      <w:pPr>
        <w:spacing w:after="0" w:line="480" w:lineRule="auto"/>
        <w:rPr>
          <w:rFonts w:ascii="Arial" w:hAnsi="Arial" w:cs="Arial"/>
          <w:sz w:val="24"/>
          <w:szCs w:val="24"/>
        </w:rPr>
      </w:pPr>
    </w:p>
    <w:p w:rsidR="00114682" w:rsidRDefault="00114682" w:rsidP="00114682">
      <w:pPr>
        <w:spacing w:line="480" w:lineRule="auto"/>
        <w:jc w:val="both"/>
        <w:rPr>
          <w:rFonts w:ascii="Arial" w:hAnsi="Arial" w:cs="Arial"/>
          <w:sz w:val="24"/>
          <w:szCs w:val="24"/>
        </w:rPr>
      </w:pPr>
      <w:r>
        <w:rPr>
          <w:rFonts w:ascii="Arial" w:hAnsi="Arial" w:cs="Arial"/>
          <w:sz w:val="24"/>
          <w:szCs w:val="24"/>
        </w:rPr>
        <w:t>A similar provision is to be found in the rules relating to the conduct of conciliation and arbitration before the Labour Commissioner</w:t>
      </w:r>
      <w:r>
        <w:rPr>
          <w:rStyle w:val="FootnoteReference"/>
          <w:rFonts w:ascii="Arial" w:hAnsi="Arial" w:cs="Arial"/>
          <w:sz w:val="24"/>
          <w:szCs w:val="24"/>
        </w:rPr>
        <w:footnoteReference w:id="30"/>
      </w:r>
      <w:r>
        <w:rPr>
          <w:rFonts w:ascii="Arial" w:hAnsi="Arial" w:cs="Arial"/>
          <w:sz w:val="24"/>
          <w:szCs w:val="24"/>
        </w:rPr>
        <w:t xml:space="preserve"> </w:t>
      </w:r>
      <w:r w:rsidR="006515A9">
        <w:rPr>
          <w:rFonts w:ascii="Arial" w:hAnsi="Arial" w:cs="Arial"/>
          <w:sz w:val="24"/>
          <w:szCs w:val="24"/>
        </w:rPr>
        <w:t xml:space="preserve">where </w:t>
      </w:r>
      <w:r>
        <w:rPr>
          <w:rFonts w:ascii="Arial" w:hAnsi="Arial" w:cs="Arial"/>
          <w:sz w:val="24"/>
          <w:szCs w:val="24"/>
        </w:rPr>
        <w:t>rule 18 provide</w:t>
      </w:r>
      <w:r w:rsidR="006515A9">
        <w:rPr>
          <w:rFonts w:ascii="Arial" w:hAnsi="Arial" w:cs="Arial"/>
          <w:sz w:val="24"/>
          <w:szCs w:val="24"/>
        </w:rPr>
        <w:t>s</w:t>
      </w:r>
      <w:r>
        <w:rPr>
          <w:rFonts w:ascii="Arial" w:hAnsi="Arial" w:cs="Arial"/>
          <w:sz w:val="24"/>
          <w:szCs w:val="24"/>
        </w:rPr>
        <w:t>:</w:t>
      </w:r>
    </w:p>
    <w:p w:rsidR="00114682" w:rsidRDefault="00114682" w:rsidP="00497DB0">
      <w:pPr>
        <w:spacing w:after="0" w:line="360" w:lineRule="auto"/>
        <w:jc w:val="both"/>
        <w:rPr>
          <w:rFonts w:ascii="Arial" w:hAnsi="Arial" w:cs="Arial"/>
          <w:sz w:val="24"/>
          <w:szCs w:val="24"/>
        </w:rPr>
      </w:pPr>
      <w:r>
        <w:rPr>
          <w:rFonts w:ascii="Arial" w:hAnsi="Arial" w:cs="Arial"/>
          <w:sz w:val="24"/>
          <w:szCs w:val="24"/>
        </w:rPr>
        <w:tab/>
      </w:r>
    </w:p>
    <w:p w:rsidR="00114682" w:rsidRPr="00121972" w:rsidRDefault="00114682" w:rsidP="00EA5644">
      <w:pPr>
        <w:spacing w:line="360" w:lineRule="auto"/>
        <w:ind w:left="720"/>
        <w:jc w:val="both"/>
        <w:rPr>
          <w:rFonts w:ascii="Arial" w:hAnsi="Arial" w:cs="Arial"/>
        </w:rPr>
      </w:pPr>
      <w:r w:rsidRPr="00121972">
        <w:rPr>
          <w:rFonts w:ascii="Arial" w:hAnsi="Arial" w:cs="Arial"/>
        </w:rPr>
        <w:t>‘The arbitrator must conduct the arbitration in a manner contemplated in s 86(7) of the Act and may determine the dispute without applying strictly the rules of evidence.’</w:t>
      </w:r>
    </w:p>
    <w:p w:rsidR="00114682" w:rsidRPr="00114682" w:rsidRDefault="00114682" w:rsidP="009510CB">
      <w:pPr>
        <w:spacing w:after="0" w:line="480" w:lineRule="auto"/>
        <w:jc w:val="both"/>
        <w:rPr>
          <w:rFonts w:ascii="Arial" w:hAnsi="Arial" w:cs="Arial"/>
          <w:sz w:val="24"/>
          <w:szCs w:val="24"/>
        </w:rPr>
      </w:pPr>
    </w:p>
    <w:p w:rsidR="001E4C77" w:rsidRPr="001C25CA" w:rsidRDefault="001E4C77"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Specialised tribunals have the advantage of expertise being deployed,</w:t>
      </w:r>
      <w:r w:rsidR="00EA5644">
        <w:rPr>
          <w:rFonts w:ascii="Arial" w:hAnsi="Arial" w:cs="Arial"/>
          <w:sz w:val="24"/>
          <w:szCs w:val="24"/>
        </w:rPr>
        <w:t xml:space="preserve"> as</w:t>
      </w:r>
      <w:r w:rsidRPr="001C25CA">
        <w:rPr>
          <w:rFonts w:ascii="Arial" w:hAnsi="Arial" w:cs="Arial"/>
          <w:sz w:val="24"/>
          <w:szCs w:val="24"/>
        </w:rPr>
        <w:t xml:space="preserve"> </w:t>
      </w:r>
      <w:r w:rsidR="006515A9">
        <w:rPr>
          <w:rFonts w:ascii="Arial" w:hAnsi="Arial" w:cs="Arial"/>
          <w:sz w:val="24"/>
          <w:szCs w:val="24"/>
        </w:rPr>
        <w:t xml:space="preserve">is </w:t>
      </w:r>
      <w:r w:rsidRPr="001C25CA">
        <w:rPr>
          <w:rFonts w:ascii="Arial" w:hAnsi="Arial" w:cs="Arial"/>
          <w:sz w:val="24"/>
          <w:szCs w:val="24"/>
        </w:rPr>
        <w:t xml:space="preserve">recognised by Wade &amp; Forsyth </w:t>
      </w:r>
      <w:r w:rsidRPr="001C25CA">
        <w:rPr>
          <w:rFonts w:ascii="Arial" w:hAnsi="Arial" w:cs="Arial"/>
          <w:i/>
          <w:sz w:val="24"/>
          <w:szCs w:val="24"/>
        </w:rPr>
        <w:t>Administrative Law</w:t>
      </w:r>
      <w:r w:rsidRPr="001C25CA">
        <w:rPr>
          <w:rFonts w:ascii="Arial" w:hAnsi="Arial" w:cs="Arial"/>
          <w:sz w:val="24"/>
          <w:szCs w:val="24"/>
        </w:rPr>
        <w:t>.</w:t>
      </w:r>
      <w:r w:rsidRPr="001C25CA">
        <w:rPr>
          <w:rStyle w:val="FootnoteReference"/>
          <w:rFonts w:ascii="Arial" w:hAnsi="Arial" w:cs="Arial"/>
          <w:sz w:val="24"/>
          <w:szCs w:val="24"/>
        </w:rPr>
        <w:footnoteReference w:id="31"/>
      </w:r>
    </w:p>
    <w:p w:rsidR="001E4C77" w:rsidRPr="001C25CA" w:rsidRDefault="001E4C77" w:rsidP="009510CB">
      <w:pPr>
        <w:pStyle w:val="ListParagraph"/>
        <w:spacing w:after="0" w:line="480" w:lineRule="auto"/>
        <w:rPr>
          <w:rFonts w:ascii="Arial" w:hAnsi="Arial" w:cs="Arial"/>
          <w:sz w:val="24"/>
          <w:szCs w:val="24"/>
        </w:rPr>
      </w:pPr>
    </w:p>
    <w:p w:rsidR="001E4C77" w:rsidRPr="006D094B" w:rsidRDefault="001E4C77" w:rsidP="00594EA3">
      <w:pPr>
        <w:pStyle w:val="NoSpacing"/>
        <w:spacing w:line="360" w:lineRule="auto"/>
        <w:ind w:left="720"/>
        <w:jc w:val="both"/>
        <w:rPr>
          <w:rFonts w:ascii="Arial" w:hAnsi="Arial" w:cs="Arial"/>
        </w:rPr>
      </w:pPr>
      <w:r w:rsidRPr="006D094B">
        <w:rPr>
          <w:rFonts w:ascii="Arial" w:hAnsi="Arial" w:cs="Arial"/>
        </w:rPr>
        <w:t>‘</w:t>
      </w:r>
      <w:r w:rsidR="006D094B" w:rsidRPr="006D094B">
        <w:rPr>
          <w:rFonts w:ascii="Arial" w:hAnsi="Arial" w:cs="Arial"/>
          <w:spacing w:val="-3"/>
        </w:rPr>
        <w:t>Qualified surveyors sit on the Land Tribunal and experts in tax sit as Special Commissioners of Income Tax. Specialised tribunals can deal more expertly and more rapidly with special classes of cases, whereas in the High Court counsel may take a day or more to explain to the judge how some statutory scheme is designed to operate. Even without technical expertise, a specialised tribunal quickly builds up expertise in its own field. Where there is a continuous flow of claims of a particular class, there is every advantage in a specialised jurisdiction</w:t>
      </w:r>
      <w:r w:rsidRPr="006D094B">
        <w:rPr>
          <w:rFonts w:ascii="Arial" w:hAnsi="Arial" w:cs="Arial"/>
        </w:rPr>
        <w:t>’</w:t>
      </w:r>
      <w:r w:rsidR="006D094B">
        <w:rPr>
          <w:rFonts w:ascii="Arial" w:hAnsi="Arial" w:cs="Arial"/>
        </w:rPr>
        <w:t>.</w:t>
      </w:r>
    </w:p>
    <w:p w:rsidR="00960DA5" w:rsidRPr="001C25CA" w:rsidRDefault="00960DA5" w:rsidP="00021ECC">
      <w:pPr>
        <w:pStyle w:val="ListParagraph"/>
        <w:spacing w:line="480" w:lineRule="auto"/>
        <w:rPr>
          <w:rFonts w:ascii="Arial" w:hAnsi="Arial" w:cs="Arial"/>
          <w:sz w:val="24"/>
          <w:szCs w:val="24"/>
        </w:rPr>
      </w:pPr>
    </w:p>
    <w:p w:rsidR="00960DA5" w:rsidRPr="001C25CA" w:rsidRDefault="001E4C77"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lastRenderedPageBreak/>
        <w:t xml:space="preserve">By providing that a valuation court would not be bound by any law relating to procedure and admissibility of evidence is in favour of land owners seeking to object to values and addressing valuation issues, </w:t>
      </w:r>
      <w:r w:rsidR="006D094B">
        <w:rPr>
          <w:rFonts w:ascii="Arial" w:hAnsi="Arial" w:cs="Arial"/>
          <w:sz w:val="24"/>
          <w:szCs w:val="24"/>
        </w:rPr>
        <w:t xml:space="preserve">with the valuation court being </w:t>
      </w:r>
      <w:r w:rsidR="006515A9">
        <w:rPr>
          <w:rFonts w:ascii="Arial" w:hAnsi="Arial" w:cs="Arial"/>
          <w:sz w:val="24"/>
          <w:szCs w:val="24"/>
        </w:rPr>
        <w:t xml:space="preserve">thus </w:t>
      </w:r>
      <w:r w:rsidR="006D094B">
        <w:rPr>
          <w:rFonts w:ascii="Arial" w:hAnsi="Arial" w:cs="Arial"/>
          <w:sz w:val="24"/>
          <w:szCs w:val="24"/>
        </w:rPr>
        <w:t>authorised to consider valuation certificates without the necessity of calling the authors to give evidence</w:t>
      </w:r>
      <w:r w:rsidR="0008009C" w:rsidRPr="001C25CA">
        <w:rPr>
          <w:rFonts w:ascii="Arial" w:hAnsi="Arial" w:cs="Arial"/>
          <w:sz w:val="24"/>
          <w:szCs w:val="24"/>
        </w:rPr>
        <w:t>.</w:t>
      </w:r>
    </w:p>
    <w:p w:rsidR="00960DA5" w:rsidRPr="001C25CA" w:rsidRDefault="00960DA5" w:rsidP="00960DA5">
      <w:pPr>
        <w:pStyle w:val="ListParagraph"/>
        <w:rPr>
          <w:rFonts w:ascii="Arial" w:hAnsi="Arial" w:cs="Arial"/>
          <w:sz w:val="24"/>
          <w:szCs w:val="24"/>
        </w:rPr>
      </w:pPr>
    </w:p>
    <w:p w:rsidR="00960DA5" w:rsidRPr="001C25CA" w:rsidRDefault="0008009C"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Article 12 entrenches the right to a fair trial and Art 18 to fair and reasonable administrative action. The appellant has not shown that this regulation infringes th</w:t>
      </w:r>
      <w:r w:rsidR="006D094B">
        <w:rPr>
          <w:rFonts w:ascii="Arial" w:hAnsi="Arial" w:cs="Arial"/>
          <w:sz w:val="24"/>
          <w:szCs w:val="24"/>
        </w:rPr>
        <w:t>ose</w:t>
      </w:r>
      <w:r w:rsidRPr="001C25CA">
        <w:rPr>
          <w:rFonts w:ascii="Arial" w:hAnsi="Arial" w:cs="Arial"/>
          <w:sz w:val="24"/>
          <w:szCs w:val="24"/>
        </w:rPr>
        <w:t xml:space="preserve"> right</w:t>
      </w:r>
      <w:r w:rsidR="006D094B">
        <w:rPr>
          <w:rFonts w:ascii="Arial" w:hAnsi="Arial" w:cs="Arial"/>
          <w:sz w:val="24"/>
          <w:szCs w:val="24"/>
        </w:rPr>
        <w:t>s</w:t>
      </w:r>
      <w:r w:rsidRPr="001C25CA">
        <w:rPr>
          <w:rFonts w:ascii="Arial" w:hAnsi="Arial" w:cs="Arial"/>
          <w:sz w:val="24"/>
          <w:szCs w:val="24"/>
        </w:rPr>
        <w:t xml:space="preserve"> in any way at all. By permitting flexibility to the proceedings cannot of its own infringe those rights. On the contrary, it would seem that a provision of this nature may enhance fairness</w:t>
      </w:r>
      <w:r w:rsidR="006D094B">
        <w:rPr>
          <w:rFonts w:ascii="Arial" w:hAnsi="Arial" w:cs="Arial"/>
          <w:sz w:val="24"/>
          <w:szCs w:val="24"/>
        </w:rPr>
        <w:t xml:space="preserve"> and accessibility to justice</w:t>
      </w:r>
      <w:r w:rsidR="006515A9">
        <w:rPr>
          <w:rFonts w:ascii="Arial" w:hAnsi="Arial" w:cs="Arial"/>
          <w:sz w:val="24"/>
          <w:szCs w:val="24"/>
        </w:rPr>
        <w:t xml:space="preserve"> for those affected by the tax</w:t>
      </w:r>
      <w:r w:rsidRPr="001C25CA">
        <w:rPr>
          <w:rFonts w:ascii="Arial" w:hAnsi="Arial" w:cs="Arial"/>
          <w:sz w:val="24"/>
          <w:szCs w:val="24"/>
        </w:rPr>
        <w:t>. This challenge is likewise devoid of merit.</w:t>
      </w:r>
    </w:p>
    <w:p w:rsidR="0008009C" w:rsidRPr="001C25CA" w:rsidRDefault="0008009C" w:rsidP="000F61A4">
      <w:pPr>
        <w:spacing w:after="0"/>
        <w:rPr>
          <w:rFonts w:ascii="Arial" w:hAnsi="Arial" w:cs="Arial"/>
          <w:sz w:val="24"/>
          <w:szCs w:val="24"/>
        </w:rPr>
      </w:pPr>
    </w:p>
    <w:p w:rsidR="0008009C" w:rsidRPr="001C25CA" w:rsidRDefault="0008009C" w:rsidP="0008009C">
      <w:pPr>
        <w:rPr>
          <w:rFonts w:ascii="Arial" w:hAnsi="Arial" w:cs="Arial"/>
          <w:sz w:val="24"/>
          <w:szCs w:val="24"/>
          <w:u w:val="single"/>
        </w:rPr>
      </w:pPr>
      <w:r w:rsidRPr="001C25CA">
        <w:rPr>
          <w:rFonts w:ascii="Arial" w:hAnsi="Arial" w:cs="Arial"/>
          <w:sz w:val="24"/>
          <w:szCs w:val="24"/>
          <w:u w:val="single"/>
        </w:rPr>
        <w:t>Regulations 14(1) and (3)</w:t>
      </w:r>
    </w:p>
    <w:p w:rsidR="0008009C" w:rsidRPr="001C25CA" w:rsidRDefault="006D094B"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These sub-regulations provide</w:t>
      </w:r>
      <w:r w:rsidR="0008009C" w:rsidRPr="001C25CA">
        <w:rPr>
          <w:rFonts w:ascii="Arial" w:hAnsi="Arial" w:cs="Arial"/>
          <w:sz w:val="24"/>
          <w:szCs w:val="24"/>
        </w:rPr>
        <w:t>:</w:t>
      </w:r>
    </w:p>
    <w:p w:rsidR="0008009C" w:rsidRPr="001C25CA" w:rsidRDefault="0008009C" w:rsidP="0008009C">
      <w:pPr>
        <w:pStyle w:val="NoSpacing"/>
        <w:spacing w:line="480" w:lineRule="auto"/>
        <w:jc w:val="both"/>
        <w:rPr>
          <w:rFonts w:ascii="Arial" w:hAnsi="Arial" w:cs="Arial"/>
          <w:sz w:val="24"/>
          <w:szCs w:val="24"/>
        </w:rPr>
      </w:pPr>
    </w:p>
    <w:p w:rsidR="00856376" w:rsidRPr="00856376" w:rsidRDefault="0008009C" w:rsidP="00856376">
      <w:pPr>
        <w:pStyle w:val="NoSpacing"/>
        <w:spacing w:line="360" w:lineRule="auto"/>
        <w:ind w:left="1440" w:hanging="720"/>
        <w:jc w:val="both"/>
        <w:rPr>
          <w:rFonts w:ascii="Arial" w:hAnsi="Arial" w:cs="Arial"/>
        </w:rPr>
      </w:pPr>
      <w:r w:rsidRPr="00856376">
        <w:rPr>
          <w:rFonts w:ascii="Arial" w:hAnsi="Arial" w:cs="Arial"/>
        </w:rPr>
        <w:t>‘</w:t>
      </w:r>
      <w:r w:rsidR="00856376" w:rsidRPr="00856376">
        <w:rPr>
          <w:rFonts w:ascii="Arial" w:hAnsi="Arial" w:cs="Arial"/>
        </w:rPr>
        <w:t>(1)</w:t>
      </w:r>
      <w:r w:rsidR="00856376" w:rsidRPr="00856376">
        <w:rPr>
          <w:rFonts w:ascii="Arial" w:hAnsi="Arial" w:cs="Arial"/>
        </w:rPr>
        <w:tab/>
        <w:t xml:space="preserve">A person who has lodged an objection pursuant to regulation 6 and who is aggrieved by a decision of the valuation court made in relation to that objection may, within 30 days from the date on which notification of the decision was given appeal on a point of law against the court’s decision to the High Court. </w:t>
      </w:r>
    </w:p>
    <w:p w:rsidR="00856376" w:rsidRPr="00856376" w:rsidRDefault="00856376" w:rsidP="00856376">
      <w:pPr>
        <w:pStyle w:val="NoSpacing"/>
        <w:spacing w:line="360" w:lineRule="auto"/>
        <w:ind w:left="1440" w:hanging="720"/>
        <w:jc w:val="both"/>
        <w:rPr>
          <w:rFonts w:ascii="Arial" w:hAnsi="Arial" w:cs="Arial"/>
        </w:rPr>
      </w:pPr>
    </w:p>
    <w:p w:rsidR="00856376" w:rsidRPr="00856376" w:rsidRDefault="00856376" w:rsidP="00856376">
      <w:pPr>
        <w:pStyle w:val="NoSpacing"/>
        <w:spacing w:line="360" w:lineRule="auto"/>
        <w:ind w:left="1440" w:hanging="720"/>
        <w:jc w:val="both"/>
        <w:rPr>
          <w:rFonts w:ascii="Arial" w:hAnsi="Arial" w:cs="Arial"/>
        </w:rPr>
      </w:pPr>
      <w:r w:rsidRPr="00856376">
        <w:rPr>
          <w:rFonts w:ascii="Arial" w:hAnsi="Arial" w:cs="Arial"/>
        </w:rPr>
        <w:t>. . .</w:t>
      </w:r>
    </w:p>
    <w:p w:rsidR="00856376" w:rsidRPr="00856376" w:rsidRDefault="00856376" w:rsidP="00856376">
      <w:pPr>
        <w:pStyle w:val="NoSpacing"/>
        <w:spacing w:line="360" w:lineRule="auto"/>
        <w:ind w:left="1440" w:hanging="720"/>
        <w:jc w:val="both"/>
        <w:rPr>
          <w:rFonts w:ascii="Arial" w:hAnsi="Arial" w:cs="Arial"/>
        </w:rPr>
      </w:pPr>
      <w:r w:rsidRPr="00856376">
        <w:rPr>
          <w:rFonts w:ascii="Arial" w:hAnsi="Arial" w:cs="Arial"/>
        </w:rPr>
        <w:tab/>
      </w:r>
    </w:p>
    <w:p w:rsidR="00856376" w:rsidRPr="00856376" w:rsidRDefault="00856376" w:rsidP="00856376">
      <w:pPr>
        <w:pStyle w:val="NoSpacing"/>
        <w:spacing w:line="360" w:lineRule="auto"/>
        <w:ind w:left="1440" w:hanging="720"/>
        <w:jc w:val="both"/>
        <w:rPr>
          <w:rFonts w:ascii="Arial" w:hAnsi="Arial" w:cs="Arial"/>
        </w:rPr>
      </w:pPr>
      <w:r w:rsidRPr="00856376">
        <w:rPr>
          <w:rFonts w:ascii="Arial" w:hAnsi="Arial" w:cs="Arial"/>
        </w:rPr>
        <w:t>(3)</w:t>
      </w:r>
      <w:r w:rsidRPr="00856376">
        <w:rPr>
          <w:rFonts w:ascii="Arial" w:hAnsi="Arial" w:cs="Arial"/>
        </w:rPr>
        <w:tab/>
        <w:t xml:space="preserve">Despite any law to the contrary, the fact that an appeal against the decision of a valuation court is pending does not – </w:t>
      </w:r>
    </w:p>
    <w:p w:rsidR="00856376" w:rsidRPr="00856376" w:rsidRDefault="00856376" w:rsidP="00856376">
      <w:pPr>
        <w:pStyle w:val="NoSpacing"/>
        <w:spacing w:line="360" w:lineRule="auto"/>
        <w:jc w:val="both"/>
        <w:rPr>
          <w:rFonts w:ascii="Arial" w:hAnsi="Arial" w:cs="Arial"/>
        </w:rPr>
      </w:pPr>
    </w:p>
    <w:p w:rsidR="00856376" w:rsidRPr="00856376" w:rsidRDefault="00856376" w:rsidP="00856376">
      <w:pPr>
        <w:pStyle w:val="NoSpacing"/>
        <w:numPr>
          <w:ilvl w:val="0"/>
          <w:numId w:val="16"/>
        </w:numPr>
        <w:spacing w:line="360" w:lineRule="auto"/>
        <w:jc w:val="both"/>
        <w:rPr>
          <w:rFonts w:ascii="Arial" w:hAnsi="Arial" w:cs="Arial"/>
        </w:rPr>
      </w:pPr>
      <w:r w:rsidRPr="00856376">
        <w:rPr>
          <w:rFonts w:ascii="Arial" w:hAnsi="Arial" w:cs="Arial"/>
        </w:rPr>
        <w:t xml:space="preserve">interfere with or affect the operation of such decision; or </w:t>
      </w:r>
    </w:p>
    <w:p w:rsidR="00856376" w:rsidRPr="00856376" w:rsidRDefault="00856376" w:rsidP="00856376">
      <w:pPr>
        <w:pStyle w:val="NoSpacing"/>
        <w:spacing w:line="360" w:lineRule="auto"/>
        <w:ind w:left="2160"/>
        <w:jc w:val="both"/>
        <w:rPr>
          <w:rFonts w:ascii="Arial" w:hAnsi="Arial" w:cs="Arial"/>
        </w:rPr>
      </w:pPr>
    </w:p>
    <w:p w:rsidR="0008009C" w:rsidRPr="00856376" w:rsidRDefault="00856376" w:rsidP="00856376">
      <w:pPr>
        <w:pStyle w:val="NoSpacing"/>
        <w:spacing w:line="360" w:lineRule="auto"/>
        <w:ind w:left="1440"/>
        <w:jc w:val="both"/>
        <w:rPr>
          <w:rFonts w:ascii="Arial" w:hAnsi="Arial" w:cs="Arial"/>
        </w:rPr>
      </w:pPr>
      <w:r w:rsidRPr="00856376">
        <w:rPr>
          <w:rFonts w:ascii="Arial" w:hAnsi="Arial" w:cs="Arial"/>
        </w:rPr>
        <w:lastRenderedPageBreak/>
        <w:t>(b)</w:t>
      </w:r>
      <w:r w:rsidRPr="00856376">
        <w:rPr>
          <w:rFonts w:ascii="Arial" w:hAnsi="Arial" w:cs="Arial"/>
        </w:rPr>
        <w:tab/>
        <w:t>prevent the land tax from being assessed and recovered on the basis of the valuation fixed by such decision in like manner as if no appeal was pending.</w:t>
      </w:r>
      <w:r>
        <w:rPr>
          <w:rFonts w:ascii="Arial" w:hAnsi="Arial" w:cs="Arial"/>
        </w:rPr>
        <w:t>’</w:t>
      </w:r>
    </w:p>
    <w:p w:rsidR="0008009C" w:rsidRPr="001C25CA" w:rsidRDefault="0008009C" w:rsidP="0008009C">
      <w:pPr>
        <w:pStyle w:val="ListParagraph"/>
        <w:rPr>
          <w:rFonts w:ascii="Arial" w:hAnsi="Arial" w:cs="Arial"/>
          <w:sz w:val="24"/>
          <w:szCs w:val="24"/>
        </w:rPr>
      </w:pPr>
    </w:p>
    <w:p w:rsidR="006515A9" w:rsidRDefault="0008009C"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Regulation 14(1) restricts an appeal from a decision of a valuation </w:t>
      </w:r>
      <w:r w:rsidR="006D094B">
        <w:rPr>
          <w:rFonts w:ascii="Arial" w:hAnsi="Arial" w:cs="Arial"/>
          <w:sz w:val="24"/>
          <w:szCs w:val="24"/>
        </w:rPr>
        <w:t xml:space="preserve">court </w:t>
      </w:r>
      <w:r w:rsidRPr="001C25CA">
        <w:rPr>
          <w:rFonts w:ascii="Arial" w:hAnsi="Arial" w:cs="Arial"/>
          <w:sz w:val="24"/>
          <w:szCs w:val="24"/>
        </w:rPr>
        <w:t>to a point of law whi</w:t>
      </w:r>
      <w:r w:rsidR="000F61A4">
        <w:rPr>
          <w:rFonts w:ascii="Arial" w:hAnsi="Arial" w:cs="Arial"/>
          <w:sz w:val="24"/>
          <w:szCs w:val="24"/>
        </w:rPr>
        <w:t>l</w:t>
      </w:r>
      <w:r w:rsidRPr="001C25CA">
        <w:rPr>
          <w:rFonts w:ascii="Arial" w:hAnsi="Arial" w:cs="Arial"/>
          <w:sz w:val="24"/>
          <w:szCs w:val="24"/>
        </w:rPr>
        <w:t xml:space="preserve">st regulation 14(3) applies the principle of ‘pay now, argue later’ to an appeal on a point of law. The appellant contends that these are unconstitutional. </w:t>
      </w:r>
    </w:p>
    <w:p w:rsidR="006515A9" w:rsidRDefault="006515A9" w:rsidP="006515A9">
      <w:pPr>
        <w:pStyle w:val="NoSpacing"/>
        <w:spacing w:line="480" w:lineRule="auto"/>
        <w:jc w:val="both"/>
        <w:rPr>
          <w:rFonts w:ascii="Arial" w:hAnsi="Arial" w:cs="Arial"/>
          <w:sz w:val="24"/>
          <w:szCs w:val="24"/>
        </w:rPr>
      </w:pPr>
    </w:p>
    <w:p w:rsidR="0008009C" w:rsidRPr="001C25CA" w:rsidRDefault="0008009C"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The appellant argued that by excluding site value determination from an</w:t>
      </w:r>
      <w:r w:rsidR="006D094B">
        <w:rPr>
          <w:rFonts w:ascii="Arial" w:hAnsi="Arial" w:cs="Arial"/>
          <w:sz w:val="24"/>
          <w:szCs w:val="24"/>
        </w:rPr>
        <w:t xml:space="preserve"> appeal (because it would </w:t>
      </w:r>
      <w:r w:rsidR="006515A9">
        <w:rPr>
          <w:rFonts w:ascii="Arial" w:hAnsi="Arial" w:cs="Arial"/>
          <w:sz w:val="24"/>
          <w:szCs w:val="24"/>
        </w:rPr>
        <w:t xml:space="preserve">not </w:t>
      </w:r>
      <w:r w:rsidR="006D094B">
        <w:rPr>
          <w:rFonts w:ascii="Arial" w:hAnsi="Arial" w:cs="Arial"/>
          <w:sz w:val="24"/>
          <w:szCs w:val="24"/>
        </w:rPr>
        <w:t>normally be a legal issue)</w:t>
      </w:r>
      <w:r w:rsidRPr="001C25CA">
        <w:rPr>
          <w:rFonts w:ascii="Arial" w:hAnsi="Arial" w:cs="Arial"/>
          <w:sz w:val="24"/>
          <w:szCs w:val="24"/>
        </w:rPr>
        <w:t xml:space="preserve"> ‘access to justice’ is </w:t>
      </w:r>
      <w:r w:rsidR="006515A9">
        <w:rPr>
          <w:rFonts w:ascii="Arial" w:hAnsi="Arial" w:cs="Arial"/>
          <w:sz w:val="24"/>
          <w:szCs w:val="24"/>
        </w:rPr>
        <w:t>‘</w:t>
      </w:r>
      <w:r w:rsidRPr="001C25CA">
        <w:rPr>
          <w:rFonts w:ascii="Arial" w:hAnsi="Arial" w:cs="Arial"/>
          <w:sz w:val="24"/>
          <w:szCs w:val="24"/>
        </w:rPr>
        <w:t>eliminated</w:t>
      </w:r>
      <w:r w:rsidR="006515A9">
        <w:rPr>
          <w:rFonts w:ascii="Arial" w:hAnsi="Arial" w:cs="Arial"/>
          <w:sz w:val="24"/>
          <w:szCs w:val="24"/>
        </w:rPr>
        <w:t>’</w:t>
      </w:r>
      <w:r w:rsidRPr="001C25CA">
        <w:rPr>
          <w:rFonts w:ascii="Arial" w:hAnsi="Arial" w:cs="Arial"/>
          <w:sz w:val="24"/>
          <w:szCs w:val="24"/>
        </w:rPr>
        <w:t xml:space="preserve"> in conflict with Arts 12 and 18 of the Constitution. No further grounds a</w:t>
      </w:r>
      <w:r w:rsidR="006515A9">
        <w:rPr>
          <w:rFonts w:ascii="Arial" w:hAnsi="Arial" w:cs="Arial"/>
          <w:sz w:val="24"/>
          <w:szCs w:val="24"/>
        </w:rPr>
        <w:t>r</w:t>
      </w:r>
      <w:r w:rsidRPr="001C25CA">
        <w:rPr>
          <w:rFonts w:ascii="Arial" w:hAnsi="Arial" w:cs="Arial"/>
          <w:sz w:val="24"/>
          <w:szCs w:val="24"/>
        </w:rPr>
        <w:t xml:space="preserve">e advanced for this conclusion. Nor is any authority. Indeed, a judgment of this court cited by the appellant in a different context, </w:t>
      </w:r>
      <w:r w:rsidRPr="001C25CA">
        <w:rPr>
          <w:rFonts w:ascii="Arial" w:hAnsi="Arial" w:cs="Arial"/>
          <w:i/>
          <w:sz w:val="24"/>
          <w:szCs w:val="24"/>
        </w:rPr>
        <w:t>Janse van Rensburg v Wilderness Air Namibia (Pty) Ltd</w:t>
      </w:r>
      <w:r w:rsidRPr="001C25CA">
        <w:rPr>
          <w:rStyle w:val="FootnoteReference"/>
          <w:rFonts w:ascii="Arial" w:hAnsi="Arial" w:cs="Arial"/>
          <w:i/>
          <w:sz w:val="24"/>
          <w:szCs w:val="24"/>
        </w:rPr>
        <w:footnoteReference w:id="32"/>
      </w:r>
      <w:r w:rsidRPr="001C25CA">
        <w:rPr>
          <w:rFonts w:ascii="Arial" w:hAnsi="Arial" w:cs="Arial"/>
          <w:sz w:val="24"/>
          <w:szCs w:val="24"/>
        </w:rPr>
        <w:t xml:space="preserve"> refers to a similar provision in the Labour Act</w:t>
      </w:r>
      <w:r w:rsidRPr="001C25CA">
        <w:rPr>
          <w:rStyle w:val="FootnoteReference"/>
          <w:rFonts w:ascii="Arial" w:hAnsi="Arial" w:cs="Arial"/>
          <w:sz w:val="24"/>
          <w:szCs w:val="24"/>
        </w:rPr>
        <w:footnoteReference w:id="33"/>
      </w:r>
      <w:r w:rsidRPr="001C25CA">
        <w:rPr>
          <w:rFonts w:ascii="Arial" w:hAnsi="Arial" w:cs="Arial"/>
          <w:sz w:val="24"/>
          <w:szCs w:val="24"/>
        </w:rPr>
        <w:t xml:space="preserve"> which </w:t>
      </w:r>
      <w:r w:rsidR="009021BA" w:rsidRPr="001C25CA">
        <w:rPr>
          <w:rFonts w:ascii="Arial" w:hAnsi="Arial" w:cs="Arial"/>
          <w:sz w:val="24"/>
          <w:szCs w:val="24"/>
        </w:rPr>
        <w:t>restricts appeals from arbitrators’ awards to ‘question of law alone’. O’Regan, AJA interpreted that provision in the context of ‘the constitutional principles of the rule of law and justice for all (which) require at the very least a dispute resolution system that eschews arbitrary, irrational or perverse decision-making . . .’.</w:t>
      </w:r>
      <w:r w:rsidR="009021BA" w:rsidRPr="001C25CA">
        <w:rPr>
          <w:rStyle w:val="FootnoteReference"/>
          <w:rFonts w:ascii="Arial" w:hAnsi="Arial" w:cs="Arial"/>
          <w:sz w:val="24"/>
          <w:szCs w:val="24"/>
        </w:rPr>
        <w:footnoteReference w:id="34"/>
      </w:r>
      <w:r w:rsidR="009021BA" w:rsidRPr="001C25CA">
        <w:rPr>
          <w:rFonts w:ascii="Arial" w:hAnsi="Arial" w:cs="Arial"/>
          <w:sz w:val="24"/>
          <w:szCs w:val="24"/>
        </w:rPr>
        <w:t xml:space="preserve"> </w:t>
      </w:r>
      <w:r w:rsidR="006D094B">
        <w:rPr>
          <w:rFonts w:ascii="Arial" w:hAnsi="Arial" w:cs="Arial"/>
          <w:sz w:val="24"/>
          <w:szCs w:val="24"/>
        </w:rPr>
        <w:t>O’Regan</w:t>
      </w:r>
      <w:r w:rsidR="006515A9">
        <w:rPr>
          <w:rFonts w:ascii="Arial" w:hAnsi="Arial" w:cs="Arial"/>
          <w:sz w:val="24"/>
          <w:szCs w:val="24"/>
        </w:rPr>
        <w:t xml:space="preserve"> AJA</w:t>
      </w:r>
      <w:r w:rsidR="009021BA" w:rsidRPr="001C25CA">
        <w:rPr>
          <w:rFonts w:ascii="Arial" w:hAnsi="Arial" w:cs="Arial"/>
          <w:sz w:val="24"/>
          <w:szCs w:val="24"/>
        </w:rPr>
        <w:t xml:space="preserve"> held that a decision on the facts which could not have been reached by a reasonable arbitrator would be arbitrary or perverse and that ‘the constitutional principle of the rule of law </w:t>
      </w:r>
      <w:r w:rsidR="006D094B">
        <w:rPr>
          <w:rFonts w:ascii="Arial" w:hAnsi="Arial" w:cs="Arial"/>
          <w:sz w:val="24"/>
          <w:szCs w:val="24"/>
        </w:rPr>
        <w:t xml:space="preserve">would entail that such a decision </w:t>
      </w:r>
      <w:r w:rsidR="009021BA" w:rsidRPr="001C25CA">
        <w:rPr>
          <w:rFonts w:ascii="Arial" w:hAnsi="Arial" w:cs="Arial"/>
          <w:sz w:val="24"/>
          <w:szCs w:val="24"/>
        </w:rPr>
        <w:t>should be considered to be a question of law and subject to appellate review’.</w:t>
      </w:r>
      <w:r w:rsidR="009021BA" w:rsidRPr="001C25CA">
        <w:rPr>
          <w:rStyle w:val="FootnoteReference"/>
          <w:rFonts w:ascii="Arial" w:hAnsi="Arial" w:cs="Arial"/>
          <w:sz w:val="24"/>
          <w:szCs w:val="24"/>
        </w:rPr>
        <w:footnoteReference w:id="35"/>
      </w:r>
      <w:r w:rsidR="009021BA" w:rsidRPr="001C25CA">
        <w:rPr>
          <w:rFonts w:ascii="Arial" w:hAnsi="Arial" w:cs="Arial"/>
          <w:sz w:val="24"/>
          <w:szCs w:val="24"/>
        </w:rPr>
        <w:t xml:space="preserve"> The point taken by the appellant with reference to regulation 13(1) is not only unsubstantiated but is emphatically gainsaid by a decision of this court.</w:t>
      </w:r>
    </w:p>
    <w:p w:rsidR="0008009C" w:rsidRPr="001C25CA" w:rsidRDefault="0008009C" w:rsidP="0008009C">
      <w:pPr>
        <w:pStyle w:val="ListParagraph"/>
        <w:rPr>
          <w:rFonts w:ascii="Arial" w:hAnsi="Arial" w:cs="Arial"/>
          <w:sz w:val="24"/>
          <w:szCs w:val="24"/>
        </w:rPr>
      </w:pPr>
    </w:p>
    <w:p w:rsidR="0008009C" w:rsidRPr="001C25CA" w:rsidRDefault="009021BA"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objection to the ‘pay now, argue later’ principle is likewise without merit. This principle is commonly found in tax legislation </w:t>
      </w:r>
      <w:r w:rsidR="00E454C2" w:rsidRPr="001C25CA">
        <w:rPr>
          <w:rFonts w:ascii="Arial" w:hAnsi="Arial" w:cs="Arial"/>
          <w:sz w:val="24"/>
          <w:szCs w:val="24"/>
        </w:rPr>
        <w:t>and its constitutionality upheld in comparable jurisdictions,</w:t>
      </w:r>
      <w:r w:rsidR="00A8275B" w:rsidRPr="001C25CA">
        <w:rPr>
          <w:rStyle w:val="FootnoteReference"/>
          <w:rFonts w:ascii="Arial" w:hAnsi="Arial" w:cs="Arial"/>
          <w:sz w:val="24"/>
          <w:szCs w:val="24"/>
        </w:rPr>
        <w:footnoteReference w:id="36"/>
      </w:r>
      <w:r w:rsidR="00E454C2" w:rsidRPr="001C25CA">
        <w:rPr>
          <w:rFonts w:ascii="Arial" w:hAnsi="Arial" w:cs="Arial"/>
          <w:sz w:val="24"/>
          <w:szCs w:val="24"/>
        </w:rPr>
        <w:t xml:space="preserve"> </w:t>
      </w:r>
      <w:r w:rsidR="006515A9">
        <w:rPr>
          <w:rFonts w:ascii="Arial" w:hAnsi="Arial" w:cs="Arial"/>
          <w:sz w:val="24"/>
          <w:szCs w:val="24"/>
        </w:rPr>
        <w:t xml:space="preserve">and </w:t>
      </w:r>
      <w:r w:rsidR="00E454C2" w:rsidRPr="001C25CA">
        <w:rPr>
          <w:rFonts w:ascii="Arial" w:hAnsi="Arial" w:cs="Arial"/>
          <w:sz w:val="24"/>
          <w:szCs w:val="24"/>
        </w:rPr>
        <w:t xml:space="preserve">followed in </w:t>
      </w:r>
      <w:r w:rsidR="00A8275B" w:rsidRPr="001C25CA">
        <w:rPr>
          <w:rFonts w:ascii="Arial" w:hAnsi="Arial" w:cs="Arial"/>
          <w:sz w:val="24"/>
          <w:szCs w:val="24"/>
        </w:rPr>
        <w:t>Namibia.</w:t>
      </w:r>
      <w:r w:rsidR="00A8275B" w:rsidRPr="001C25CA">
        <w:rPr>
          <w:rStyle w:val="FootnoteReference"/>
          <w:rFonts w:ascii="Arial" w:hAnsi="Arial" w:cs="Arial"/>
          <w:sz w:val="24"/>
          <w:szCs w:val="24"/>
        </w:rPr>
        <w:footnoteReference w:id="37"/>
      </w:r>
      <w:r w:rsidR="00A8275B" w:rsidRPr="001C25CA">
        <w:rPr>
          <w:rFonts w:ascii="Arial" w:hAnsi="Arial" w:cs="Arial"/>
          <w:sz w:val="24"/>
          <w:szCs w:val="24"/>
        </w:rPr>
        <w:t xml:space="preserve"> </w:t>
      </w:r>
      <w:r w:rsidR="006D094B">
        <w:rPr>
          <w:rFonts w:ascii="Arial" w:hAnsi="Arial" w:cs="Arial"/>
          <w:sz w:val="24"/>
          <w:szCs w:val="24"/>
        </w:rPr>
        <w:t xml:space="preserve">This sub-regulation </w:t>
      </w:r>
      <w:r w:rsidR="00A8275B" w:rsidRPr="001C25CA">
        <w:rPr>
          <w:rFonts w:ascii="Arial" w:hAnsi="Arial" w:cs="Arial"/>
          <w:sz w:val="24"/>
          <w:szCs w:val="24"/>
        </w:rPr>
        <w:t xml:space="preserve">also does not amount to a ‘repeal’ or modification of the common law for the purpose of Art 66(2). </w:t>
      </w:r>
      <w:r w:rsidR="006D094B">
        <w:rPr>
          <w:rFonts w:ascii="Arial" w:hAnsi="Arial" w:cs="Arial"/>
          <w:sz w:val="24"/>
          <w:szCs w:val="24"/>
        </w:rPr>
        <w:t>It is a procedural matter relating to</w:t>
      </w:r>
      <w:r w:rsidR="006515A9">
        <w:rPr>
          <w:rFonts w:ascii="Arial" w:hAnsi="Arial" w:cs="Arial"/>
          <w:sz w:val="24"/>
          <w:szCs w:val="24"/>
        </w:rPr>
        <w:t xml:space="preserve"> a statutory</w:t>
      </w:r>
      <w:r w:rsidR="006D094B">
        <w:rPr>
          <w:rFonts w:ascii="Arial" w:hAnsi="Arial" w:cs="Arial"/>
          <w:sz w:val="24"/>
          <w:szCs w:val="24"/>
        </w:rPr>
        <w:t xml:space="preserve"> appeal and t</w:t>
      </w:r>
      <w:r w:rsidR="00A8275B" w:rsidRPr="001C25CA">
        <w:rPr>
          <w:rFonts w:ascii="Arial" w:hAnsi="Arial" w:cs="Arial"/>
          <w:sz w:val="24"/>
          <w:szCs w:val="24"/>
        </w:rPr>
        <w:t>his principle in tax legislation has been very much part of Namibian law</w:t>
      </w:r>
      <w:r w:rsidR="00A8275B" w:rsidRPr="001C25CA">
        <w:rPr>
          <w:rStyle w:val="FootnoteReference"/>
          <w:rFonts w:ascii="Arial" w:hAnsi="Arial" w:cs="Arial"/>
          <w:sz w:val="24"/>
          <w:szCs w:val="24"/>
        </w:rPr>
        <w:footnoteReference w:id="38"/>
      </w:r>
      <w:r w:rsidR="00A8275B" w:rsidRPr="001C25CA">
        <w:rPr>
          <w:rFonts w:ascii="Arial" w:hAnsi="Arial" w:cs="Arial"/>
          <w:sz w:val="24"/>
          <w:szCs w:val="24"/>
        </w:rPr>
        <w:t xml:space="preserve"> prior to the adoption of Art 66 and has been aptly described by Angula DJP in </w:t>
      </w:r>
      <w:r w:rsidR="00A8275B" w:rsidRPr="001C25CA">
        <w:rPr>
          <w:rFonts w:ascii="Arial" w:hAnsi="Arial" w:cs="Arial"/>
          <w:i/>
          <w:sz w:val="24"/>
          <w:szCs w:val="24"/>
        </w:rPr>
        <w:t>Mugimu</w:t>
      </w:r>
      <w:r w:rsidR="00A8275B" w:rsidRPr="001C25CA">
        <w:rPr>
          <w:rFonts w:ascii="Arial" w:hAnsi="Arial" w:cs="Arial"/>
          <w:sz w:val="24"/>
          <w:szCs w:val="24"/>
        </w:rPr>
        <w:t xml:space="preserve"> in these terms:</w:t>
      </w:r>
    </w:p>
    <w:p w:rsidR="00A8275B" w:rsidRPr="001C25CA" w:rsidRDefault="00A8275B" w:rsidP="00A8275B">
      <w:pPr>
        <w:pStyle w:val="ListParagraph"/>
        <w:rPr>
          <w:rFonts w:ascii="Arial" w:hAnsi="Arial" w:cs="Arial"/>
          <w:sz w:val="24"/>
          <w:szCs w:val="24"/>
        </w:rPr>
      </w:pPr>
    </w:p>
    <w:p w:rsidR="00A8275B" w:rsidRPr="00856376" w:rsidRDefault="006515A9" w:rsidP="00856376">
      <w:pPr>
        <w:pStyle w:val="NoSpacing"/>
        <w:spacing w:line="360" w:lineRule="auto"/>
        <w:ind w:left="720"/>
        <w:jc w:val="both"/>
        <w:rPr>
          <w:rFonts w:ascii="Arial" w:hAnsi="Arial" w:cs="Arial"/>
        </w:rPr>
      </w:pPr>
      <w:r>
        <w:rPr>
          <w:rFonts w:ascii="Arial" w:hAnsi="Arial" w:cs="Arial"/>
        </w:rPr>
        <w:t>‘</w:t>
      </w:r>
      <w:r w:rsidR="00856376" w:rsidRPr="00856376">
        <w:rPr>
          <w:rFonts w:ascii="Arial" w:hAnsi="Arial" w:cs="Arial"/>
        </w:rPr>
        <w:t>In summary, at the heart of the concept ‘</w:t>
      </w:r>
      <w:r w:rsidR="00856376" w:rsidRPr="00856376">
        <w:rPr>
          <w:rFonts w:ascii="Arial" w:hAnsi="Arial" w:cs="Arial"/>
          <w:i/>
        </w:rPr>
        <w:t>pay now argue later</w:t>
      </w:r>
      <w:r w:rsidR="00856376" w:rsidRPr="00856376">
        <w:rPr>
          <w:rFonts w:ascii="Arial" w:hAnsi="Arial" w:cs="Arial"/>
        </w:rPr>
        <w:t>’ are the considerations of public interest in obtaining full and speedy payment of the tax amount due to the Fiscus. Furthermore it limits the ability of noncompliant taxpayers to use objection and appeal procedures as a strategy to delay payment of their tax.’</w:t>
      </w:r>
      <w:r w:rsidR="00770A4B">
        <w:rPr>
          <w:rStyle w:val="FootnoteReference"/>
          <w:rFonts w:ascii="Arial" w:hAnsi="Arial" w:cs="Arial"/>
        </w:rPr>
        <w:footnoteReference w:id="39"/>
      </w:r>
    </w:p>
    <w:p w:rsidR="009021BA" w:rsidRPr="001C25CA" w:rsidRDefault="009021BA" w:rsidP="009667A6">
      <w:pPr>
        <w:rPr>
          <w:rFonts w:ascii="Arial" w:hAnsi="Arial" w:cs="Arial"/>
          <w:sz w:val="24"/>
          <w:szCs w:val="24"/>
        </w:rPr>
      </w:pPr>
    </w:p>
    <w:p w:rsidR="009667A6" w:rsidRPr="001C25CA" w:rsidRDefault="009667A6" w:rsidP="009667A6">
      <w:pPr>
        <w:rPr>
          <w:rFonts w:ascii="Arial" w:hAnsi="Arial" w:cs="Arial"/>
          <w:sz w:val="24"/>
          <w:szCs w:val="24"/>
          <w:u w:val="single"/>
        </w:rPr>
      </w:pPr>
      <w:r w:rsidRPr="001C25CA">
        <w:rPr>
          <w:rFonts w:ascii="Arial" w:hAnsi="Arial" w:cs="Arial"/>
          <w:sz w:val="24"/>
          <w:szCs w:val="24"/>
          <w:u w:val="single"/>
        </w:rPr>
        <w:t>Regulation 15(b)</w:t>
      </w:r>
    </w:p>
    <w:p w:rsidR="009021BA" w:rsidRPr="001C25CA" w:rsidRDefault="009667A6"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Regulation 15 provides thus:</w:t>
      </w:r>
    </w:p>
    <w:p w:rsidR="009667A6" w:rsidRPr="001C25CA" w:rsidRDefault="009667A6" w:rsidP="009667A6">
      <w:pPr>
        <w:pStyle w:val="NoSpacing"/>
        <w:spacing w:line="480" w:lineRule="auto"/>
        <w:jc w:val="both"/>
        <w:rPr>
          <w:rFonts w:ascii="Arial" w:hAnsi="Arial" w:cs="Arial"/>
          <w:sz w:val="24"/>
          <w:szCs w:val="24"/>
        </w:rPr>
      </w:pPr>
    </w:p>
    <w:p w:rsidR="00856376" w:rsidRDefault="009667A6" w:rsidP="00856376">
      <w:pPr>
        <w:pStyle w:val="NoSpacing"/>
        <w:spacing w:line="360" w:lineRule="auto"/>
        <w:ind w:left="1440" w:hanging="720"/>
        <w:jc w:val="both"/>
        <w:rPr>
          <w:rFonts w:ascii="Arial" w:hAnsi="Arial" w:cs="Arial"/>
        </w:rPr>
      </w:pPr>
      <w:r w:rsidRPr="00856376">
        <w:rPr>
          <w:rFonts w:ascii="Arial" w:hAnsi="Arial" w:cs="Arial"/>
        </w:rPr>
        <w:t>‘</w:t>
      </w:r>
      <w:r w:rsidR="00856376">
        <w:rPr>
          <w:rFonts w:ascii="Arial" w:hAnsi="Arial" w:cs="Arial"/>
        </w:rPr>
        <w:t>(15)</w:t>
      </w:r>
      <w:r w:rsidR="00856376">
        <w:rPr>
          <w:rFonts w:ascii="Arial" w:hAnsi="Arial" w:cs="Arial"/>
        </w:rPr>
        <w:tab/>
      </w:r>
      <w:r w:rsidR="00856376" w:rsidRPr="00856376">
        <w:rPr>
          <w:rFonts w:ascii="Arial" w:hAnsi="Arial" w:cs="Arial"/>
        </w:rPr>
        <w:t xml:space="preserve">A valuation contained in a main or interim valuation roll approved by the valuation court in terms of regulation 16(1) is not invalid by reason only of – </w:t>
      </w:r>
    </w:p>
    <w:p w:rsidR="00856376" w:rsidRDefault="00856376" w:rsidP="00856376">
      <w:pPr>
        <w:pStyle w:val="NoSpacing"/>
        <w:spacing w:line="360" w:lineRule="auto"/>
        <w:ind w:left="1440" w:hanging="720"/>
        <w:jc w:val="both"/>
        <w:rPr>
          <w:rFonts w:ascii="Arial" w:hAnsi="Arial" w:cs="Arial"/>
        </w:rPr>
      </w:pPr>
    </w:p>
    <w:p w:rsidR="00856376" w:rsidRDefault="00856376" w:rsidP="00856376">
      <w:pPr>
        <w:pStyle w:val="NoSpacing"/>
        <w:numPr>
          <w:ilvl w:val="0"/>
          <w:numId w:val="17"/>
        </w:numPr>
        <w:spacing w:line="360" w:lineRule="auto"/>
        <w:ind w:left="2127" w:hanging="687"/>
        <w:jc w:val="both"/>
        <w:rPr>
          <w:rFonts w:ascii="Arial" w:hAnsi="Arial" w:cs="Arial"/>
        </w:rPr>
      </w:pPr>
      <w:r w:rsidRPr="00856376">
        <w:rPr>
          <w:rFonts w:ascii="Arial" w:hAnsi="Arial" w:cs="Arial"/>
        </w:rPr>
        <w:t xml:space="preserve">a mistake or variance in the name of owner, farm name, postal address or identity number of the owner of any agricultural land; or </w:t>
      </w:r>
    </w:p>
    <w:p w:rsidR="00856376" w:rsidRDefault="00856376" w:rsidP="00856376">
      <w:pPr>
        <w:pStyle w:val="NoSpacing"/>
        <w:spacing w:line="360" w:lineRule="auto"/>
        <w:ind w:left="2127"/>
        <w:jc w:val="both"/>
        <w:rPr>
          <w:rFonts w:ascii="Arial" w:hAnsi="Arial" w:cs="Arial"/>
        </w:rPr>
      </w:pPr>
    </w:p>
    <w:p w:rsidR="009667A6" w:rsidRDefault="00856376" w:rsidP="00856376">
      <w:pPr>
        <w:pStyle w:val="NoSpacing"/>
        <w:numPr>
          <w:ilvl w:val="0"/>
          <w:numId w:val="17"/>
        </w:numPr>
        <w:spacing w:line="360" w:lineRule="auto"/>
        <w:ind w:left="2127" w:hanging="687"/>
        <w:jc w:val="both"/>
        <w:rPr>
          <w:rFonts w:ascii="Arial" w:hAnsi="Arial" w:cs="Arial"/>
        </w:rPr>
      </w:pPr>
      <w:r w:rsidRPr="00856376">
        <w:rPr>
          <w:rFonts w:ascii="Arial" w:hAnsi="Arial" w:cs="Arial"/>
        </w:rPr>
        <w:t>an irregularity which occurred during the preparation of such valuation roll.</w:t>
      </w:r>
      <w:r w:rsidR="009667A6" w:rsidRPr="00856376">
        <w:rPr>
          <w:rFonts w:ascii="Arial" w:hAnsi="Arial" w:cs="Arial"/>
        </w:rPr>
        <w:t>’</w:t>
      </w:r>
    </w:p>
    <w:p w:rsidR="006515A9" w:rsidRPr="00856376" w:rsidRDefault="006515A9" w:rsidP="006515A9">
      <w:pPr>
        <w:pStyle w:val="NoSpacing"/>
        <w:spacing w:line="360" w:lineRule="auto"/>
        <w:jc w:val="both"/>
        <w:rPr>
          <w:rFonts w:ascii="Arial" w:hAnsi="Arial" w:cs="Arial"/>
        </w:rPr>
      </w:pPr>
    </w:p>
    <w:p w:rsidR="0008009C" w:rsidRPr="001C25CA" w:rsidRDefault="009667A6"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lastRenderedPageBreak/>
        <w:t xml:space="preserve">The complaint levelled against regulation 15(b) echoes earlier attacks – </w:t>
      </w:r>
      <w:r w:rsidR="006D094B">
        <w:rPr>
          <w:rFonts w:ascii="Arial" w:hAnsi="Arial" w:cs="Arial"/>
          <w:sz w:val="24"/>
          <w:szCs w:val="24"/>
        </w:rPr>
        <w:t xml:space="preserve">being </w:t>
      </w:r>
      <w:r w:rsidRPr="001C25CA">
        <w:rPr>
          <w:rFonts w:ascii="Arial" w:hAnsi="Arial" w:cs="Arial"/>
          <w:sz w:val="24"/>
          <w:szCs w:val="24"/>
        </w:rPr>
        <w:t>invalid as being ‘inconsistent with the rule of law, Arts 12 and 18, the common law and the third paragraph of the preamble</w:t>
      </w:r>
      <w:r w:rsidR="006D094B">
        <w:rPr>
          <w:rFonts w:ascii="Arial" w:hAnsi="Arial" w:cs="Arial"/>
          <w:sz w:val="24"/>
          <w:szCs w:val="24"/>
        </w:rPr>
        <w:t>’</w:t>
      </w:r>
      <w:r w:rsidRPr="001C25CA">
        <w:rPr>
          <w:rFonts w:ascii="Arial" w:hAnsi="Arial" w:cs="Arial"/>
          <w:sz w:val="24"/>
          <w:szCs w:val="24"/>
        </w:rPr>
        <w:t>.</w:t>
      </w:r>
    </w:p>
    <w:p w:rsidR="0008009C" w:rsidRPr="001C25CA" w:rsidRDefault="0008009C" w:rsidP="0008009C">
      <w:pPr>
        <w:pStyle w:val="ListParagraph"/>
        <w:rPr>
          <w:rFonts w:ascii="Arial" w:hAnsi="Arial" w:cs="Arial"/>
          <w:sz w:val="24"/>
          <w:szCs w:val="24"/>
        </w:rPr>
      </w:pPr>
    </w:p>
    <w:p w:rsidR="006D094B" w:rsidRDefault="009667A6"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In terms of this provision, a valuation in a main or interim valuation roll is not invalid merely because of a preceding irregularity in the preparation of that valuation roll. The roll in question </w:t>
      </w:r>
      <w:r w:rsidR="006D094B">
        <w:rPr>
          <w:rFonts w:ascii="Arial" w:hAnsi="Arial" w:cs="Arial"/>
          <w:sz w:val="24"/>
          <w:szCs w:val="24"/>
        </w:rPr>
        <w:t>would</w:t>
      </w:r>
      <w:r w:rsidRPr="001C25CA">
        <w:rPr>
          <w:rFonts w:ascii="Arial" w:hAnsi="Arial" w:cs="Arial"/>
          <w:sz w:val="24"/>
          <w:szCs w:val="24"/>
        </w:rPr>
        <w:t xml:space="preserve"> in the interim</w:t>
      </w:r>
      <w:r w:rsidR="006D094B">
        <w:rPr>
          <w:rFonts w:ascii="Arial" w:hAnsi="Arial" w:cs="Arial"/>
          <w:sz w:val="24"/>
          <w:szCs w:val="24"/>
        </w:rPr>
        <w:t xml:space="preserve"> have</w:t>
      </w:r>
      <w:r w:rsidRPr="001C25CA">
        <w:rPr>
          <w:rFonts w:ascii="Arial" w:hAnsi="Arial" w:cs="Arial"/>
          <w:sz w:val="24"/>
          <w:szCs w:val="24"/>
        </w:rPr>
        <w:t xml:space="preserve"> been approved by the valuation court after landowners had the opportunity to object to the roll’s approval before the valuation court. This sub-regulation means that the discovery of an irregularity after the approval of the roll would not of itself result in the invalidity of the roll. This provision would not preclude judicial review of the valuation roll in the event of a reviewable</w:t>
      </w:r>
      <w:r w:rsidR="00770A4B">
        <w:rPr>
          <w:rFonts w:ascii="Arial" w:hAnsi="Arial" w:cs="Arial"/>
          <w:sz w:val="24"/>
          <w:szCs w:val="24"/>
        </w:rPr>
        <w:t xml:space="preserve"> vitiating </w:t>
      </w:r>
      <w:r w:rsidRPr="001C25CA">
        <w:rPr>
          <w:rFonts w:ascii="Arial" w:hAnsi="Arial" w:cs="Arial"/>
          <w:sz w:val="24"/>
          <w:szCs w:val="24"/>
        </w:rPr>
        <w:t xml:space="preserve">irregularity and a valid explanation by a landowner for not invoking the irregularity before the valuation court. </w:t>
      </w:r>
    </w:p>
    <w:p w:rsidR="006D094B" w:rsidRDefault="006D094B" w:rsidP="006D094B">
      <w:pPr>
        <w:pStyle w:val="ListParagraph"/>
        <w:rPr>
          <w:rFonts w:ascii="Arial" w:hAnsi="Arial" w:cs="Arial"/>
          <w:sz w:val="24"/>
          <w:szCs w:val="24"/>
        </w:rPr>
      </w:pPr>
    </w:p>
    <w:p w:rsidR="0008009C" w:rsidRPr="001C25CA" w:rsidRDefault="009667A6"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This regulation </w:t>
      </w:r>
      <w:r w:rsidR="006D094B">
        <w:rPr>
          <w:rFonts w:ascii="Arial" w:hAnsi="Arial" w:cs="Arial"/>
          <w:sz w:val="24"/>
          <w:szCs w:val="24"/>
        </w:rPr>
        <w:t xml:space="preserve">thus </w:t>
      </w:r>
      <w:r w:rsidRPr="001C25CA">
        <w:rPr>
          <w:rFonts w:ascii="Arial" w:hAnsi="Arial" w:cs="Arial"/>
          <w:sz w:val="24"/>
          <w:szCs w:val="24"/>
        </w:rPr>
        <w:t xml:space="preserve">does not offend against the constitutional provisions </w:t>
      </w:r>
      <w:r w:rsidR="006D094B">
        <w:rPr>
          <w:rFonts w:ascii="Arial" w:hAnsi="Arial" w:cs="Arial"/>
          <w:sz w:val="24"/>
          <w:szCs w:val="24"/>
        </w:rPr>
        <w:t>or</w:t>
      </w:r>
      <w:r w:rsidRPr="001C25CA">
        <w:rPr>
          <w:rFonts w:ascii="Arial" w:hAnsi="Arial" w:cs="Arial"/>
          <w:sz w:val="24"/>
          <w:szCs w:val="24"/>
        </w:rPr>
        <w:t xml:space="preserve"> principles relied upon or the common law. As was stated in the respondent’s written argument, the appellant</w:t>
      </w:r>
      <w:r w:rsidR="00770A4B">
        <w:rPr>
          <w:rFonts w:ascii="Arial" w:hAnsi="Arial" w:cs="Arial"/>
          <w:sz w:val="24"/>
          <w:szCs w:val="24"/>
        </w:rPr>
        <w:t>’</w:t>
      </w:r>
      <w:r w:rsidRPr="001C25CA">
        <w:rPr>
          <w:rFonts w:ascii="Arial" w:hAnsi="Arial" w:cs="Arial"/>
          <w:sz w:val="24"/>
          <w:szCs w:val="24"/>
        </w:rPr>
        <w:t xml:space="preserve">s approach is to </w:t>
      </w:r>
      <w:r w:rsidR="00770A4B">
        <w:rPr>
          <w:rFonts w:ascii="Arial" w:hAnsi="Arial" w:cs="Arial"/>
          <w:sz w:val="24"/>
          <w:szCs w:val="24"/>
        </w:rPr>
        <w:t>‘</w:t>
      </w:r>
      <w:r w:rsidR="006D094B">
        <w:rPr>
          <w:rFonts w:ascii="Arial" w:hAnsi="Arial" w:cs="Arial"/>
          <w:sz w:val="24"/>
          <w:szCs w:val="24"/>
        </w:rPr>
        <w:t>elevate</w:t>
      </w:r>
      <w:r w:rsidRPr="001C25CA">
        <w:rPr>
          <w:rFonts w:ascii="Arial" w:hAnsi="Arial" w:cs="Arial"/>
          <w:sz w:val="24"/>
          <w:szCs w:val="24"/>
        </w:rPr>
        <w:t xml:space="preserve"> prior form over substantive outcomes</w:t>
      </w:r>
      <w:r w:rsidR="00770A4B">
        <w:rPr>
          <w:rFonts w:ascii="Arial" w:hAnsi="Arial" w:cs="Arial"/>
          <w:sz w:val="24"/>
          <w:szCs w:val="24"/>
        </w:rPr>
        <w:t>’</w:t>
      </w:r>
      <w:r w:rsidRPr="001C25CA">
        <w:rPr>
          <w:rFonts w:ascii="Arial" w:hAnsi="Arial" w:cs="Arial"/>
          <w:sz w:val="24"/>
          <w:szCs w:val="24"/>
        </w:rPr>
        <w:t xml:space="preserve"> and that this provision is intended to </w:t>
      </w:r>
      <w:r w:rsidR="00770A4B">
        <w:rPr>
          <w:rFonts w:ascii="Arial" w:hAnsi="Arial" w:cs="Arial"/>
          <w:sz w:val="24"/>
          <w:szCs w:val="24"/>
        </w:rPr>
        <w:t>‘</w:t>
      </w:r>
      <w:r w:rsidRPr="001C25CA">
        <w:rPr>
          <w:rFonts w:ascii="Arial" w:hAnsi="Arial" w:cs="Arial"/>
          <w:sz w:val="24"/>
          <w:szCs w:val="24"/>
        </w:rPr>
        <w:t>exclude precisely such procedural bounty hunting.</w:t>
      </w:r>
      <w:r w:rsidR="00770A4B">
        <w:rPr>
          <w:rFonts w:ascii="Arial" w:hAnsi="Arial" w:cs="Arial"/>
          <w:sz w:val="24"/>
          <w:szCs w:val="24"/>
        </w:rPr>
        <w:t>’</w:t>
      </w:r>
      <w:r w:rsidRPr="001C25CA">
        <w:rPr>
          <w:rFonts w:ascii="Arial" w:hAnsi="Arial" w:cs="Arial"/>
          <w:sz w:val="24"/>
          <w:szCs w:val="24"/>
        </w:rPr>
        <w:t xml:space="preserve"> </w:t>
      </w:r>
    </w:p>
    <w:p w:rsidR="0008009C" w:rsidRPr="001C25CA" w:rsidRDefault="0008009C" w:rsidP="009667A6">
      <w:pPr>
        <w:rPr>
          <w:rFonts w:ascii="Arial" w:hAnsi="Arial" w:cs="Arial"/>
          <w:sz w:val="24"/>
          <w:szCs w:val="24"/>
        </w:rPr>
      </w:pPr>
    </w:p>
    <w:p w:rsidR="009667A6" w:rsidRPr="001C25CA" w:rsidRDefault="009667A6" w:rsidP="009667A6">
      <w:pPr>
        <w:rPr>
          <w:rFonts w:ascii="Arial" w:hAnsi="Arial" w:cs="Arial"/>
          <w:sz w:val="24"/>
          <w:szCs w:val="24"/>
          <w:u w:val="single"/>
        </w:rPr>
      </w:pPr>
      <w:r w:rsidRPr="001C25CA">
        <w:rPr>
          <w:rFonts w:ascii="Arial" w:hAnsi="Arial" w:cs="Arial"/>
          <w:sz w:val="24"/>
          <w:szCs w:val="24"/>
          <w:u w:val="single"/>
        </w:rPr>
        <w:t>The challenge upon the rate</w:t>
      </w:r>
    </w:p>
    <w:p w:rsidR="0008009C" w:rsidRPr="001C25CA" w:rsidRDefault="009667A6"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Although the rate determined by the </w:t>
      </w:r>
      <w:r w:rsidR="006D094B">
        <w:rPr>
          <w:rFonts w:ascii="Arial" w:hAnsi="Arial" w:cs="Arial"/>
          <w:sz w:val="24"/>
          <w:szCs w:val="24"/>
        </w:rPr>
        <w:t>Minister</w:t>
      </w:r>
      <w:r w:rsidRPr="001C25CA">
        <w:rPr>
          <w:rFonts w:ascii="Arial" w:hAnsi="Arial" w:cs="Arial"/>
          <w:sz w:val="24"/>
          <w:szCs w:val="24"/>
        </w:rPr>
        <w:t xml:space="preserve"> in terms of s 76 and published in Government Notice 193 of 2004</w:t>
      </w:r>
      <w:r w:rsidRPr="001C25CA">
        <w:rPr>
          <w:rStyle w:val="FootnoteReference"/>
          <w:rFonts w:ascii="Arial" w:hAnsi="Arial" w:cs="Arial"/>
          <w:sz w:val="24"/>
          <w:szCs w:val="24"/>
        </w:rPr>
        <w:footnoteReference w:id="40"/>
      </w:r>
      <w:r w:rsidRPr="001C25CA">
        <w:rPr>
          <w:rFonts w:ascii="Arial" w:hAnsi="Arial" w:cs="Arial"/>
          <w:sz w:val="24"/>
          <w:szCs w:val="24"/>
        </w:rPr>
        <w:t xml:space="preserve"> was challenged on several review grounds, it would seem that the only remaining review ground </w:t>
      </w:r>
      <w:r w:rsidR="006D094B">
        <w:rPr>
          <w:rFonts w:ascii="Arial" w:hAnsi="Arial" w:cs="Arial"/>
          <w:sz w:val="24"/>
          <w:szCs w:val="24"/>
        </w:rPr>
        <w:t xml:space="preserve">advanced on appeal is </w:t>
      </w:r>
      <w:r w:rsidRPr="001C25CA">
        <w:rPr>
          <w:rFonts w:ascii="Arial" w:hAnsi="Arial" w:cs="Arial"/>
          <w:sz w:val="24"/>
          <w:szCs w:val="24"/>
        </w:rPr>
        <w:t xml:space="preserve">that ‘there is no proof </w:t>
      </w:r>
      <w:r w:rsidR="00266E2B" w:rsidRPr="001C25CA">
        <w:rPr>
          <w:rFonts w:ascii="Arial" w:hAnsi="Arial" w:cs="Arial"/>
          <w:sz w:val="24"/>
          <w:szCs w:val="24"/>
        </w:rPr>
        <w:t>that</w:t>
      </w:r>
      <w:r w:rsidRPr="001C25CA">
        <w:rPr>
          <w:rFonts w:ascii="Arial" w:hAnsi="Arial" w:cs="Arial"/>
          <w:sz w:val="24"/>
          <w:szCs w:val="24"/>
        </w:rPr>
        <w:t xml:space="preserve"> the notice was approved by the National Assembly by </w:t>
      </w:r>
      <w:r w:rsidR="00266E2B" w:rsidRPr="001C25CA">
        <w:rPr>
          <w:rFonts w:ascii="Arial" w:hAnsi="Arial" w:cs="Arial"/>
          <w:sz w:val="24"/>
          <w:szCs w:val="24"/>
        </w:rPr>
        <w:t>r</w:t>
      </w:r>
      <w:r w:rsidRPr="001C25CA">
        <w:rPr>
          <w:rFonts w:ascii="Arial" w:hAnsi="Arial" w:cs="Arial"/>
          <w:sz w:val="24"/>
          <w:szCs w:val="24"/>
        </w:rPr>
        <w:t>esolution’</w:t>
      </w:r>
      <w:r w:rsidR="00266E2B" w:rsidRPr="001C25CA">
        <w:rPr>
          <w:rFonts w:ascii="Arial" w:hAnsi="Arial" w:cs="Arial"/>
          <w:sz w:val="24"/>
          <w:szCs w:val="24"/>
        </w:rPr>
        <w:t xml:space="preserve"> (as </w:t>
      </w:r>
      <w:r w:rsidR="00266E2B" w:rsidRPr="001C25CA">
        <w:rPr>
          <w:rFonts w:ascii="Arial" w:hAnsi="Arial" w:cs="Arial"/>
          <w:sz w:val="24"/>
          <w:szCs w:val="24"/>
        </w:rPr>
        <w:lastRenderedPageBreak/>
        <w:t xml:space="preserve">is required by s 76(4)). The </w:t>
      </w:r>
      <w:r w:rsidR="006D094B">
        <w:rPr>
          <w:rFonts w:ascii="Arial" w:hAnsi="Arial" w:cs="Arial"/>
          <w:sz w:val="24"/>
          <w:szCs w:val="24"/>
        </w:rPr>
        <w:t>Hansard</w:t>
      </w:r>
      <w:r w:rsidR="00266E2B" w:rsidRPr="001C25CA">
        <w:rPr>
          <w:rFonts w:ascii="Arial" w:hAnsi="Arial" w:cs="Arial"/>
          <w:sz w:val="24"/>
          <w:szCs w:val="24"/>
        </w:rPr>
        <w:t xml:space="preserve"> as part of the decision-making record </w:t>
      </w:r>
      <w:r w:rsidR="006D094B">
        <w:rPr>
          <w:rFonts w:ascii="Arial" w:hAnsi="Arial" w:cs="Arial"/>
          <w:sz w:val="24"/>
          <w:szCs w:val="24"/>
        </w:rPr>
        <w:t xml:space="preserve">however </w:t>
      </w:r>
      <w:r w:rsidR="00266E2B" w:rsidRPr="001C25CA">
        <w:rPr>
          <w:rFonts w:ascii="Arial" w:hAnsi="Arial" w:cs="Arial"/>
          <w:sz w:val="24"/>
          <w:szCs w:val="24"/>
        </w:rPr>
        <w:t xml:space="preserve">shows that the rate was tabled </w:t>
      </w:r>
      <w:r w:rsidR="00022644">
        <w:rPr>
          <w:rFonts w:ascii="Arial" w:hAnsi="Arial" w:cs="Arial"/>
          <w:sz w:val="24"/>
          <w:szCs w:val="24"/>
        </w:rPr>
        <w:t xml:space="preserve">and </w:t>
      </w:r>
      <w:r w:rsidR="00266E2B" w:rsidRPr="001C25CA">
        <w:rPr>
          <w:rFonts w:ascii="Arial" w:hAnsi="Arial" w:cs="Arial"/>
          <w:sz w:val="24"/>
          <w:szCs w:val="24"/>
        </w:rPr>
        <w:t>debated and approved by the National Assembly.</w:t>
      </w:r>
    </w:p>
    <w:p w:rsidR="0008009C" w:rsidRPr="001C25CA" w:rsidRDefault="0008009C" w:rsidP="00266E2B">
      <w:pPr>
        <w:rPr>
          <w:rFonts w:ascii="Arial" w:hAnsi="Arial" w:cs="Arial"/>
          <w:sz w:val="24"/>
          <w:szCs w:val="24"/>
        </w:rPr>
      </w:pPr>
    </w:p>
    <w:p w:rsidR="00266E2B" w:rsidRPr="001C25CA" w:rsidRDefault="00022644" w:rsidP="00266E2B">
      <w:pPr>
        <w:rPr>
          <w:rFonts w:ascii="Arial" w:hAnsi="Arial" w:cs="Arial"/>
          <w:sz w:val="24"/>
          <w:szCs w:val="24"/>
          <w:u w:val="single"/>
        </w:rPr>
      </w:pPr>
      <w:r>
        <w:rPr>
          <w:rFonts w:ascii="Arial" w:hAnsi="Arial" w:cs="Arial"/>
          <w:sz w:val="24"/>
          <w:szCs w:val="24"/>
          <w:u w:val="single"/>
        </w:rPr>
        <w:t>The issuing</w:t>
      </w:r>
      <w:r w:rsidR="00266E2B" w:rsidRPr="001C25CA">
        <w:rPr>
          <w:rFonts w:ascii="Arial" w:hAnsi="Arial" w:cs="Arial"/>
          <w:sz w:val="24"/>
          <w:szCs w:val="24"/>
          <w:u w:val="single"/>
        </w:rPr>
        <w:t xml:space="preserve"> of assessment</w:t>
      </w:r>
      <w:r>
        <w:rPr>
          <w:rFonts w:ascii="Arial" w:hAnsi="Arial" w:cs="Arial"/>
          <w:sz w:val="24"/>
          <w:szCs w:val="24"/>
          <w:u w:val="single"/>
        </w:rPr>
        <w:t>s</w:t>
      </w:r>
    </w:p>
    <w:p w:rsidR="00770A4B" w:rsidRDefault="00266E2B"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Assessments are challenged in the main </w:t>
      </w:r>
      <w:r w:rsidR="00022644">
        <w:rPr>
          <w:rFonts w:ascii="Arial" w:hAnsi="Arial" w:cs="Arial"/>
          <w:sz w:val="24"/>
          <w:szCs w:val="24"/>
        </w:rPr>
        <w:t xml:space="preserve">and other </w:t>
      </w:r>
      <w:r w:rsidRPr="001C25CA">
        <w:rPr>
          <w:rFonts w:ascii="Arial" w:hAnsi="Arial" w:cs="Arial"/>
          <w:sz w:val="24"/>
          <w:szCs w:val="24"/>
        </w:rPr>
        <w:t>application</w:t>
      </w:r>
      <w:r w:rsidR="00022644">
        <w:rPr>
          <w:rFonts w:ascii="Arial" w:hAnsi="Arial" w:cs="Arial"/>
          <w:sz w:val="24"/>
          <w:szCs w:val="24"/>
        </w:rPr>
        <w:t>s</w:t>
      </w:r>
      <w:r w:rsidRPr="001C25CA">
        <w:rPr>
          <w:rFonts w:ascii="Arial" w:hAnsi="Arial" w:cs="Arial"/>
          <w:sz w:val="24"/>
          <w:szCs w:val="24"/>
        </w:rPr>
        <w:t xml:space="preserve"> on the grounds of being issued by the Minister and not by the Commissioner of Inland Revenue who is empowered by regulation 21 to cause assessments of land tax to be made. </w:t>
      </w:r>
    </w:p>
    <w:p w:rsidR="00770A4B" w:rsidRDefault="00770A4B" w:rsidP="00770A4B">
      <w:pPr>
        <w:pStyle w:val="NoSpacing"/>
        <w:spacing w:line="480" w:lineRule="auto"/>
        <w:jc w:val="both"/>
        <w:rPr>
          <w:rFonts w:ascii="Arial" w:hAnsi="Arial" w:cs="Arial"/>
          <w:sz w:val="24"/>
          <w:szCs w:val="24"/>
        </w:rPr>
      </w:pPr>
    </w:p>
    <w:p w:rsidR="0008009C" w:rsidRPr="001C25CA" w:rsidRDefault="00770A4B"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It wa</w:t>
      </w:r>
      <w:r w:rsidR="00266E2B" w:rsidRPr="001C25CA">
        <w:rPr>
          <w:rFonts w:ascii="Arial" w:hAnsi="Arial" w:cs="Arial"/>
          <w:sz w:val="24"/>
          <w:szCs w:val="24"/>
        </w:rPr>
        <w:t>s argued on behalf of the appellant that causing assessment</w:t>
      </w:r>
      <w:r w:rsidR="00022644">
        <w:rPr>
          <w:rFonts w:ascii="Arial" w:hAnsi="Arial" w:cs="Arial"/>
          <w:sz w:val="24"/>
          <w:szCs w:val="24"/>
        </w:rPr>
        <w:t>s</w:t>
      </w:r>
      <w:r w:rsidR="00266E2B" w:rsidRPr="001C25CA">
        <w:rPr>
          <w:rFonts w:ascii="Arial" w:hAnsi="Arial" w:cs="Arial"/>
          <w:sz w:val="24"/>
          <w:szCs w:val="24"/>
        </w:rPr>
        <w:t xml:space="preserve"> to be made by the Minister instead of the Commissioner renders them nullities. It was argued that the Commissioner under regulation 21 has decision making responsibilities appointed by the Minister and that s 76 does not grant the power</w:t>
      </w:r>
      <w:r w:rsidR="00022644">
        <w:rPr>
          <w:rFonts w:ascii="Arial" w:hAnsi="Arial" w:cs="Arial"/>
          <w:sz w:val="24"/>
          <w:szCs w:val="24"/>
        </w:rPr>
        <w:t xml:space="preserve"> to the Minister to make and serve</w:t>
      </w:r>
      <w:r w:rsidR="00266E2B" w:rsidRPr="001C25CA">
        <w:rPr>
          <w:rFonts w:ascii="Arial" w:hAnsi="Arial" w:cs="Arial"/>
          <w:sz w:val="24"/>
          <w:szCs w:val="24"/>
        </w:rPr>
        <w:t xml:space="preserve"> assessment</w:t>
      </w:r>
      <w:r w:rsidR="00022644">
        <w:rPr>
          <w:rFonts w:ascii="Arial" w:hAnsi="Arial" w:cs="Arial"/>
          <w:sz w:val="24"/>
          <w:szCs w:val="24"/>
        </w:rPr>
        <w:t>s</w:t>
      </w:r>
      <w:r w:rsidR="00266E2B" w:rsidRPr="001C25CA">
        <w:rPr>
          <w:rFonts w:ascii="Arial" w:hAnsi="Arial" w:cs="Arial"/>
          <w:sz w:val="24"/>
          <w:szCs w:val="24"/>
        </w:rPr>
        <w:t>.</w:t>
      </w:r>
    </w:p>
    <w:p w:rsidR="0008009C" w:rsidRPr="001C25CA" w:rsidRDefault="0008009C" w:rsidP="0008009C">
      <w:pPr>
        <w:pStyle w:val="ListParagraph"/>
        <w:rPr>
          <w:rFonts w:ascii="Arial" w:hAnsi="Arial" w:cs="Arial"/>
          <w:sz w:val="24"/>
          <w:szCs w:val="24"/>
        </w:rPr>
      </w:pPr>
    </w:p>
    <w:p w:rsidR="0008009C" w:rsidRPr="001C25CA" w:rsidRDefault="00266E2B"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Regulation 21(1) provides:</w:t>
      </w:r>
    </w:p>
    <w:p w:rsidR="00266E2B" w:rsidRPr="001C25CA" w:rsidRDefault="00266E2B" w:rsidP="009510CB">
      <w:pPr>
        <w:pStyle w:val="ListParagraph"/>
        <w:spacing w:after="0" w:line="480" w:lineRule="auto"/>
        <w:rPr>
          <w:rFonts w:ascii="Arial" w:hAnsi="Arial" w:cs="Arial"/>
          <w:sz w:val="24"/>
          <w:szCs w:val="24"/>
        </w:rPr>
      </w:pPr>
    </w:p>
    <w:p w:rsidR="00266E2B" w:rsidRPr="004B4AEE" w:rsidRDefault="00266E2B" w:rsidP="004B4AEE">
      <w:pPr>
        <w:pStyle w:val="NoSpacing"/>
        <w:spacing w:line="360" w:lineRule="auto"/>
        <w:ind w:left="1440" w:hanging="720"/>
        <w:jc w:val="both"/>
        <w:rPr>
          <w:rFonts w:ascii="Arial" w:hAnsi="Arial" w:cs="Arial"/>
        </w:rPr>
      </w:pPr>
      <w:r w:rsidRPr="004B4AEE">
        <w:rPr>
          <w:rFonts w:ascii="Arial" w:hAnsi="Arial" w:cs="Arial"/>
        </w:rPr>
        <w:t>‘</w:t>
      </w:r>
      <w:r w:rsidR="004B4AEE" w:rsidRPr="004B4AEE">
        <w:rPr>
          <w:rFonts w:ascii="Arial" w:hAnsi="Arial" w:cs="Arial"/>
        </w:rPr>
        <w:t>(1)</w:t>
      </w:r>
      <w:r w:rsidR="004B4AEE" w:rsidRPr="004B4AEE">
        <w:rPr>
          <w:rFonts w:ascii="Arial" w:hAnsi="Arial" w:cs="Arial"/>
        </w:rPr>
        <w:tab/>
        <w:t>The Commissioner, from valuations supplied by the Minister, must cause assessments to be made of the land tax payable by owners of agricultural land.</w:t>
      </w:r>
      <w:r w:rsidRPr="004B4AEE">
        <w:rPr>
          <w:rFonts w:ascii="Arial" w:hAnsi="Arial" w:cs="Arial"/>
        </w:rPr>
        <w:t>’</w:t>
      </w:r>
    </w:p>
    <w:p w:rsidR="0008009C" w:rsidRPr="001C25CA" w:rsidRDefault="0008009C" w:rsidP="009510CB">
      <w:pPr>
        <w:pStyle w:val="ListParagraph"/>
        <w:spacing w:after="0" w:line="480" w:lineRule="auto"/>
        <w:rPr>
          <w:rFonts w:ascii="Arial" w:hAnsi="Arial" w:cs="Arial"/>
          <w:sz w:val="24"/>
          <w:szCs w:val="24"/>
        </w:rPr>
      </w:pPr>
    </w:p>
    <w:p w:rsidR="00022644" w:rsidRDefault="00266E2B"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Regulation 21(3) authorise</w:t>
      </w:r>
      <w:r w:rsidR="00022644">
        <w:rPr>
          <w:rFonts w:ascii="Arial" w:hAnsi="Arial" w:cs="Arial"/>
          <w:sz w:val="24"/>
          <w:szCs w:val="24"/>
        </w:rPr>
        <w:t>s</w:t>
      </w:r>
      <w:r w:rsidRPr="001C25CA">
        <w:rPr>
          <w:rFonts w:ascii="Arial" w:hAnsi="Arial" w:cs="Arial"/>
          <w:sz w:val="24"/>
          <w:szCs w:val="24"/>
        </w:rPr>
        <w:t xml:space="preserve"> the Commissioner to serve notices of assessment upon landowners. </w:t>
      </w:r>
    </w:p>
    <w:p w:rsidR="00022644" w:rsidRDefault="00022644" w:rsidP="00022644">
      <w:pPr>
        <w:pStyle w:val="NoSpacing"/>
        <w:spacing w:line="480" w:lineRule="auto"/>
        <w:jc w:val="both"/>
        <w:rPr>
          <w:rFonts w:ascii="Arial" w:hAnsi="Arial" w:cs="Arial"/>
          <w:sz w:val="24"/>
          <w:szCs w:val="24"/>
        </w:rPr>
      </w:pPr>
    </w:p>
    <w:p w:rsidR="00022644" w:rsidRDefault="00266E2B"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High Court held that regulation 21(1) does not in any way detract or take away the Minister’s power to impose land tax, including the power to issue and serve </w:t>
      </w:r>
      <w:r w:rsidRPr="001C25CA">
        <w:rPr>
          <w:rFonts w:ascii="Arial" w:hAnsi="Arial" w:cs="Arial"/>
          <w:sz w:val="24"/>
          <w:szCs w:val="24"/>
        </w:rPr>
        <w:lastRenderedPageBreak/>
        <w:t xml:space="preserve">an assessment. If </w:t>
      </w:r>
      <w:r w:rsidR="00022644">
        <w:rPr>
          <w:rFonts w:ascii="Arial" w:hAnsi="Arial" w:cs="Arial"/>
          <w:sz w:val="24"/>
          <w:szCs w:val="24"/>
        </w:rPr>
        <w:t>regulation 21</w:t>
      </w:r>
      <w:r w:rsidRPr="001C25CA">
        <w:rPr>
          <w:rFonts w:ascii="Arial" w:hAnsi="Arial" w:cs="Arial"/>
          <w:sz w:val="24"/>
          <w:szCs w:val="24"/>
        </w:rPr>
        <w:t xml:space="preserve"> did so, the court held that the regulation would to that extent be invalid. </w:t>
      </w:r>
    </w:p>
    <w:p w:rsidR="00770A4B" w:rsidRDefault="00770A4B" w:rsidP="00770A4B">
      <w:pPr>
        <w:pStyle w:val="NoSpacing"/>
        <w:spacing w:line="480" w:lineRule="auto"/>
        <w:jc w:val="both"/>
        <w:rPr>
          <w:rFonts w:ascii="Arial" w:hAnsi="Arial" w:cs="Arial"/>
          <w:sz w:val="24"/>
          <w:szCs w:val="24"/>
        </w:rPr>
      </w:pPr>
    </w:p>
    <w:p w:rsidR="0008009C" w:rsidRPr="001C25CA" w:rsidRDefault="00266E2B"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court correctly pointed out that the regulation 21(1) did not require the Commissioner to personally assess the land tax but to </w:t>
      </w:r>
      <w:r w:rsidRPr="00022644">
        <w:rPr>
          <w:rFonts w:ascii="Arial" w:hAnsi="Arial" w:cs="Arial"/>
          <w:sz w:val="24"/>
          <w:szCs w:val="24"/>
          <w:u w:val="single"/>
        </w:rPr>
        <w:t>cause</w:t>
      </w:r>
      <w:r w:rsidRPr="001C25CA">
        <w:rPr>
          <w:rFonts w:ascii="Arial" w:hAnsi="Arial" w:cs="Arial"/>
          <w:sz w:val="24"/>
          <w:szCs w:val="24"/>
        </w:rPr>
        <w:t xml:space="preserve"> that it be done </w:t>
      </w:r>
      <w:r w:rsidR="00263481" w:rsidRPr="001C25CA">
        <w:rPr>
          <w:rFonts w:ascii="Arial" w:hAnsi="Arial" w:cs="Arial"/>
          <w:sz w:val="24"/>
          <w:szCs w:val="24"/>
        </w:rPr>
        <w:t>without saying by whom</w:t>
      </w:r>
      <w:r w:rsidR="00770A4B">
        <w:rPr>
          <w:rFonts w:ascii="Arial" w:hAnsi="Arial" w:cs="Arial"/>
          <w:sz w:val="24"/>
          <w:szCs w:val="24"/>
        </w:rPr>
        <w:t>,</w:t>
      </w:r>
      <w:r w:rsidR="00022644">
        <w:rPr>
          <w:rFonts w:ascii="Arial" w:hAnsi="Arial" w:cs="Arial"/>
          <w:sz w:val="24"/>
          <w:szCs w:val="24"/>
        </w:rPr>
        <w:t xml:space="preserve"> a construct overlooked by the appellant</w:t>
      </w:r>
      <w:r w:rsidR="00263481" w:rsidRPr="001C25CA">
        <w:rPr>
          <w:rFonts w:ascii="Arial" w:hAnsi="Arial" w:cs="Arial"/>
          <w:sz w:val="24"/>
          <w:szCs w:val="24"/>
        </w:rPr>
        <w:t xml:space="preserve">. The court concluded that it was not </w:t>
      </w:r>
      <w:r w:rsidR="00263481" w:rsidRPr="001C25CA">
        <w:rPr>
          <w:rFonts w:ascii="Arial" w:hAnsi="Arial" w:cs="Arial"/>
          <w:i/>
          <w:sz w:val="24"/>
          <w:szCs w:val="24"/>
        </w:rPr>
        <w:t>ultra vires</w:t>
      </w:r>
      <w:r w:rsidR="00263481" w:rsidRPr="001C25CA">
        <w:rPr>
          <w:rFonts w:ascii="Arial" w:hAnsi="Arial" w:cs="Arial"/>
          <w:sz w:val="24"/>
          <w:szCs w:val="24"/>
        </w:rPr>
        <w:t xml:space="preserve"> the Act if the assessment</w:t>
      </w:r>
      <w:r w:rsidR="00770A4B">
        <w:rPr>
          <w:rFonts w:ascii="Arial" w:hAnsi="Arial" w:cs="Arial"/>
          <w:sz w:val="24"/>
          <w:szCs w:val="24"/>
        </w:rPr>
        <w:t>s</w:t>
      </w:r>
      <w:r w:rsidR="00263481" w:rsidRPr="001C25CA">
        <w:rPr>
          <w:rFonts w:ascii="Arial" w:hAnsi="Arial" w:cs="Arial"/>
          <w:sz w:val="24"/>
          <w:szCs w:val="24"/>
        </w:rPr>
        <w:t xml:space="preserve"> were to be done by the Minister or under the Minister’s auspices.</w:t>
      </w:r>
    </w:p>
    <w:p w:rsidR="00266E2B" w:rsidRPr="001C25CA" w:rsidRDefault="00266E2B" w:rsidP="00266E2B">
      <w:pPr>
        <w:pStyle w:val="ListParagraph"/>
        <w:rPr>
          <w:rFonts w:ascii="Arial" w:hAnsi="Arial" w:cs="Arial"/>
          <w:sz w:val="24"/>
          <w:szCs w:val="24"/>
        </w:rPr>
      </w:pPr>
    </w:p>
    <w:p w:rsidR="00266E2B" w:rsidRPr="001C25CA" w:rsidRDefault="00263481"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The conclusion of the High Court </w:t>
      </w:r>
      <w:r w:rsidR="00022644">
        <w:rPr>
          <w:rFonts w:ascii="Arial" w:hAnsi="Arial" w:cs="Arial"/>
          <w:sz w:val="24"/>
          <w:szCs w:val="24"/>
        </w:rPr>
        <w:t>is</w:t>
      </w:r>
      <w:r w:rsidRPr="001C25CA">
        <w:rPr>
          <w:rFonts w:ascii="Arial" w:hAnsi="Arial" w:cs="Arial"/>
          <w:sz w:val="24"/>
          <w:szCs w:val="24"/>
        </w:rPr>
        <w:t xml:space="preserve"> in my view correct. It also accords with the principle that a power delegated</w:t>
      </w:r>
      <w:r w:rsidR="00022644">
        <w:rPr>
          <w:rFonts w:ascii="Arial" w:hAnsi="Arial" w:cs="Arial"/>
          <w:sz w:val="24"/>
          <w:szCs w:val="24"/>
        </w:rPr>
        <w:t xml:space="preserve"> (to the Commissioner)</w:t>
      </w:r>
      <w:r w:rsidRPr="001C25CA">
        <w:rPr>
          <w:rFonts w:ascii="Arial" w:hAnsi="Arial" w:cs="Arial"/>
          <w:sz w:val="24"/>
          <w:szCs w:val="24"/>
        </w:rPr>
        <w:t xml:space="preserve"> – in this instance in the regulations – may be exercised by the delegator of the power - the Minister</w:t>
      </w:r>
      <w:r w:rsidR="00022644">
        <w:rPr>
          <w:rFonts w:ascii="Arial" w:hAnsi="Arial" w:cs="Arial"/>
          <w:sz w:val="24"/>
          <w:szCs w:val="24"/>
        </w:rPr>
        <w:t xml:space="preserve"> - </w:t>
      </w:r>
      <w:r w:rsidRPr="001C25CA">
        <w:rPr>
          <w:rFonts w:ascii="Arial" w:hAnsi="Arial" w:cs="Arial"/>
          <w:sz w:val="24"/>
          <w:szCs w:val="24"/>
        </w:rPr>
        <w:t>provided that no rights are retrospectively adversely affected.</w:t>
      </w:r>
      <w:r w:rsidR="00770A4B">
        <w:rPr>
          <w:rStyle w:val="FootnoteReference"/>
          <w:rFonts w:ascii="Arial" w:hAnsi="Arial" w:cs="Arial"/>
          <w:sz w:val="24"/>
          <w:szCs w:val="24"/>
        </w:rPr>
        <w:footnoteReference w:id="41"/>
      </w:r>
      <w:r w:rsidRPr="001C25CA">
        <w:rPr>
          <w:rFonts w:ascii="Arial" w:hAnsi="Arial" w:cs="Arial"/>
          <w:sz w:val="24"/>
          <w:szCs w:val="24"/>
        </w:rPr>
        <w:t xml:space="preserve"> The Minister thus retains the statutory power to issue the assessment without reliance upon </w:t>
      </w:r>
      <w:r w:rsidR="00EB4AB3" w:rsidRPr="001C25CA">
        <w:rPr>
          <w:rFonts w:ascii="Arial" w:hAnsi="Arial" w:cs="Arial"/>
          <w:sz w:val="24"/>
          <w:szCs w:val="24"/>
        </w:rPr>
        <w:t>administrative support</w:t>
      </w:r>
      <w:r w:rsidR="00EB4AB3">
        <w:rPr>
          <w:rFonts w:ascii="Arial" w:hAnsi="Arial" w:cs="Arial"/>
          <w:sz w:val="24"/>
          <w:szCs w:val="24"/>
        </w:rPr>
        <w:t xml:space="preserve"> </w:t>
      </w:r>
      <w:r w:rsidR="00770A4B">
        <w:rPr>
          <w:rFonts w:ascii="Arial" w:hAnsi="Arial" w:cs="Arial"/>
          <w:sz w:val="24"/>
          <w:szCs w:val="24"/>
        </w:rPr>
        <w:t>resorting</w:t>
      </w:r>
      <w:r w:rsidR="00EB4AB3">
        <w:rPr>
          <w:rFonts w:ascii="Arial" w:hAnsi="Arial" w:cs="Arial"/>
          <w:sz w:val="24"/>
          <w:szCs w:val="24"/>
        </w:rPr>
        <w:t xml:space="preserve"> under</w:t>
      </w:r>
      <w:r w:rsidR="00EB4AB3" w:rsidRPr="001C25CA">
        <w:rPr>
          <w:rFonts w:ascii="Arial" w:hAnsi="Arial" w:cs="Arial"/>
          <w:sz w:val="24"/>
          <w:szCs w:val="24"/>
        </w:rPr>
        <w:t xml:space="preserve"> </w:t>
      </w:r>
      <w:r w:rsidR="00EB4AB3">
        <w:rPr>
          <w:rFonts w:ascii="Arial" w:hAnsi="Arial" w:cs="Arial"/>
          <w:sz w:val="24"/>
          <w:szCs w:val="24"/>
        </w:rPr>
        <w:t xml:space="preserve">the </w:t>
      </w:r>
      <w:r w:rsidRPr="001C25CA">
        <w:rPr>
          <w:rFonts w:ascii="Arial" w:hAnsi="Arial" w:cs="Arial"/>
          <w:sz w:val="24"/>
          <w:szCs w:val="24"/>
        </w:rPr>
        <w:t xml:space="preserve">Commissioner. The responsibility to issue assessments remains with the Minister to assess land tax in accordance with the formula contained in s 76(1)(a). It is thus incorrect to assert that this </w:t>
      </w:r>
      <w:r w:rsidR="00EB4AB3">
        <w:rPr>
          <w:rFonts w:ascii="Arial" w:hAnsi="Arial" w:cs="Arial"/>
          <w:sz w:val="24"/>
          <w:szCs w:val="24"/>
        </w:rPr>
        <w:t xml:space="preserve">is a </w:t>
      </w:r>
      <w:r w:rsidRPr="001C25CA">
        <w:rPr>
          <w:rFonts w:ascii="Arial" w:hAnsi="Arial" w:cs="Arial"/>
          <w:sz w:val="24"/>
          <w:szCs w:val="24"/>
        </w:rPr>
        <w:t xml:space="preserve">discretion vested in the Commissioner by regulation 21(1) – or for that matter with the Minister. It is </w:t>
      </w:r>
      <w:r w:rsidR="00EB4AB3">
        <w:rPr>
          <w:rFonts w:ascii="Arial" w:hAnsi="Arial" w:cs="Arial"/>
          <w:sz w:val="24"/>
          <w:szCs w:val="24"/>
        </w:rPr>
        <w:t xml:space="preserve">rather </w:t>
      </w:r>
      <w:r w:rsidRPr="001C25CA">
        <w:rPr>
          <w:rFonts w:ascii="Arial" w:hAnsi="Arial" w:cs="Arial"/>
          <w:sz w:val="24"/>
          <w:szCs w:val="24"/>
        </w:rPr>
        <w:t>a</w:t>
      </w:r>
      <w:r w:rsidR="00770A4B">
        <w:rPr>
          <w:rFonts w:ascii="Arial" w:hAnsi="Arial" w:cs="Arial"/>
          <w:sz w:val="24"/>
          <w:szCs w:val="24"/>
        </w:rPr>
        <w:t xml:space="preserve"> statutory</w:t>
      </w:r>
      <w:r w:rsidRPr="001C25CA">
        <w:rPr>
          <w:rFonts w:ascii="Arial" w:hAnsi="Arial" w:cs="Arial"/>
          <w:sz w:val="24"/>
          <w:szCs w:val="24"/>
        </w:rPr>
        <w:t xml:space="preserve"> task to be performed by applying the formula in s 76. </w:t>
      </w:r>
    </w:p>
    <w:p w:rsidR="00266E2B" w:rsidRPr="001C25CA" w:rsidRDefault="00266E2B" w:rsidP="00266E2B">
      <w:pPr>
        <w:pStyle w:val="ListParagraph"/>
        <w:rPr>
          <w:rFonts w:ascii="Arial" w:hAnsi="Arial" w:cs="Arial"/>
          <w:sz w:val="24"/>
          <w:szCs w:val="24"/>
        </w:rPr>
      </w:pPr>
    </w:p>
    <w:p w:rsidR="00266E2B" w:rsidRDefault="00263481" w:rsidP="002E426A">
      <w:pPr>
        <w:pStyle w:val="NoSpacing"/>
        <w:numPr>
          <w:ilvl w:val="0"/>
          <w:numId w:val="4"/>
        </w:numPr>
        <w:spacing w:line="480" w:lineRule="auto"/>
        <w:ind w:left="0" w:firstLine="0"/>
        <w:jc w:val="both"/>
        <w:rPr>
          <w:rFonts w:ascii="Arial" w:hAnsi="Arial" w:cs="Arial"/>
          <w:sz w:val="24"/>
          <w:szCs w:val="24"/>
        </w:rPr>
      </w:pPr>
      <w:r w:rsidRPr="001C25CA">
        <w:rPr>
          <w:rFonts w:ascii="Arial" w:hAnsi="Arial" w:cs="Arial"/>
          <w:sz w:val="24"/>
          <w:szCs w:val="24"/>
        </w:rPr>
        <w:t xml:space="preserve">It follows that, whether the tax collecting infrastructure </w:t>
      </w:r>
      <w:r w:rsidR="00EB4AB3">
        <w:rPr>
          <w:rFonts w:ascii="Arial" w:hAnsi="Arial" w:cs="Arial"/>
          <w:sz w:val="24"/>
          <w:szCs w:val="24"/>
        </w:rPr>
        <w:t>resorting under</w:t>
      </w:r>
      <w:r w:rsidRPr="001C25CA">
        <w:rPr>
          <w:rFonts w:ascii="Arial" w:hAnsi="Arial" w:cs="Arial"/>
          <w:sz w:val="24"/>
          <w:szCs w:val="24"/>
        </w:rPr>
        <w:t xml:space="preserve"> the Commissioner is utilised</w:t>
      </w:r>
      <w:r w:rsidR="00770A4B">
        <w:rPr>
          <w:rFonts w:ascii="Arial" w:hAnsi="Arial" w:cs="Arial"/>
          <w:sz w:val="24"/>
          <w:szCs w:val="24"/>
        </w:rPr>
        <w:t xml:space="preserve"> or not</w:t>
      </w:r>
      <w:r w:rsidRPr="001C25CA">
        <w:rPr>
          <w:rFonts w:ascii="Arial" w:hAnsi="Arial" w:cs="Arial"/>
          <w:sz w:val="24"/>
          <w:szCs w:val="24"/>
        </w:rPr>
        <w:t>, an assessment issued by the Minister exercising his own statutory power is not invalid o</w:t>
      </w:r>
      <w:r w:rsidR="00EB4AB3">
        <w:rPr>
          <w:rFonts w:ascii="Arial" w:hAnsi="Arial" w:cs="Arial"/>
          <w:sz w:val="24"/>
          <w:szCs w:val="24"/>
        </w:rPr>
        <w:t>n</w:t>
      </w:r>
      <w:r w:rsidRPr="001C25CA">
        <w:rPr>
          <w:rFonts w:ascii="Arial" w:hAnsi="Arial" w:cs="Arial"/>
          <w:sz w:val="24"/>
          <w:szCs w:val="24"/>
        </w:rPr>
        <w:t xml:space="preserve"> the grounds raised by the appellant.</w:t>
      </w:r>
    </w:p>
    <w:p w:rsidR="00497D6A" w:rsidRDefault="00497D6A" w:rsidP="00497D6A">
      <w:pPr>
        <w:rPr>
          <w:rFonts w:ascii="Arial" w:hAnsi="Arial" w:cs="Arial"/>
          <w:sz w:val="24"/>
          <w:szCs w:val="24"/>
        </w:rPr>
      </w:pPr>
    </w:p>
    <w:p w:rsidR="00021ECC" w:rsidRDefault="00021ECC" w:rsidP="00497D6A">
      <w:pPr>
        <w:rPr>
          <w:rFonts w:ascii="Arial" w:hAnsi="Arial" w:cs="Arial"/>
          <w:sz w:val="24"/>
          <w:szCs w:val="24"/>
          <w:u w:val="single"/>
        </w:rPr>
      </w:pPr>
    </w:p>
    <w:p w:rsidR="00497D6A" w:rsidRPr="00497D6A" w:rsidRDefault="00497D6A" w:rsidP="00497D6A">
      <w:pPr>
        <w:rPr>
          <w:rFonts w:ascii="Arial" w:hAnsi="Arial" w:cs="Arial"/>
          <w:sz w:val="24"/>
          <w:szCs w:val="24"/>
          <w:u w:val="single"/>
        </w:rPr>
      </w:pPr>
      <w:r>
        <w:rPr>
          <w:rFonts w:ascii="Arial" w:hAnsi="Arial" w:cs="Arial"/>
          <w:sz w:val="24"/>
          <w:szCs w:val="24"/>
          <w:u w:val="single"/>
        </w:rPr>
        <w:lastRenderedPageBreak/>
        <w:t>Applications A 21/2015 and A 197/2015</w:t>
      </w:r>
    </w:p>
    <w:p w:rsidR="00EB4AB3" w:rsidRDefault="00497D6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In each of these applications, the appellant raises two points. The first is that the assessment in question was not made and served by the Commissioner. This point </w:t>
      </w:r>
      <w:r w:rsidR="00770A4B">
        <w:rPr>
          <w:rFonts w:ascii="Arial" w:hAnsi="Arial" w:cs="Arial"/>
          <w:sz w:val="24"/>
          <w:szCs w:val="24"/>
        </w:rPr>
        <w:t xml:space="preserve">is without substance and </w:t>
      </w:r>
      <w:r>
        <w:rPr>
          <w:rFonts w:ascii="Arial" w:hAnsi="Arial" w:cs="Arial"/>
          <w:sz w:val="24"/>
          <w:szCs w:val="24"/>
        </w:rPr>
        <w:t>has been addressed</w:t>
      </w:r>
      <w:r w:rsidR="00EB4AB3">
        <w:rPr>
          <w:rFonts w:ascii="Arial" w:hAnsi="Arial" w:cs="Arial"/>
          <w:sz w:val="24"/>
          <w:szCs w:val="24"/>
        </w:rPr>
        <w:t xml:space="preserve"> in the preceding paragraphs</w:t>
      </w:r>
      <w:r>
        <w:rPr>
          <w:rFonts w:ascii="Arial" w:hAnsi="Arial" w:cs="Arial"/>
          <w:sz w:val="24"/>
          <w:szCs w:val="24"/>
        </w:rPr>
        <w:t xml:space="preserve">. </w:t>
      </w:r>
    </w:p>
    <w:p w:rsidR="00EB4AB3" w:rsidRDefault="00EB4AB3" w:rsidP="00EB4AB3">
      <w:pPr>
        <w:pStyle w:val="NoSpacing"/>
        <w:spacing w:line="480" w:lineRule="auto"/>
        <w:jc w:val="both"/>
        <w:rPr>
          <w:rFonts w:ascii="Arial" w:hAnsi="Arial" w:cs="Arial"/>
          <w:sz w:val="24"/>
          <w:szCs w:val="24"/>
        </w:rPr>
      </w:pPr>
    </w:p>
    <w:p w:rsidR="00497D6A" w:rsidRDefault="00497D6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second issue is that ‘no applicable valuation roll’ was in place because of </w:t>
      </w:r>
      <w:r w:rsidR="00EB4AB3">
        <w:rPr>
          <w:rFonts w:ascii="Arial" w:hAnsi="Arial" w:cs="Arial"/>
          <w:sz w:val="24"/>
          <w:szCs w:val="24"/>
        </w:rPr>
        <w:t>the appellant’s</w:t>
      </w:r>
      <w:r>
        <w:rPr>
          <w:rFonts w:ascii="Arial" w:hAnsi="Arial" w:cs="Arial"/>
          <w:sz w:val="24"/>
          <w:szCs w:val="24"/>
        </w:rPr>
        <w:t xml:space="preserve"> contention that the previous roll had expired on 31 March 2013. This latter contention is based upon the erstwhile wording of regulation 17(3) which provided:</w:t>
      </w:r>
    </w:p>
    <w:p w:rsidR="00497D6A" w:rsidRDefault="00497D6A" w:rsidP="00497D6A">
      <w:pPr>
        <w:pStyle w:val="ListParagraph"/>
        <w:rPr>
          <w:rFonts w:ascii="Arial" w:hAnsi="Arial" w:cs="Arial"/>
          <w:sz w:val="24"/>
          <w:szCs w:val="24"/>
        </w:rPr>
      </w:pPr>
    </w:p>
    <w:p w:rsidR="00497D6A" w:rsidRPr="00497D6A" w:rsidRDefault="00497D6A" w:rsidP="00497D6A">
      <w:pPr>
        <w:pStyle w:val="NoSpacing"/>
        <w:spacing w:line="360" w:lineRule="auto"/>
        <w:ind w:left="720"/>
        <w:jc w:val="both"/>
        <w:rPr>
          <w:rFonts w:ascii="Arial" w:hAnsi="Arial" w:cs="Arial"/>
          <w:sz w:val="24"/>
          <w:szCs w:val="24"/>
        </w:rPr>
      </w:pPr>
      <w:r w:rsidRPr="00497D6A">
        <w:rPr>
          <w:rFonts w:ascii="Arial" w:hAnsi="Arial" w:cs="Arial"/>
        </w:rPr>
        <w:t>‘The valuation roll is valid for a period of five years from the date it comes into operation.’</w:t>
      </w:r>
    </w:p>
    <w:p w:rsidR="00497D6A" w:rsidRDefault="00497D6A" w:rsidP="00497D6A">
      <w:pPr>
        <w:pStyle w:val="ListParagraph"/>
        <w:rPr>
          <w:rFonts w:ascii="Arial" w:hAnsi="Arial" w:cs="Arial"/>
          <w:sz w:val="24"/>
          <w:szCs w:val="24"/>
        </w:rPr>
      </w:pPr>
    </w:p>
    <w:p w:rsidR="00497D6A" w:rsidRDefault="00497D6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appellant asserted that this provision is to be read with regulation 3(1) which places a duty on the Minister ‘at intervals of five years </w:t>
      </w:r>
      <w:r w:rsidR="00EB4AB3">
        <w:rPr>
          <w:rFonts w:ascii="Arial" w:hAnsi="Arial" w:cs="Arial"/>
          <w:sz w:val="24"/>
          <w:szCs w:val="24"/>
        </w:rPr>
        <w:t xml:space="preserve">to </w:t>
      </w:r>
      <w:r>
        <w:rPr>
          <w:rFonts w:ascii="Arial" w:hAnsi="Arial" w:cs="Arial"/>
          <w:sz w:val="24"/>
          <w:szCs w:val="24"/>
        </w:rPr>
        <w:t>cause a general valuation to be made’ of agricultural land after the first valuation.</w:t>
      </w:r>
    </w:p>
    <w:p w:rsidR="00497D6A" w:rsidRDefault="00497D6A" w:rsidP="00497D6A">
      <w:pPr>
        <w:pStyle w:val="ListParagraph"/>
        <w:rPr>
          <w:rFonts w:ascii="Arial" w:hAnsi="Arial" w:cs="Arial"/>
          <w:sz w:val="24"/>
          <w:szCs w:val="24"/>
        </w:rPr>
      </w:pPr>
    </w:p>
    <w:p w:rsidR="00497D6A" w:rsidRDefault="00497D6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High Court rejected the contention </w:t>
      </w:r>
      <w:r w:rsidR="00EB4AB3">
        <w:rPr>
          <w:rFonts w:ascii="Arial" w:hAnsi="Arial" w:cs="Arial"/>
          <w:sz w:val="24"/>
          <w:szCs w:val="24"/>
        </w:rPr>
        <w:t>of an</w:t>
      </w:r>
      <w:r>
        <w:rPr>
          <w:rFonts w:ascii="Arial" w:hAnsi="Arial" w:cs="Arial"/>
          <w:sz w:val="24"/>
          <w:szCs w:val="24"/>
        </w:rPr>
        <w:t xml:space="preserve"> alleged absence of a valuation roll with reference to authorities on statutory interpretation and found that the appellant did not contend </w:t>
      </w:r>
      <w:r w:rsidR="001A4A99">
        <w:rPr>
          <w:rFonts w:ascii="Arial" w:hAnsi="Arial" w:cs="Arial"/>
          <w:sz w:val="24"/>
          <w:szCs w:val="24"/>
        </w:rPr>
        <w:t>for or establish any prejudice if the 2007-2013 roll were to be used.</w:t>
      </w:r>
    </w:p>
    <w:p w:rsidR="00497D6A" w:rsidRDefault="00497D6A" w:rsidP="00497D6A">
      <w:pPr>
        <w:pStyle w:val="ListParagraph"/>
        <w:rPr>
          <w:rFonts w:ascii="Arial" w:hAnsi="Arial" w:cs="Arial"/>
          <w:sz w:val="24"/>
          <w:szCs w:val="24"/>
        </w:rPr>
      </w:pPr>
    </w:p>
    <w:p w:rsidR="00497D6A" w:rsidRDefault="001A4A99"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The approach of the High Court on this issue is also sound.</w:t>
      </w:r>
    </w:p>
    <w:p w:rsidR="001A4A99" w:rsidRDefault="001A4A99" w:rsidP="001A4A99">
      <w:pPr>
        <w:pStyle w:val="ListParagraph"/>
        <w:rPr>
          <w:rFonts w:ascii="Arial" w:hAnsi="Arial" w:cs="Arial"/>
          <w:sz w:val="24"/>
          <w:szCs w:val="24"/>
        </w:rPr>
      </w:pPr>
    </w:p>
    <w:p w:rsidR="001A4A99" w:rsidRDefault="001A4A99"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appellant’s point with regard to the duty to cause valuation rolls to be done at five yearly intervals rests upon an assumption that the failure to perform an </w:t>
      </w:r>
      <w:r>
        <w:rPr>
          <w:rFonts w:ascii="Arial" w:hAnsi="Arial" w:cs="Arial"/>
          <w:sz w:val="24"/>
          <w:szCs w:val="24"/>
        </w:rPr>
        <w:lastRenderedPageBreak/>
        <w:t>administrative function within a stipulated period would dive</w:t>
      </w:r>
      <w:r w:rsidR="00EB4AB3">
        <w:rPr>
          <w:rFonts w:ascii="Arial" w:hAnsi="Arial" w:cs="Arial"/>
          <w:sz w:val="24"/>
          <w:szCs w:val="24"/>
        </w:rPr>
        <w:t>s</w:t>
      </w:r>
      <w:r>
        <w:rPr>
          <w:rFonts w:ascii="Arial" w:hAnsi="Arial" w:cs="Arial"/>
          <w:sz w:val="24"/>
          <w:szCs w:val="24"/>
        </w:rPr>
        <w:t>t an administrator of a power and duty.</w:t>
      </w:r>
    </w:p>
    <w:p w:rsidR="001A4A99" w:rsidRDefault="001A4A99" w:rsidP="001A4A99">
      <w:pPr>
        <w:pStyle w:val="ListParagraph"/>
        <w:rPr>
          <w:rFonts w:ascii="Arial" w:hAnsi="Arial" w:cs="Arial"/>
          <w:sz w:val="24"/>
          <w:szCs w:val="24"/>
        </w:rPr>
      </w:pPr>
    </w:p>
    <w:p w:rsidR="00D864C0" w:rsidRDefault="001A4A99"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This court recently confirmed the position that time periods imposed upon public officials for the performance of function</w:t>
      </w:r>
      <w:r w:rsidR="00EB4AB3">
        <w:rPr>
          <w:rFonts w:ascii="Arial" w:hAnsi="Arial" w:cs="Arial"/>
          <w:sz w:val="24"/>
          <w:szCs w:val="24"/>
        </w:rPr>
        <w:t>s</w:t>
      </w:r>
      <w:r>
        <w:rPr>
          <w:rFonts w:ascii="Arial" w:hAnsi="Arial" w:cs="Arial"/>
          <w:sz w:val="24"/>
          <w:szCs w:val="24"/>
        </w:rPr>
        <w:t xml:space="preserve"> or duties are not generally intended to </w:t>
      </w:r>
      <w:r w:rsidR="00EB4AB3">
        <w:rPr>
          <w:rFonts w:ascii="Arial" w:hAnsi="Arial" w:cs="Arial"/>
          <w:sz w:val="24"/>
          <w:szCs w:val="24"/>
        </w:rPr>
        <w:t>vitiate</w:t>
      </w:r>
      <w:r>
        <w:rPr>
          <w:rFonts w:ascii="Arial" w:hAnsi="Arial" w:cs="Arial"/>
          <w:sz w:val="24"/>
          <w:szCs w:val="24"/>
        </w:rPr>
        <w:t xml:space="preserve"> the exercise of public power</w:t>
      </w:r>
      <w:r w:rsidR="00EB4AB3">
        <w:rPr>
          <w:rFonts w:ascii="Arial" w:hAnsi="Arial" w:cs="Arial"/>
          <w:sz w:val="24"/>
          <w:szCs w:val="24"/>
        </w:rPr>
        <w:t xml:space="preserve"> if the duty were not to be performed within that period</w:t>
      </w:r>
      <w:r>
        <w:rPr>
          <w:rFonts w:ascii="Arial" w:hAnsi="Arial" w:cs="Arial"/>
          <w:sz w:val="24"/>
          <w:szCs w:val="24"/>
        </w:rPr>
        <w:t>.</w:t>
      </w:r>
      <w:r>
        <w:rPr>
          <w:rStyle w:val="FootnoteReference"/>
          <w:rFonts w:ascii="Arial" w:hAnsi="Arial" w:cs="Arial"/>
          <w:sz w:val="24"/>
          <w:szCs w:val="24"/>
        </w:rPr>
        <w:footnoteReference w:id="42"/>
      </w:r>
      <w:r>
        <w:rPr>
          <w:rFonts w:ascii="Arial" w:hAnsi="Arial" w:cs="Arial"/>
          <w:sz w:val="24"/>
          <w:szCs w:val="24"/>
        </w:rPr>
        <w:t xml:space="preserve"> This court in </w:t>
      </w:r>
      <w:r>
        <w:rPr>
          <w:rFonts w:ascii="Arial" w:hAnsi="Arial" w:cs="Arial"/>
          <w:i/>
          <w:sz w:val="24"/>
          <w:szCs w:val="24"/>
        </w:rPr>
        <w:t>Torbitt</w:t>
      </w:r>
      <w:r>
        <w:rPr>
          <w:rFonts w:ascii="Arial" w:hAnsi="Arial" w:cs="Arial"/>
          <w:sz w:val="24"/>
          <w:szCs w:val="24"/>
        </w:rPr>
        <w:t xml:space="preserve"> made it clear that the intention of the legislat</w:t>
      </w:r>
      <w:r w:rsidR="00EB4AB3">
        <w:rPr>
          <w:rFonts w:ascii="Arial" w:hAnsi="Arial" w:cs="Arial"/>
          <w:sz w:val="24"/>
          <w:szCs w:val="24"/>
        </w:rPr>
        <w:t>ure</w:t>
      </w:r>
      <w:r>
        <w:rPr>
          <w:rFonts w:ascii="Arial" w:hAnsi="Arial" w:cs="Arial"/>
          <w:sz w:val="24"/>
          <w:szCs w:val="24"/>
        </w:rPr>
        <w:t xml:space="preserve"> </w:t>
      </w:r>
      <w:r w:rsidR="00D864C0">
        <w:rPr>
          <w:rFonts w:ascii="Arial" w:hAnsi="Arial" w:cs="Arial"/>
          <w:sz w:val="24"/>
          <w:szCs w:val="24"/>
        </w:rPr>
        <w:t>is to be sought in order to determine the consequence of non-compliance with a statutory injunction</w:t>
      </w:r>
      <w:r w:rsidR="00EB4AB3">
        <w:rPr>
          <w:rFonts w:ascii="Arial" w:hAnsi="Arial" w:cs="Arial"/>
          <w:sz w:val="24"/>
          <w:szCs w:val="24"/>
        </w:rPr>
        <w:t xml:space="preserve"> that a duty</w:t>
      </w:r>
      <w:r w:rsidR="00D864C0">
        <w:rPr>
          <w:rFonts w:ascii="Arial" w:hAnsi="Arial" w:cs="Arial"/>
          <w:sz w:val="24"/>
          <w:szCs w:val="24"/>
        </w:rPr>
        <w:t xml:space="preserve"> is to be performed within a specified period. This court in </w:t>
      </w:r>
      <w:r w:rsidR="00D864C0" w:rsidRPr="00D864C0">
        <w:rPr>
          <w:rFonts w:ascii="Arial" w:hAnsi="Arial" w:cs="Arial"/>
          <w:i/>
          <w:sz w:val="24"/>
          <w:szCs w:val="24"/>
        </w:rPr>
        <w:t>Torbitt</w:t>
      </w:r>
      <w:r w:rsidR="00D864C0">
        <w:rPr>
          <w:rFonts w:ascii="Arial" w:hAnsi="Arial" w:cs="Arial"/>
          <w:sz w:val="24"/>
          <w:szCs w:val="24"/>
        </w:rPr>
        <w:t xml:space="preserve"> referred with approval the approach in </w:t>
      </w:r>
      <w:r w:rsidR="00D864C0" w:rsidRPr="00D864C0">
        <w:rPr>
          <w:rFonts w:ascii="Arial" w:hAnsi="Arial" w:cs="Arial"/>
          <w:i/>
          <w:sz w:val="24"/>
          <w:szCs w:val="24"/>
        </w:rPr>
        <w:t>Volschenk v Volschenk</w:t>
      </w:r>
      <w:r w:rsidR="00D864C0">
        <w:rPr>
          <w:rStyle w:val="FootnoteReference"/>
          <w:rFonts w:ascii="Arial" w:hAnsi="Arial" w:cs="Arial"/>
          <w:sz w:val="24"/>
          <w:szCs w:val="24"/>
        </w:rPr>
        <w:footnoteReference w:id="43"/>
      </w:r>
      <w:r w:rsidR="00D864C0">
        <w:rPr>
          <w:rFonts w:ascii="Arial" w:hAnsi="Arial" w:cs="Arial"/>
          <w:i/>
          <w:sz w:val="24"/>
          <w:szCs w:val="24"/>
        </w:rPr>
        <w:t xml:space="preserve"> </w:t>
      </w:r>
      <w:r w:rsidR="00D864C0">
        <w:rPr>
          <w:rFonts w:ascii="Arial" w:hAnsi="Arial" w:cs="Arial"/>
          <w:sz w:val="24"/>
          <w:szCs w:val="24"/>
        </w:rPr>
        <w:t xml:space="preserve">where it was held that there is no </w:t>
      </w:r>
    </w:p>
    <w:p w:rsidR="00D864C0" w:rsidRDefault="00D864C0" w:rsidP="000A4DEC">
      <w:pPr>
        <w:pStyle w:val="ListParagraph"/>
        <w:spacing w:after="0"/>
        <w:rPr>
          <w:rFonts w:ascii="Arial" w:hAnsi="Arial" w:cs="Arial"/>
          <w:sz w:val="24"/>
          <w:szCs w:val="24"/>
        </w:rPr>
      </w:pPr>
    </w:p>
    <w:p w:rsidR="00D864C0" w:rsidRDefault="00D864C0" w:rsidP="000A4DEC">
      <w:pPr>
        <w:pStyle w:val="NoSpacing"/>
        <w:spacing w:line="360" w:lineRule="auto"/>
        <w:ind w:left="720"/>
        <w:jc w:val="both"/>
        <w:rPr>
          <w:rFonts w:ascii="Arial" w:hAnsi="Arial" w:cs="Arial"/>
          <w:sz w:val="24"/>
          <w:szCs w:val="24"/>
        </w:rPr>
      </w:pPr>
      <w:r w:rsidRPr="0073324C">
        <w:rPr>
          <w:rFonts w:ascii="Arial" w:hAnsi="Arial" w:cs="Arial"/>
        </w:rPr>
        <w:t>‘general rule that all provisions in respect of time are necessarily obligatory and that failure to comply strictly therewith results in nullifying all acts done pursuant thereto</w:t>
      </w:r>
      <w:r w:rsidR="00770A4B">
        <w:rPr>
          <w:rFonts w:ascii="Arial" w:hAnsi="Arial" w:cs="Arial"/>
        </w:rPr>
        <w:t>.</w:t>
      </w:r>
      <w:r w:rsidR="00EB4AB3">
        <w:rPr>
          <w:rFonts w:ascii="Arial" w:hAnsi="Arial" w:cs="Arial"/>
        </w:rPr>
        <w:t xml:space="preserve"> </w:t>
      </w:r>
      <w:r w:rsidRPr="0073324C">
        <w:rPr>
          <w:rFonts w:ascii="Arial" w:hAnsi="Arial" w:cs="Arial"/>
        </w:rPr>
        <w:t>I am not aware of any decision laying down a general rule that all provisions with respect to time are necessarily obligatory and that failure to comply strictly therewith results in nullifying all acts done pursuant thereto. The real intention of the Legislature should in all cases be enquired into and the reasons ascertained why the Legislature should have wished to create a nullity.’</w:t>
      </w:r>
    </w:p>
    <w:p w:rsidR="001A4A99" w:rsidRDefault="001A4A99" w:rsidP="001A4A99">
      <w:pPr>
        <w:pStyle w:val="ListParagraph"/>
        <w:rPr>
          <w:rFonts w:ascii="Arial" w:hAnsi="Arial" w:cs="Arial"/>
          <w:sz w:val="24"/>
          <w:szCs w:val="24"/>
        </w:rPr>
      </w:pPr>
    </w:p>
    <w:p w:rsidR="001A4A99" w:rsidRDefault="0073324C"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As was demonstrated by the facts in </w:t>
      </w:r>
      <w:r w:rsidRPr="0073324C">
        <w:rPr>
          <w:rFonts w:ascii="Arial" w:hAnsi="Arial" w:cs="Arial"/>
          <w:i/>
          <w:sz w:val="24"/>
          <w:szCs w:val="24"/>
        </w:rPr>
        <w:t>Torbitt</w:t>
      </w:r>
      <w:r>
        <w:rPr>
          <w:rFonts w:ascii="Arial" w:hAnsi="Arial" w:cs="Arial"/>
          <w:sz w:val="24"/>
          <w:szCs w:val="24"/>
        </w:rPr>
        <w:t>, one of the princip</w:t>
      </w:r>
      <w:r w:rsidR="00EB4AB3">
        <w:rPr>
          <w:rFonts w:ascii="Arial" w:hAnsi="Arial" w:cs="Arial"/>
          <w:sz w:val="24"/>
          <w:szCs w:val="24"/>
        </w:rPr>
        <w:t>al</w:t>
      </w:r>
      <w:r>
        <w:rPr>
          <w:rFonts w:ascii="Arial" w:hAnsi="Arial" w:cs="Arial"/>
          <w:sz w:val="24"/>
          <w:szCs w:val="24"/>
        </w:rPr>
        <w:t xml:space="preserve"> reasons for this approach is that it would lead to absurd results not consistent with the intention of the legislature if a public official or body</w:t>
      </w:r>
      <w:r w:rsidR="00770A4B">
        <w:rPr>
          <w:rFonts w:ascii="Arial" w:hAnsi="Arial" w:cs="Arial"/>
          <w:sz w:val="24"/>
          <w:szCs w:val="24"/>
        </w:rPr>
        <w:t>,</w:t>
      </w:r>
      <w:r>
        <w:rPr>
          <w:rFonts w:ascii="Arial" w:hAnsi="Arial" w:cs="Arial"/>
          <w:sz w:val="24"/>
          <w:szCs w:val="24"/>
        </w:rPr>
        <w:t xml:space="preserve"> tasked to perform a statutory duty or function</w:t>
      </w:r>
      <w:r w:rsidR="00770A4B">
        <w:rPr>
          <w:rFonts w:ascii="Arial" w:hAnsi="Arial" w:cs="Arial"/>
          <w:sz w:val="24"/>
          <w:szCs w:val="24"/>
        </w:rPr>
        <w:t>,</w:t>
      </w:r>
      <w:r>
        <w:rPr>
          <w:rFonts w:ascii="Arial" w:hAnsi="Arial" w:cs="Arial"/>
          <w:sz w:val="24"/>
          <w:szCs w:val="24"/>
        </w:rPr>
        <w:t xml:space="preserve"> is disqualified by its own delay from giving effect to that statutory duty. This court in </w:t>
      </w:r>
      <w:r w:rsidRPr="0073324C">
        <w:rPr>
          <w:rFonts w:ascii="Arial" w:hAnsi="Arial" w:cs="Arial"/>
          <w:i/>
          <w:sz w:val="24"/>
          <w:szCs w:val="24"/>
        </w:rPr>
        <w:t>Torbitt</w:t>
      </w:r>
      <w:r>
        <w:rPr>
          <w:rFonts w:ascii="Arial" w:hAnsi="Arial" w:cs="Arial"/>
          <w:sz w:val="24"/>
          <w:szCs w:val="24"/>
        </w:rPr>
        <w:t xml:space="preserve"> accordingly roundly rejected an approach which would nullify the late performance of a statutory duty.</w:t>
      </w:r>
    </w:p>
    <w:p w:rsidR="001A4A99" w:rsidRDefault="001A4A99" w:rsidP="001A4A99">
      <w:pPr>
        <w:pStyle w:val="ListParagraph"/>
        <w:rPr>
          <w:rFonts w:ascii="Arial" w:hAnsi="Arial" w:cs="Arial"/>
          <w:sz w:val="24"/>
          <w:szCs w:val="24"/>
        </w:rPr>
      </w:pPr>
    </w:p>
    <w:p w:rsidR="001A4A99" w:rsidRDefault="0073324C"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Act and the regulations properly construed do not </w:t>
      </w:r>
      <w:r w:rsidR="00860CDF">
        <w:rPr>
          <w:rFonts w:ascii="Arial" w:hAnsi="Arial" w:cs="Arial"/>
          <w:sz w:val="24"/>
          <w:szCs w:val="24"/>
        </w:rPr>
        <w:t xml:space="preserve">evince an intention to create a nullity if </w:t>
      </w:r>
      <w:r w:rsidR="00EB4AB3">
        <w:rPr>
          <w:rFonts w:ascii="Arial" w:hAnsi="Arial" w:cs="Arial"/>
          <w:sz w:val="24"/>
          <w:szCs w:val="24"/>
        </w:rPr>
        <w:t>a</w:t>
      </w:r>
      <w:r w:rsidR="00860CDF">
        <w:rPr>
          <w:rFonts w:ascii="Arial" w:hAnsi="Arial" w:cs="Arial"/>
          <w:sz w:val="24"/>
          <w:szCs w:val="24"/>
        </w:rPr>
        <w:t xml:space="preserve"> valuation roll is not done within five years of </w:t>
      </w:r>
      <w:r w:rsidR="00EB4AB3">
        <w:rPr>
          <w:rFonts w:ascii="Arial" w:hAnsi="Arial" w:cs="Arial"/>
          <w:sz w:val="24"/>
          <w:szCs w:val="24"/>
        </w:rPr>
        <w:t xml:space="preserve">the </w:t>
      </w:r>
      <w:r w:rsidR="00860CDF">
        <w:rPr>
          <w:rFonts w:ascii="Arial" w:hAnsi="Arial" w:cs="Arial"/>
          <w:sz w:val="24"/>
          <w:szCs w:val="24"/>
        </w:rPr>
        <w:t>previous one.</w:t>
      </w:r>
    </w:p>
    <w:p w:rsidR="001A4A99" w:rsidRDefault="001A4A99" w:rsidP="001A4A99">
      <w:pPr>
        <w:pStyle w:val="ListParagraph"/>
        <w:rPr>
          <w:rFonts w:ascii="Arial" w:hAnsi="Arial" w:cs="Arial"/>
          <w:sz w:val="24"/>
          <w:szCs w:val="24"/>
        </w:rPr>
      </w:pPr>
    </w:p>
    <w:p w:rsidR="001A4A99" w:rsidRDefault="00860CDF"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Furthermore, there is not the faintest suggestion in the appellant’s papers or in argument on its behalf of any prejudice to it if the 2007-2013 roll is utilised</w:t>
      </w:r>
      <w:r w:rsidR="00770A4B">
        <w:rPr>
          <w:rFonts w:ascii="Arial" w:hAnsi="Arial" w:cs="Arial"/>
          <w:sz w:val="24"/>
          <w:szCs w:val="24"/>
        </w:rPr>
        <w:t xml:space="preserve"> (as well as in several of the appellant’s other complaint</w:t>
      </w:r>
      <w:r w:rsidR="004A5FD0">
        <w:rPr>
          <w:rFonts w:ascii="Arial" w:hAnsi="Arial" w:cs="Arial"/>
          <w:sz w:val="24"/>
          <w:szCs w:val="24"/>
        </w:rPr>
        <w:t>s</w:t>
      </w:r>
      <w:r w:rsidR="00770A4B">
        <w:rPr>
          <w:rFonts w:ascii="Arial" w:hAnsi="Arial" w:cs="Arial"/>
          <w:sz w:val="24"/>
          <w:szCs w:val="24"/>
        </w:rPr>
        <w:t xml:space="preserve"> such as the Minister ‘acting’ instead of the Commissioner</w:t>
      </w:r>
      <w:r w:rsidR="004A5FD0">
        <w:rPr>
          <w:rFonts w:ascii="Arial" w:hAnsi="Arial" w:cs="Arial"/>
          <w:sz w:val="24"/>
          <w:szCs w:val="24"/>
        </w:rPr>
        <w:t>)</w:t>
      </w:r>
      <w:r>
        <w:rPr>
          <w:rFonts w:ascii="Arial" w:hAnsi="Arial" w:cs="Arial"/>
          <w:sz w:val="24"/>
          <w:szCs w:val="24"/>
        </w:rPr>
        <w:t xml:space="preserve">. </w:t>
      </w:r>
      <w:r w:rsidR="00EB4AB3">
        <w:rPr>
          <w:rFonts w:ascii="Arial" w:hAnsi="Arial" w:cs="Arial"/>
          <w:sz w:val="24"/>
          <w:szCs w:val="24"/>
        </w:rPr>
        <w:t xml:space="preserve">None is pleaded or raised in argument. </w:t>
      </w:r>
      <w:r w:rsidR="00F5582B">
        <w:rPr>
          <w:rFonts w:ascii="Arial" w:hAnsi="Arial" w:cs="Arial"/>
          <w:sz w:val="24"/>
          <w:szCs w:val="24"/>
        </w:rPr>
        <w:t xml:space="preserve">This is understandable because there cannot be prejudice to landowners. </w:t>
      </w:r>
      <w:r w:rsidR="00770A4B">
        <w:rPr>
          <w:rFonts w:ascii="Arial" w:hAnsi="Arial" w:cs="Arial"/>
          <w:sz w:val="24"/>
          <w:szCs w:val="24"/>
        </w:rPr>
        <w:t xml:space="preserve">Land tax is afterall </w:t>
      </w:r>
      <w:r w:rsidR="00FC672E">
        <w:rPr>
          <w:rFonts w:ascii="Arial" w:hAnsi="Arial" w:cs="Arial"/>
          <w:sz w:val="24"/>
          <w:szCs w:val="24"/>
        </w:rPr>
        <w:t>calculated with reference</w:t>
      </w:r>
      <w:r w:rsidR="00770A4B">
        <w:rPr>
          <w:rFonts w:ascii="Arial" w:hAnsi="Arial" w:cs="Arial"/>
          <w:sz w:val="24"/>
          <w:szCs w:val="24"/>
        </w:rPr>
        <w:t xml:space="preserve"> </w:t>
      </w:r>
      <w:r>
        <w:rPr>
          <w:rFonts w:ascii="Arial" w:hAnsi="Arial" w:cs="Arial"/>
          <w:sz w:val="24"/>
          <w:szCs w:val="24"/>
        </w:rPr>
        <w:t xml:space="preserve">to the value of agricultural land in accordance with the s 76 formula. A more recent valuation roll would result in higher land values as a consequence of inflation alone which this court can take into account. This would result in a higher land tax </w:t>
      </w:r>
      <w:r w:rsidR="00FC672E">
        <w:rPr>
          <w:rFonts w:ascii="Arial" w:hAnsi="Arial" w:cs="Arial"/>
          <w:sz w:val="24"/>
          <w:szCs w:val="24"/>
        </w:rPr>
        <w:t>payble</w:t>
      </w:r>
      <w:r>
        <w:rPr>
          <w:rFonts w:ascii="Arial" w:hAnsi="Arial" w:cs="Arial"/>
          <w:sz w:val="24"/>
          <w:szCs w:val="24"/>
        </w:rPr>
        <w:t xml:space="preserve"> by landowners in accordance with </w:t>
      </w:r>
      <w:r w:rsidR="005A0E6E">
        <w:rPr>
          <w:rFonts w:ascii="Arial" w:hAnsi="Arial" w:cs="Arial"/>
          <w:sz w:val="24"/>
          <w:szCs w:val="24"/>
        </w:rPr>
        <w:t xml:space="preserve">the formula in </w:t>
      </w:r>
      <w:r w:rsidR="00FC672E">
        <w:rPr>
          <w:rFonts w:ascii="Arial" w:hAnsi="Arial" w:cs="Arial"/>
          <w:sz w:val="24"/>
          <w:szCs w:val="24"/>
        </w:rPr>
        <w:t xml:space="preserve"> </w:t>
      </w:r>
      <w:r w:rsidR="005A0E6E">
        <w:rPr>
          <w:rFonts w:ascii="Arial" w:hAnsi="Arial" w:cs="Arial"/>
          <w:sz w:val="24"/>
          <w:szCs w:val="24"/>
        </w:rPr>
        <w:t>s 76.</w:t>
      </w:r>
      <w:r w:rsidR="00FC672E">
        <w:rPr>
          <w:rFonts w:ascii="Arial" w:hAnsi="Arial" w:cs="Arial"/>
          <w:sz w:val="24"/>
          <w:szCs w:val="24"/>
        </w:rPr>
        <w:t xml:space="preserve"> As is stressed by </w:t>
      </w:r>
      <w:r w:rsidR="00FC672E" w:rsidRPr="004A5FD0">
        <w:rPr>
          <w:rFonts w:ascii="Arial" w:hAnsi="Arial" w:cs="Arial"/>
          <w:i/>
          <w:sz w:val="24"/>
          <w:szCs w:val="24"/>
        </w:rPr>
        <w:t>Baxter</w:t>
      </w:r>
      <w:r w:rsidR="00FC672E">
        <w:rPr>
          <w:rFonts w:ascii="Arial" w:hAnsi="Arial" w:cs="Arial"/>
          <w:sz w:val="24"/>
          <w:szCs w:val="24"/>
        </w:rPr>
        <w:t xml:space="preserve"> Administrative Law</w:t>
      </w:r>
      <w:r w:rsidR="00FC672E">
        <w:rPr>
          <w:rStyle w:val="FootnoteReference"/>
          <w:rFonts w:ascii="Arial" w:hAnsi="Arial" w:cs="Arial"/>
          <w:sz w:val="24"/>
          <w:szCs w:val="24"/>
        </w:rPr>
        <w:footnoteReference w:id="44"/>
      </w:r>
      <w:r w:rsidR="00FC672E">
        <w:rPr>
          <w:rFonts w:ascii="Arial" w:hAnsi="Arial" w:cs="Arial"/>
          <w:sz w:val="24"/>
          <w:szCs w:val="24"/>
        </w:rPr>
        <w:t xml:space="preserve"> prejudice or at least potential prejudice is to be established in order to justify the award of a remedy. Even though prejudice may be assumed where unlawfulness is established, it would still need to exist.</w:t>
      </w:r>
      <w:r w:rsidR="00FC672E">
        <w:rPr>
          <w:rStyle w:val="FootnoteReference"/>
          <w:rFonts w:ascii="Arial" w:hAnsi="Arial" w:cs="Arial"/>
          <w:sz w:val="24"/>
          <w:szCs w:val="24"/>
        </w:rPr>
        <w:footnoteReference w:id="45"/>
      </w:r>
    </w:p>
    <w:p w:rsidR="00414C3B" w:rsidRDefault="00414C3B" w:rsidP="00414C3B">
      <w:pPr>
        <w:pStyle w:val="ListParagraph"/>
        <w:rPr>
          <w:rFonts w:ascii="Arial" w:hAnsi="Arial" w:cs="Arial"/>
          <w:sz w:val="24"/>
          <w:szCs w:val="24"/>
        </w:rPr>
      </w:pPr>
    </w:p>
    <w:p w:rsidR="00414C3B" w:rsidRDefault="005A0E6E"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In the absence of prejudice, the approach of this court in </w:t>
      </w:r>
      <w:r w:rsidRPr="005A0E6E">
        <w:rPr>
          <w:rFonts w:ascii="Arial" w:hAnsi="Arial" w:cs="Arial"/>
          <w:i/>
          <w:sz w:val="24"/>
          <w:szCs w:val="24"/>
        </w:rPr>
        <w:t>Torbitt</w:t>
      </w:r>
      <w:r>
        <w:rPr>
          <w:rFonts w:ascii="Arial" w:hAnsi="Arial" w:cs="Arial"/>
          <w:sz w:val="24"/>
          <w:szCs w:val="24"/>
        </w:rPr>
        <w:t xml:space="preserve"> (and the several cases it followed)</w:t>
      </w:r>
      <w:r w:rsidR="00F5582B">
        <w:rPr>
          <w:rFonts w:ascii="Arial" w:hAnsi="Arial" w:cs="Arial"/>
          <w:sz w:val="24"/>
          <w:szCs w:val="24"/>
        </w:rPr>
        <w:t xml:space="preserve"> is in turn to be followed</w:t>
      </w:r>
      <w:r>
        <w:rPr>
          <w:rFonts w:ascii="Arial" w:hAnsi="Arial" w:cs="Arial"/>
          <w:sz w:val="24"/>
          <w:szCs w:val="24"/>
        </w:rPr>
        <w:t>. The Government through the Minister is not dive</w:t>
      </w:r>
      <w:r w:rsidR="00F5582B">
        <w:rPr>
          <w:rFonts w:ascii="Arial" w:hAnsi="Arial" w:cs="Arial"/>
          <w:sz w:val="24"/>
          <w:szCs w:val="24"/>
        </w:rPr>
        <w:t>s</w:t>
      </w:r>
      <w:r>
        <w:rPr>
          <w:rFonts w:ascii="Arial" w:hAnsi="Arial" w:cs="Arial"/>
          <w:sz w:val="24"/>
          <w:szCs w:val="24"/>
        </w:rPr>
        <w:t xml:space="preserve">ted of the </w:t>
      </w:r>
      <w:r w:rsidR="00F5582B">
        <w:rPr>
          <w:rFonts w:ascii="Arial" w:hAnsi="Arial" w:cs="Arial"/>
          <w:sz w:val="24"/>
          <w:szCs w:val="24"/>
        </w:rPr>
        <w:t xml:space="preserve">power and duty to generate land tax for the purpose </w:t>
      </w:r>
      <w:r>
        <w:rPr>
          <w:rFonts w:ascii="Arial" w:hAnsi="Arial" w:cs="Arial"/>
          <w:sz w:val="24"/>
          <w:szCs w:val="24"/>
        </w:rPr>
        <w:t xml:space="preserve">land reform </w:t>
      </w:r>
      <w:r w:rsidR="00FC672E">
        <w:rPr>
          <w:rFonts w:ascii="Arial" w:hAnsi="Arial" w:cs="Arial"/>
          <w:sz w:val="24"/>
          <w:szCs w:val="24"/>
        </w:rPr>
        <w:t xml:space="preserve">as </w:t>
      </w:r>
      <w:r>
        <w:rPr>
          <w:rFonts w:ascii="Arial" w:hAnsi="Arial" w:cs="Arial"/>
          <w:sz w:val="24"/>
          <w:szCs w:val="24"/>
        </w:rPr>
        <w:t>enjoined by the Act</w:t>
      </w:r>
      <w:r w:rsidR="00F5582B">
        <w:rPr>
          <w:rFonts w:ascii="Arial" w:hAnsi="Arial" w:cs="Arial"/>
          <w:sz w:val="24"/>
          <w:szCs w:val="24"/>
        </w:rPr>
        <w:t xml:space="preserve"> in s 14</w:t>
      </w:r>
      <w:r>
        <w:rPr>
          <w:rFonts w:ascii="Arial" w:hAnsi="Arial" w:cs="Arial"/>
          <w:sz w:val="24"/>
          <w:szCs w:val="24"/>
        </w:rPr>
        <w:t xml:space="preserve">. It </w:t>
      </w:r>
      <w:r w:rsidR="00F5582B">
        <w:rPr>
          <w:rFonts w:ascii="Arial" w:hAnsi="Arial" w:cs="Arial"/>
          <w:sz w:val="24"/>
          <w:szCs w:val="24"/>
        </w:rPr>
        <w:t>thus</w:t>
      </w:r>
      <w:r>
        <w:rPr>
          <w:rFonts w:ascii="Arial" w:hAnsi="Arial" w:cs="Arial"/>
          <w:sz w:val="24"/>
          <w:szCs w:val="24"/>
        </w:rPr>
        <w:t xml:space="preserve"> follows that the consequence of the expiry of the five year period</w:t>
      </w:r>
      <w:r w:rsidR="00FC672E">
        <w:rPr>
          <w:rFonts w:ascii="Arial" w:hAnsi="Arial" w:cs="Arial"/>
          <w:sz w:val="24"/>
          <w:szCs w:val="24"/>
        </w:rPr>
        <w:t xml:space="preserve"> referred to in the regulations is not a nullity.</w:t>
      </w:r>
    </w:p>
    <w:p w:rsidR="005A0E6E" w:rsidRDefault="005A0E6E" w:rsidP="005A0E6E">
      <w:pPr>
        <w:rPr>
          <w:rFonts w:ascii="Arial" w:hAnsi="Arial" w:cs="Arial"/>
          <w:sz w:val="24"/>
          <w:szCs w:val="24"/>
        </w:rPr>
      </w:pPr>
    </w:p>
    <w:p w:rsidR="005A0E6E" w:rsidRPr="005A0E6E" w:rsidRDefault="005A0E6E" w:rsidP="005A0E6E">
      <w:pPr>
        <w:rPr>
          <w:rFonts w:ascii="Arial" w:hAnsi="Arial" w:cs="Arial"/>
          <w:sz w:val="24"/>
          <w:szCs w:val="24"/>
          <w:u w:val="single"/>
        </w:rPr>
      </w:pPr>
      <w:r>
        <w:rPr>
          <w:rFonts w:ascii="Arial" w:hAnsi="Arial" w:cs="Arial"/>
          <w:sz w:val="24"/>
          <w:szCs w:val="24"/>
          <w:u w:val="single"/>
        </w:rPr>
        <w:lastRenderedPageBreak/>
        <w:t>Application A 234/2015</w:t>
      </w:r>
    </w:p>
    <w:p w:rsidR="005A0E6E" w:rsidRDefault="005A0E6E"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In August 2015, the Minister gave notice of an amendment to regulation 17(</w:t>
      </w:r>
      <w:r w:rsidR="00FC672E">
        <w:rPr>
          <w:rFonts w:ascii="Arial" w:hAnsi="Arial" w:cs="Arial"/>
          <w:sz w:val="24"/>
          <w:szCs w:val="24"/>
        </w:rPr>
        <w:t>3</w:t>
      </w:r>
      <w:r>
        <w:rPr>
          <w:rFonts w:ascii="Arial" w:hAnsi="Arial" w:cs="Arial"/>
          <w:sz w:val="24"/>
          <w:szCs w:val="24"/>
        </w:rPr>
        <w:t>) to read as follows in its amended form:</w:t>
      </w:r>
    </w:p>
    <w:p w:rsidR="005A0E6E" w:rsidRDefault="005A0E6E" w:rsidP="000A4DEC">
      <w:pPr>
        <w:pStyle w:val="NoSpacing"/>
        <w:spacing w:line="360" w:lineRule="auto"/>
        <w:ind w:left="720"/>
        <w:jc w:val="both"/>
        <w:rPr>
          <w:rFonts w:ascii="Arial" w:hAnsi="Arial" w:cs="Arial"/>
          <w:sz w:val="24"/>
          <w:szCs w:val="24"/>
        </w:rPr>
      </w:pPr>
    </w:p>
    <w:p w:rsidR="005A0E6E" w:rsidRPr="005A0E6E" w:rsidRDefault="005A0E6E" w:rsidP="005A0E6E">
      <w:pPr>
        <w:pStyle w:val="NoSpacing"/>
        <w:spacing w:line="360" w:lineRule="auto"/>
        <w:ind w:left="720"/>
        <w:jc w:val="both"/>
        <w:rPr>
          <w:rFonts w:ascii="Arial" w:hAnsi="Arial" w:cs="Arial"/>
        </w:rPr>
      </w:pPr>
      <w:r w:rsidRPr="005A0E6E">
        <w:rPr>
          <w:rFonts w:ascii="Arial" w:hAnsi="Arial" w:cs="Arial"/>
        </w:rPr>
        <w:t>‘The valuation roll is valid from the date it comes into operation until it is replaced by a new valuation roll.’</w:t>
      </w:r>
    </w:p>
    <w:p w:rsidR="005A0E6E" w:rsidRDefault="005A0E6E" w:rsidP="005A0E6E">
      <w:pPr>
        <w:pStyle w:val="NoSpacing"/>
        <w:spacing w:line="480" w:lineRule="auto"/>
        <w:jc w:val="both"/>
        <w:rPr>
          <w:rFonts w:ascii="Arial" w:hAnsi="Arial" w:cs="Arial"/>
          <w:sz w:val="24"/>
          <w:szCs w:val="24"/>
        </w:rPr>
      </w:pPr>
    </w:p>
    <w:p w:rsidR="005A0E6E" w:rsidRDefault="005A0E6E"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In September 2015, the appellant launched application</w:t>
      </w:r>
      <w:r w:rsidR="00F5582B">
        <w:rPr>
          <w:rFonts w:ascii="Arial" w:hAnsi="Arial" w:cs="Arial"/>
          <w:sz w:val="24"/>
          <w:szCs w:val="24"/>
        </w:rPr>
        <w:t xml:space="preserve"> A 234/2015</w:t>
      </w:r>
      <w:r>
        <w:rPr>
          <w:rFonts w:ascii="Arial" w:hAnsi="Arial" w:cs="Arial"/>
          <w:sz w:val="24"/>
          <w:szCs w:val="24"/>
        </w:rPr>
        <w:t xml:space="preserve"> to declare this amendment null and void.</w:t>
      </w:r>
    </w:p>
    <w:p w:rsidR="005A0E6E" w:rsidRDefault="005A0E6E" w:rsidP="005A0E6E">
      <w:pPr>
        <w:pStyle w:val="ListParagraph"/>
        <w:rPr>
          <w:rFonts w:ascii="Arial" w:hAnsi="Arial" w:cs="Arial"/>
          <w:sz w:val="24"/>
          <w:szCs w:val="24"/>
        </w:rPr>
      </w:pPr>
    </w:p>
    <w:p w:rsidR="00DE039D" w:rsidRDefault="00DE039D"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In the founding affidavit, the appellant contended that the amendment created a new regime which can endure indefinitely and that </w:t>
      </w:r>
      <w:r w:rsidR="00F5582B">
        <w:rPr>
          <w:rFonts w:ascii="Arial" w:hAnsi="Arial" w:cs="Arial"/>
          <w:sz w:val="24"/>
          <w:szCs w:val="24"/>
        </w:rPr>
        <w:t>this</w:t>
      </w:r>
      <w:r>
        <w:rPr>
          <w:rFonts w:ascii="Arial" w:hAnsi="Arial" w:cs="Arial"/>
          <w:sz w:val="24"/>
          <w:szCs w:val="24"/>
        </w:rPr>
        <w:t xml:space="preserve"> was destructive to the existing regime, illegally retrospective, took away existing rights and made the imposition of land tax more unpredictable. The appellant further said that the Minister had ‘invoked his ministerial whim</w:t>
      </w:r>
      <w:r w:rsidR="00F5582B">
        <w:rPr>
          <w:rFonts w:ascii="Arial" w:hAnsi="Arial" w:cs="Arial"/>
          <w:sz w:val="24"/>
          <w:szCs w:val="24"/>
        </w:rPr>
        <w:t>’</w:t>
      </w:r>
      <w:r>
        <w:rPr>
          <w:rFonts w:ascii="Arial" w:hAnsi="Arial" w:cs="Arial"/>
          <w:sz w:val="24"/>
          <w:szCs w:val="24"/>
        </w:rPr>
        <w:t xml:space="preserve"> </w:t>
      </w:r>
      <w:r w:rsidR="00FC672E">
        <w:rPr>
          <w:rFonts w:ascii="Arial" w:hAnsi="Arial" w:cs="Arial"/>
          <w:sz w:val="24"/>
          <w:szCs w:val="24"/>
        </w:rPr>
        <w:t xml:space="preserve">in issuing this </w:t>
      </w:r>
      <w:r>
        <w:rPr>
          <w:rFonts w:ascii="Arial" w:hAnsi="Arial" w:cs="Arial"/>
          <w:sz w:val="24"/>
          <w:szCs w:val="24"/>
        </w:rPr>
        <w:t>amendment proclamation.</w:t>
      </w:r>
    </w:p>
    <w:p w:rsidR="00DE039D" w:rsidRDefault="00DE039D" w:rsidP="00DE039D">
      <w:pPr>
        <w:pStyle w:val="ListParagraph"/>
        <w:rPr>
          <w:rFonts w:ascii="Arial" w:hAnsi="Arial" w:cs="Arial"/>
          <w:sz w:val="24"/>
          <w:szCs w:val="24"/>
        </w:rPr>
      </w:pPr>
    </w:p>
    <w:p w:rsidR="00F5582B" w:rsidRDefault="00414C3B"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It was also contended that the amendment conflicted with the rule of law, Art</w:t>
      </w:r>
      <w:r w:rsidR="00497DB0">
        <w:rPr>
          <w:rFonts w:ascii="Arial" w:hAnsi="Arial" w:cs="Arial"/>
          <w:sz w:val="24"/>
          <w:szCs w:val="24"/>
        </w:rPr>
        <w:t>s 8, 12 and 18</w:t>
      </w:r>
      <w:r>
        <w:rPr>
          <w:rFonts w:ascii="Arial" w:hAnsi="Arial" w:cs="Arial"/>
          <w:sz w:val="24"/>
          <w:szCs w:val="24"/>
        </w:rPr>
        <w:t xml:space="preserve">, open justice and accountability required by the rule of law. No factual content was provided in support of </w:t>
      </w:r>
      <w:r w:rsidR="00F5582B">
        <w:rPr>
          <w:rFonts w:ascii="Arial" w:hAnsi="Arial" w:cs="Arial"/>
          <w:sz w:val="24"/>
          <w:szCs w:val="24"/>
        </w:rPr>
        <w:t xml:space="preserve">these </w:t>
      </w:r>
      <w:r>
        <w:rPr>
          <w:rFonts w:ascii="Arial" w:hAnsi="Arial" w:cs="Arial"/>
          <w:sz w:val="24"/>
          <w:szCs w:val="24"/>
        </w:rPr>
        <w:t xml:space="preserve">multipronged attacks upon the amendment. It was also contended that the amendment was </w:t>
      </w:r>
      <w:r w:rsidRPr="001957EE">
        <w:rPr>
          <w:rFonts w:ascii="Arial" w:hAnsi="Arial" w:cs="Arial"/>
          <w:i/>
          <w:sz w:val="24"/>
          <w:szCs w:val="24"/>
        </w:rPr>
        <w:t>ultra vires</w:t>
      </w:r>
      <w:r>
        <w:rPr>
          <w:rFonts w:ascii="Arial" w:hAnsi="Arial" w:cs="Arial"/>
          <w:sz w:val="24"/>
          <w:szCs w:val="24"/>
        </w:rPr>
        <w:t xml:space="preserve"> s 76(2)(a) and s 77 of the Act without explaining in what respect(s). These </w:t>
      </w:r>
      <w:r w:rsidR="00F5582B">
        <w:rPr>
          <w:rFonts w:ascii="Arial" w:hAnsi="Arial" w:cs="Arial"/>
          <w:sz w:val="24"/>
          <w:szCs w:val="24"/>
        </w:rPr>
        <w:t>bald assertions</w:t>
      </w:r>
      <w:r>
        <w:rPr>
          <w:rFonts w:ascii="Arial" w:hAnsi="Arial" w:cs="Arial"/>
          <w:sz w:val="24"/>
          <w:szCs w:val="24"/>
        </w:rPr>
        <w:t xml:space="preserve"> were repeated in the appellant’s heads </w:t>
      </w:r>
      <w:r w:rsidR="00F5582B">
        <w:rPr>
          <w:rFonts w:ascii="Arial" w:hAnsi="Arial" w:cs="Arial"/>
          <w:sz w:val="24"/>
          <w:szCs w:val="24"/>
        </w:rPr>
        <w:t>but</w:t>
      </w:r>
      <w:r>
        <w:rPr>
          <w:rFonts w:ascii="Arial" w:hAnsi="Arial" w:cs="Arial"/>
          <w:sz w:val="24"/>
          <w:szCs w:val="24"/>
        </w:rPr>
        <w:t xml:space="preserve"> remained unsupported by any factual substratum or further argument. Nothing further </w:t>
      </w:r>
      <w:r w:rsidR="00F5582B">
        <w:rPr>
          <w:rFonts w:ascii="Arial" w:hAnsi="Arial" w:cs="Arial"/>
          <w:sz w:val="24"/>
          <w:szCs w:val="24"/>
        </w:rPr>
        <w:t xml:space="preserve">was </w:t>
      </w:r>
      <w:r>
        <w:rPr>
          <w:rFonts w:ascii="Arial" w:hAnsi="Arial" w:cs="Arial"/>
          <w:sz w:val="24"/>
          <w:szCs w:val="24"/>
        </w:rPr>
        <w:t xml:space="preserve">said as to how procedural fairness was </w:t>
      </w:r>
      <w:r w:rsidR="00FC672E">
        <w:rPr>
          <w:rFonts w:ascii="Arial" w:hAnsi="Arial" w:cs="Arial"/>
          <w:sz w:val="24"/>
          <w:szCs w:val="24"/>
        </w:rPr>
        <w:t xml:space="preserve">adversely </w:t>
      </w:r>
      <w:r>
        <w:rPr>
          <w:rFonts w:ascii="Arial" w:hAnsi="Arial" w:cs="Arial"/>
          <w:sz w:val="24"/>
          <w:szCs w:val="24"/>
        </w:rPr>
        <w:t>affected.</w:t>
      </w:r>
      <w:r w:rsidR="00F5582B">
        <w:rPr>
          <w:rFonts w:ascii="Arial" w:hAnsi="Arial" w:cs="Arial"/>
          <w:sz w:val="24"/>
          <w:szCs w:val="24"/>
        </w:rPr>
        <w:t xml:space="preserve"> The appellant simply failed to establish any procedural </w:t>
      </w:r>
      <w:r w:rsidR="00FC672E">
        <w:rPr>
          <w:rFonts w:ascii="Arial" w:hAnsi="Arial" w:cs="Arial"/>
          <w:sz w:val="24"/>
          <w:szCs w:val="24"/>
        </w:rPr>
        <w:t>un</w:t>
      </w:r>
      <w:r w:rsidR="00F5582B">
        <w:rPr>
          <w:rFonts w:ascii="Arial" w:hAnsi="Arial" w:cs="Arial"/>
          <w:sz w:val="24"/>
          <w:szCs w:val="24"/>
        </w:rPr>
        <w:t>fairness despite these extra</w:t>
      </w:r>
      <w:r w:rsidR="00FC672E">
        <w:rPr>
          <w:rFonts w:ascii="Arial" w:hAnsi="Arial" w:cs="Arial"/>
          <w:sz w:val="24"/>
          <w:szCs w:val="24"/>
        </w:rPr>
        <w:t>va</w:t>
      </w:r>
      <w:r w:rsidR="00F5582B">
        <w:rPr>
          <w:rFonts w:ascii="Arial" w:hAnsi="Arial" w:cs="Arial"/>
          <w:sz w:val="24"/>
          <w:szCs w:val="24"/>
        </w:rPr>
        <w:t>gant assertions.</w:t>
      </w:r>
      <w:r>
        <w:rPr>
          <w:rFonts w:ascii="Arial" w:hAnsi="Arial" w:cs="Arial"/>
          <w:sz w:val="24"/>
          <w:szCs w:val="24"/>
        </w:rPr>
        <w:t xml:space="preserve"> </w:t>
      </w:r>
    </w:p>
    <w:p w:rsidR="00F5582B" w:rsidRDefault="00F5582B" w:rsidP="00F5582B">
      <w:pPr>
        <w:pStyle w:val="ListParagraph"/>
        <w:rPr>
          <w:rFonts w:ascii="Arial" w:hAnsi="Arial" w:cs="Arial"/>
          <w:sz w:val="24"/>
          <w:szCs w:val="24"/>
        </w:rPr>
      </w:pPr>
    </w:p>
    <w:p w:rsidR="001A4A99" w:rsidRDefault="00414C3B"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lastRenderedPageBreak/>
        <w:t xml:space="preserve">In oral argument, </w:t>
      </w:r>
      <w:r w:rsidRPr="001C25CA">
        <w:rPr>
          <w:rFonts w:ascii="Arial" w:hAnsi="Arial" w:cs="Arial"/>
          <w:sz w:val="24"/>
          <w:szCs w:val="24"/>
        </w:rPr>
        <w:t xml:space="preserve">Mr Tötemeyer </w:t>
      </w:r>
      <w:r>
        <w:rPr>
          <w:rFonts w:ascii="Arial" w:hAnsi="Arial" w:cs="Arial"/>
          <w:sz w:val="24"/>
          <w:szCs w:val="24"/>
        </w:rPr>
        <w:t>contended that it could not be accepted that land values would always increase. But there is no evidence</w:t>
      </w:r>
      <w:r w:rsidR="00F5582B">
        <w:rPr>
          <w:rFonts w:ascii="Arial" w:hAnsi="Arial" w:cs="Arial"/>
          <w:sz w:val="24"/>
          <w:szCs w:val="24"/>
        </w:rPr>
        <w:t xml:space="preserve"> or even a suggestion</w:t>
      </w:r>
      <w:r>
        <w:rPr>
          <w:rFonts w:ascii="Arial" w:hAnsi="Arial" w:cs="Arial"/>
          <w:sz w:val="24"/>
          <w:szCs w:val="24"/>
        </w:rPr>
        <w:t xml:space="preserve"> at all of any prejudice </w:t>
      </w:r>
      <w:r w:rsidR="00FC672E">
        <w:rPr>
          <w:rFonts w:ascii="Arial" w:hAnsi="Arial" w:cs="Arial"/>
          <w:sz w:val="24"/>
          <w:szCs w:val="24"/>
        </w:rPr>
        <w:t>if</w:t>
      </w:r>
      <w:r>
        <w:rPr>
          <w:rFonts w:ascii="Arial" w:hAnsi="Arial" w:cs="Arial"/>
          <w:sz w:val="24"/>
          <w:szCs w:val="24"/>
        </w:rPr>
        <w:t xml:space="preserve"> the values </w:t>
      </w:r>
      <w:r w:rsidR="00F5582B">
        <w:rPr>
          <w:rFonts w:ascii="Arial" w:hAnsi="Arial" w:cs="Arial"/>
          <w:sz w:val="24"/>
          <w:szCs w:val="24"/>
        </w:rPr>
        <w:t>on the</w:t>
      </w:r>
      <w:r>
        <w:rPr>
          <w:rFonts w:ascii="Arial" w:hAnsi="Arial" w:cs="Arial"/>
          <w:sz w:val="24"/>
          <w:szCs w:val="24"/>
        </w:rPr>
        <w:t xml:space="preserve"> </w:t>
      </w:r>
      <w:r w:rsidR="001957EE">
        <w:rPr>
          <w:rFonts w:ascii="Arial" w:hAnsi="Arial" w:cs="Arial"/>
          <w:sz w:val="24"/>
          <w:szCs w:val="24"/>
        </w:rPr>
        <w:t xml:space="preserve">existing roll </w:t>
      </w:r>
      <w:r w:rsidR="00FC672E">
        <w:rPr>
          <w:rFonts w:ascii="Arial" w:hAnsi="Arial" w:cs="Arial"/>
          <w:sz w:val="24"/>
          <w:szCs w:val="24"/>
        </w:rPr>
        <w:t>were</w:t>
      </w:r>
      <w:r w:rsidR="001957EE">
        <w:rPr>
          <w:rFonts w:ascii="Arial" w:hAnsi="Arial" w:cs="Arial"/>
          <w:sz w:val="24"/>
          <w:szCs w:val="24"/>
        </w:rPr>
        <w:t xml:space="preserve"> applied</w:t>
      </w:r>
      <w:r w:rsidR="00F5582B">
        <w:rPr>
          <w:rFonts w:ascii="Arial" w:hAnsi="Arial" w:cs="Arial"/>
          <w:sz w:val="24"/>
          <w:szCs w:val="24"/>
        </w:rPr>
        <w:t xml:space="preserve"> or</w:t>
      </w:r>
      <w:r w:rsidR="001957EE">
        <w:rPr>
          <w:rFonts w:ascii="Arial" w:hAnsi="Arial" w:cs="Arial"/>
          <w:sz w:val="24"/>
          <w:szCs w:val="24"/>
        </w:rPr>
        <w:t xml:space="preserve"> of any fall in agricultural land values at all. </w:t>
      </w:r>
    </w:p>
    <w:p w:rsidR="001A4A99" w:rsidRDefault="001A4A99" w:rsidP="001A4A99">
      <w:pPr>
        <w:pStyle w:val="ListParagraph"/>
        <w:rPr>
          <w:rFonts w:ascii="Arial" w:hAnsi="Arial" w:cs="Arial"/>
          <w:sz w:val="24"/>
          <w:szCs w:val="24"/>
        </w:rPr>
      </w:pPr>
    </w:p>
    <w:p w:rsidR="001A4A99" w:rsidRDefault="001957EE"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In the Minister’s opposition to </w:t>
      </w:r>
      <w:r w:rsidR="00E2050D">
        <w:rPr>
          <w:rFonts w:ascii="Arial" w:hAnsi="Arial" w:cs="Arial"/>
          <w:sz w:val="24"/>
          <w:szCs w:val="24"/>
        </w:rPr>
        <w:t>these proceedings,</w:t>
      </w:r>
      <w:r>
        <w:rPr>
          <w:rFonts w:ascii="Arial" w:hAnsi="Arial" w:cs="Arial"/>
          <w:sz w:val="24"/>
          <w:szCs w:val="24"/>
        </w:rPr>
        <w:t xml:space="preserve"> he stated that all the amendment </w:t>
      </w:r>
      <w:r w:rsidR="00E2050D">
        <w:rPr>
          <w:rFonts w:ascii="Arial" w:hAnsi="Arial" w:cs="Arial"/>
          <w:sz w:val="24"/>
          <w:szCs w:val="24"/>
        </w:rPr>
        <w:t xml:space="preserve">was </w:t>
      </w:r>
      <w:r>
        <w:rPr>
          <w:rFonts w:ascii="Arial" w:hAnsi="Arial" w:cs="Arial"/>
          <w:sz w:val="24"/>
          <w:szCs w:val="24"/>
        </w:rPr>
        <w:t xml:space="preserve">intended to achieve was legal certainty. Quite how this can amount to an </w:t>
      </w:r>
      <w:r w:rsidRPr="00E2050D">
        <w:rPr>
          <w:rFonts w:ascii="Arial" w:hAnsi="Arial" w:cs="Arial"/>
          <w:i/>
          <w:sz w:val="24"/>
          <w:szCs w:val="24"/>
        </w:rPr>
        <w:t>ultra vires</w:t>
      </w:r>
      <w:r>
        <w:rPr>
          <w:rFonts w:ascii="Arial" w:hAnsi="Arial" w:cs="Arial"/>
          <w:sz w:val="24"/>
          <w:szCs w:val="24"/>
        </w:rPr>
        <w:t xml:space="preserve"> act is understandably nowhere explained. Plainly the </w:t>
      </w:r>
      <w:r w:rsidR="00E2050D">
        <w:rPr>
          <w:rFonts w:ascii="Arial" w:hAnsi="Arial" w:cs="Arial"/>
          <w:sz w:val="24"/>
          <w:szCs w:val="24"/>
        </w:rPr>
        <w:t xml:space="preserve">Minister’s </w:t>
      </w:r>
      <w:r>
        <w:rPr>
          <w:rFonts w:ascii="Arial" w:hAnsi="Arial" w:cs="Arial"/>
          <w:sz w:val="24"/>
          <w:szCs w:val="24"/>
        </w:rPr>
        <w:t xml:space="preserve">power to prescribe by regulation would include the power to amend regulations as well. </w:t>
      </w:r>
    </w:p>
    <w:p w:rsidR="001A4A99" w:rsidRDefault="001A4A99" w:rsidP="001A4A99">
      <w:pPr>
        <w:pStyle w:val="ListParagraph"/>
        <w:rPr>
          <w:rFonts w:ascii="Arial" w:hAnsi="Arial" w:cs="Arial"/>
          <w:sz w:val="24"/>
          <w:szCs w:val="24"/>
        </w:rPr>
      </w:pPr>
    </w:p>
    <w:p w:rsidR="001A4A99" w:rsidRDefault="001957EE"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appellant failed to show how the amendment to regulation 17(3) is </w:t>
      </w:r>
      <w:r w:rsidRPr="001957EE">
        <w:rPr>
          <w:rFonts w:ascii="Arial" w:hAnsi="Arial" w:cs="Arial"/>
          <w:i/>
          <w:sz w:val="24"/>
          <w:szCs w:val="24"/>
        </w:rPr>
        <w:t>ultra vires</w:t>
      </w:r>
      <w:r>
        <w:rPr>
          <w:rFonts w:ascii="Arial" w:hAnsi="Arial" w:cs="Arial"/>
          <w:sz w:val="24"/>
          <w:szCs w:val="24"/>
        </w:rPr>
        <w:t xml:space="preserve"> to sections invoked or at all. </w:t>
      </w:r>
    </w:p>
    <w:p w:rsidR="00021ECC" w:rsidRDefault="00021ECC" w:rsidP="00021ECC">
      <w:pPr>
        <w:pStyle w:val="NoSpacing"/>
        <w:spacing w:line="480" w:lineRule="auto"/>
        <w:jc w:val="both"/>
        <w:rPr>
          <w:rFonts w:ascii="Arial" w:hAnsi="Arial" w:cs="Arial"/>
          <w:sz w:val="24"/>
          <w:szCs w:val="24"/>
        </w:rPr>
      </w:pPr>
    </w:p>
    <w:p w:rsidR="001957EE" w:rsidRDefault="001957EE"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other unsupported assertions contained in the </w:t>
      </w:r>
      <w:r w:rsidR="00FC672E">
        <w:rPr>
          <w:rFonts w:ascii="Arial" w:hAnsi="Arial" w:cs="Arial"/>
          <w:sz w:val="24"/>
          <w:szCs w:val="24"/>
        </w:rPr>
        <w:t xml:space="preserve">founding </w:t>
      </w:r>
      <w:r>
        <w:rPr>
          <w:rFonts w:ascii="Arial" w:hAnsi="Arial" w:cs="Arial"/>
          <w:sz w:val="24"/>
          <w:szCs w:val="24"/>
        </w:rPr>
        <w:t>affidavit</w:t>
      </w:r>
      <w:r w:rsidR="00E2050D">
        <w:rPr>
          <w:rFonts w:ascii="Arial" w:hAnsi="Arial" w:cs="Arial"/>
          <w:sz w:val="24"/>
          <w:szCs w:val="24"/>
        </w:rPr>
        <w:t xml:space="preserve">, also </w:t>
      </w:r>
      <w:r>
        <w:rPr>
          <w:rFonts w:ascii="Arial" w:hAnsi="Arial" w:cs="Arial"/>
          <w:sz w:val="24"/>
          <w:szCs w:val="24"/>
        </w:rPr>
        <w:t>without any factual underlay</w:t>
      </w:r>
      <w:r w:rsidR="00E2050D">
        <w:rPr>
          <w:rFonts w:ascii="Arial" w:hAnsi="Arial" w:cs="Arial"/>
          <w:sz w:val="24"/>
          <w:szCs w:val="24"/>
        </w:rPr>
        <w:t>,</w:t>
      </w:r>
      <w:r>
        <w:rPr>
          <w:rFonts w:ascii="Arial" w:hAnsi="Arial" w:cs="Arial"/>
          <w:sz w:val="24"/>
          <w:szCs w:val="24"/>
        </w:rPr>
        <w:t xml:space="preserve"> likewise do not withstand analysis</w:t>
      </w:r>
      <w:r w:rsidR="00E2050D">
        <w:rPr>
          <w:rFonts w:ascii="Arial" w:hAnsi="Arial" w:cs="Arial"/>
          <w:sz w:val="24"/>
          <w:szCs w:val="24"/>
        </w:rPr>
        <w:t xml:space="preserve"> and fall to be rejected</w:t>
      </w:r>
      <w:r>
        <w:rPr>
          <w:rFonts w:ascii="Arial" w:hAnsi="Arial" w:cs="Arial"/>
          <w:sz w:val="24"/>
          <w:szCs w:val="24"/>
        </w:rPr>
        <w:t>.</w:t>
      </w:r>
    </w:p>
    <w:p w:rsidR="001957EE" w:rsidRDefault="001957EE" w:rsidP="001957EE">
      <w:pPr>
        <w:pStyle w:val="ListParagraph"/>
        <w:rPr>
          <w:rFonts w:ascii="Arial" w:hAnsi="Arial" w:cs="Arial"/>
          <w:sz w:val="24"/>
          <w:szCs w:val="24"/>
        </w:rPr>
      </w:pPr>
    </w:p>
    <w:p w:rsidR="001957EE" w:rsidRDefault="001957EE"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contention that the roll will endure indefinitely does not form a proper basis to challenge the regulation. If </w:t>
      </w:r>
      <w:r w:rsidR="00FC672E">
        <w:rPr>
          <w:rFonts w:ascii="Arial" w:hAnsi="Arial" w:cs="Arial"/>
          <w:sz w:val="24"/>
          <w:szCs w:val="24"/>
        </w:rPr>
        <w:t>the roll</w:t>
      </w:r>
      <w:r>
        <w:rPr>
          <w:rFonts w:ascii="Arial" w:hAnsi="Arial" w:cs="Arial"/>
          <w:sz w:val="24"/>
          <w:szCs w:val="24"/>
        </w:rPr>
        <w:t xml:space="preserve"> is applied in circumstances where it becomes outdated and prejudicial</w:t>
      </w:r>
      <w:r w:rsidR="00FC672E">
        <w:rPr>
          <w:rFonts w:ascii="Arial" w:hAnsi="Arial" w:cs="Arial"/>
          <w:sz w:val="24"/>
          <w:szCs w:val="24"/>
        </w:rPr>
        <w:t xml:space="preserve"> to landowners</w:t>
      </w:r>
      <w:r>
        <w:rPr>
          <w:rFonts w:ascii="Arial" w:hAnsi="Arial" w:cs="Arial"/>
          <w:sz w:val="24"/>
          <w:szCs w:val="24"/>
        </w:rPr>
        <w:t xml:space="preserve">, then judicial review may arise. But there are no allegations to that effect. As was pointed out on behalf of the Minister, the reality is that the amendment would </w:t>
      </w:r>
      <w:r w:rsidR="00E2050D">
        <w:rPr>
          <w:rFonts w:ascii="Arial" w:hAnsi="Arial" w:cs="Arial"/>
          <w:sz w:val="24"/>
          <w:szCs w:val="24"/>
        </w:rPr>
        <w:t xml:space="preserve">clearly not </w:t>
      </w:r>
      <w:r>
        <w:rPr>
          <w:rFonts w:ascii="Arial" w:hAnsi="Arial" w:cs="Arial"/>
          <w:sz w:val="24"/>
          <w:szCs w:val="24"/>
        </w:rPr>
        <w:t xml:space="preserve">operate to the prejudice of landowners as inevitable increases in values are disregarded. The resultant tax is </w:t>
      </w:r>
      <w:r w:rsidR="00E2050D">
        <w:rPr>
          <w:rFonts w:ascii="Arial" w:hAnsi="Arial" w:cs="Arial"/>
          <w:sz w:val="24"/>
          <w:szCs w:val="24"/>
        </w:rPr>
        <w:t>less than</w:t>
      </w:r>
      <w:r>
        <w:rPr>
          <w:rFonts w:ascii="Arial" w:hAnsi="Arial" w:cs="Arial"/>
          <w:sz w:val="24"/>
          <w:szCs w:val="24"/>
        </w:rPr>
        <w:t xml:space="preserve"> would otherwise</w:t>
      </w:r>
      <w:r w:rsidR="00E2050D">
        <w:rPr>
          <w:rFonts w:ascii="Arial" w:hAnsi="Arial" w:cs="Arial"/>
          <w:sz w:val="24"/>
          <w:szCs w:val="24"/>
        </w:rPr>
        <w:t xml:space="preserve"> be the case</w:t>
      </w:r>
      <w:r>
        <w:rPr>
          <w:rFonts w:ascii="Arial" w:hAnsi="Arial" w:cs="Arial"/>
          <w:sz w:val="24"/>
          <w:szCs w:val="24"/>
        </w:rPr>
        <w:t xml:space="preserve"> and thus </w:t>
      </w:r>
      <w:r w:rsidR="00E2050D">
        <w:rPr>
          <w:rFonts w:ascii="Arial" w:hAnsi="Arial" w:cs="Arial"/>
          <w:sz w:val="24"/>
          <w:szCs w:val="24"/>
        </w:rPr>
        <w:t xml:space="preserve">be </w:t>
      </w:r>
      <w:r>
        <w:rPr>
          <w:rFonts w:ascii="Arial" w:hAnsi="Arial" w:cs="Arial"/>
          <w:sz w:val="24"/>
          <w:szCs w:val="24"/>
        </w:rPr>
        <w:t xml:space="preserve">to the benefit of landowners. As was also correctly contended, there is no merit in the </w:t>
      </w:r>
      <w:r w:rsidR="00582D9F">
        <w:rPr>
          <w:rFonts w:ascii="Arial" w:hAnsi="Arial" w:cs="Arial"/>
          <w:sz w:val="24"/>
          <w:szCs w:val="24"/>
        </w:rPr>
        <w:t xml:space="preserve">retrospectivity point as no </w:t>
      </w:r>
      <w:r w:rsidR="00582D9F">
        <w:rPr>
          <w:rFonts w:ascii="Arial" w:hAnsi="Arial" w:cs="Arial"/>
          <w:sz w:val="24"/>
          <w:szCs w:val="24"/>
        </w:rPr>
        <w:lastRenderedPageBreak/>
        <w:t xml:space="preserve">landowner can have a legitimate interest in immunity from land tax </w:t>
      </w:r>
      <w:r w:rsidR="00E2050D">
        <w:rPr>
          <w:rFonts w:ascii="Arial" w:hAnsi="Arial" w:cs="Arial"/>
          <w:sz w:val="24"/>
          <w:szCs w:val="24"/>
        </w:rPr>
        <w:t xml:space="preserve">duly enacted </w:t>
      </w:r>
      <w:r w:rsidR="00582D9F">
        <w:rPr>
          <w:rFonts w:ascii="Arial" w:hAnsi="Arial" w:cs="Arial"/>
          <w:sz w:val="24"/>
          <w:szCs w:val="24"/>
        </w:rPr>
        <w:t>under the Act or in deferring it.</w:t>
      </w:r>
    </w:p>
    <w:p w:rsidR="00582D9F" w:rsidRDefault="00582D9F" w:rsidP="00582D9F">
      <w:pPr>
        <w:pStyle w:val="ListParagraph"/>
        <w:rPr>
          <w:rFonts w:ascii="Arial" w:hAnsi="Arial" w:cs="Arial"/>
          <w:sz w:val="24"/>
          <w:szCs w:val="24"/>
        </w:rPr>
      </w:pPr>
    </w:p>
    <w:p w:rsidR="00582D9F" w:rsidRDefault="00582D9F"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Nor does the point about unpredictability have </w:t>
      </w:r>
      <w:r w:rsidR="00E2050D">
        <w:rPr>
          <w:rFonts w:ascii="Arial" w:hAnsi="Arial" w:cs="Arial"/>
          <w:sz w:val="24"/>
          <w:szCs w:val="24"/>
        </w:rPr>
        <w:t xml:space="preserve">any </w:t>
      </w:r>
      <w:r>
        <w:rPr>
          <w:rFonts w:ascii="Arial" w:hAnsi="Arial" w:cs="Arial"/>
          <w:sz w:val="24"/>
          <w:szCs w:val="24"/>
        </w:rPr>
        <w:t xml:space="preserve">substance. The continuation of an existing roll where values are set out </w:t>
      </w:r>
      <w:r w:rsidR="00E2050D">
        <w:rPr>
          <w:rFonts w:ascii="Arial" w:hAnsi="Arial" w:cs="Arial"/>
          <w:sz w:val="24"/>
          <w:szCs w:val="24"/>
        </w:rPr>
        <w:t xml:space="preserve">has </w:t>
      </w:r>
      <w:r w:rsidR="00FC672E">
        <w:rPr>
          <w:rFonts w:ascii="Arial" w:hAnsi="Arial" w:cs="Arial"/>
          <w:sz w:val="24"/>
          <w:szCs w:val="24"/>
        </w:rPr>
        <w:t xml:space="preserve">in fact </w:t>
      </w:r>
      <w:r w:rsidR="00E2050D">
        <w:rPr>
          <w:rFonts w:ascii="Arial" w:hAnsi="Arial" w:cs="Arial"/>
          <w:sz w:val="24"/>
          <w:szCs w:val="24"/>
        </w:rPr>
        <w:t>the opposite effect. The system i</w:t>
      </w:r>
      <w:r>
        <w:rPr>
          <w:rFonts w:ascii="Arial" w:hAnsi="Arial" w:cs="Arial"/>
          <w:sz w:val="24"/>
          <w:szCs w:val="24"/>
        </w:rPr>
        <w:t>s predictab</w:t>
      </w:r>
      <w:r w:rsidR="00E2050D">
        <w:rPr>
          <w:rFonts w:ascii="Arial" w:hAnsi="Arial" w:cs="Arial"/>
          <w:sz w:val="24"/>
          <w:szCs w:val="24"/>
        </w:rPr>
        <w:t>le</w:t>
      </w:r>
      <w:r>
        <w:rPr>
          <w:rFonts w:ascii="Arial" w:hAnsi="Arial" w:cs="Arial"/>
          <w:sz w:val="24"/>
          <w:szCs w:val="24"/>
        </w:rPr>
        <w:t xml:space="preserve"> as the values are </w:t>
      </w:r>
      <w:r w:rsidR="00E2050D">
        <w:rPr>
          <w:rFonts w:ascii="Arial" w:hAnsi="Arial" w:cs="Arial"/>
          <w:sz w:val="24"/>
          <w:szCs w:val="24"/>
        </w:rPr>
        <w:t xml:space="preserve">precisely </w:t>
      </w:r>
      <w:r>
        <w:rPr>
          <w:rFonts w:ascii="Arial" w:hAnsi="Arial" w:cs="Arial"/>
          <w:sz w:val="24"/>
          <w:szCs w:val="24"/>
        </w:rPr>
        <w:t>those</w:t>
      </w:r>
      <w:r w:rsidR="00E2050D">
        <w:rPr>
          <w:rFonts w:ascii="Arial" w:hAnsi="Arial" w:cs="Arial"/>
          <w:sz w:val="24"/>
          <w:szCs w:val="24"/>
        </w:rPr>
        <w:t xml:space="preserve"> set out</w:t>
      </w:r>
      <w:r>
        <w:rPr>
          <w:rFonts w:ascii="Arial" w:hAnsi="Arial" w:cs="Arial"/>
          <w:sz w:val="24"/>
          <w:szCs w:val="24"/>
        </w:rPr>
        <w:t xml:space="preserve"> in the roll.</w:t>
      </w:r>
      <w:r w:rsidR="00E2050D">
        <w:rPr>
          <w:rFonts w:ascii="Arial" w:hAnsi="Arial" w:cs="Arial"/>
          <w:sz w:val="24"/>
          <w:szCs w:val="24"/>
        </w:rPr>
        <w:t xml:space="preserve"> The rate is determined. The tax is thus predictable and remains at the same level.</w:t>
      </w:r>
    </w:p>
    <w:p w:rsidR="00582D9F" w:rsidRDefault="00582D9F" w:rsidP="00582D9F">
      <w:pPr>
        <w:rPr>
          <w:rFonts w:ascii="Arial" w:hAnsi="Arial" w:cs="Arial"/>
          <w:sz w:val="24"/>
          <w:szCs w:val="24"/>
        </w:rPr>
      </w:pPr>
    </w:p>
    <w:p w:rsidR="00582D9F" w:rsidRPr="00582D9F" w:rsidRDefault="00582D9F" w:rsidP="00582D9F">
      <w:pPr>
        <w:rPr>
          <w:rFonts w:ascii="Arial" w:hAnsi="Arial" w:cs="Arial"/>
          <w:sz w:val="24"/>
          <w:szCs w:val="24"/>
          <w:u w:val="single"/>
        </w:rPr>
      </w:pPr>
      <w:r>
        <w:rPr>
          <w:rFonts w:ascii="Arial" w:hAnsi="Arial" w:cs="Arial"/>
          <w:sz w:val="24"/>
          <w:szCs w:val="24"/>
          <w:u w:val="single"/>
        </w:rPr>
        <w:t>Application A158/2016</w:t>
      </w:r>
    </w:p>
    <w:p w:rsidR="00582D9F" w:rsidRDefault="00582D9F"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In this application, the appellant challenged a further assessment on the basis raised in application A 21/2015 and </w:t>
      </w:r>
      <w:r w:rsidR="00E2050D">
        <w:rPr>
          <w:rFonts w:ascii="Arial" w:hAnsi="Arial" w:cs="Arial"/>
          <w:sz w:val="24"/>
          <w:szCs w:val="24"/>
        </w:rPr>
        <w:t xml:space="preserve">also </w:t>
      </w:r>
      <w:r>
        <w:rPr>
          <w:rFonts w:ascii="Arial" w:hAnsi="Arial" w:cs="Arial"/>
          <w:sz w:val="24"/>
          <w:szCs w:val="24"/>
        </w:rPr>
        <w:t>attac</w:t>
      </w:r>
      <w:r w:rsidR="00E2050D">
        <w:rPr>
          <w:rFonts w:ascii="Arial" w:hAnsi="Arial" w:cs="Arial"/>
          <w:sz w:val="24"/>
          <w:szCs w:val="24"/>
        </w:rPr>
        <w:t>k</w:t>
      </w:r>
      <w:r>
        <w:rPr>
          <w:rFonts w:ascii="Arial" w:hAnsi="Arial" w:cs="Arial"/>
          <w:sz w:val="24"/>
          <w:szCs w:val="24"/>
        </w:rPr>
        <w:t xml:space="preserve">ed the amendment to regulation 17(3) on the grounds raised in application </w:t>
      </w:r>
      <w:r w:rsidR="000F61A4">
        <w:rPr>
          <w:rFonts w:ascii="Arial" w:hAnsi="Arial" w:cs="Arial"/>
          <w:sz w:val="24"/>
          <w:szCs w:val="24"/>
        </w:rPr>
        <w:t xml:space="preserve">A </w:t>
      </w:r>
      <w:r>
        <w:rPr>
          <w:rFonts w:ascii="Arial" w:hAnsi="Arial" w:cs="Arial"/>
          <w:sz w:val="24"/>
          <w:szCs w:val="24"/>
        </w:rPr>
        <w:t>234/2015. The High Court correctly dismissed this application for the reasons</w:t>
      </w:r>
      <w:r w:rsidR="00E2050D">
        <w:rPr>
          <w:rFonts w:ascii="Arial" w:hAnsi="Arial" w:cs="Arial"/>
          <w:sz w:val="24"/>
          <w:szCs w:val="24"/>
        </w:rPr>
        <w:t xml:space="preserve"> already</w:t>
      </w:r>
      <w:r>
        <w:rPr>
          <w:rFonts w:ascii="Arial" w:hAnsi="Arial" w:cs="Arial"/>
          <w:sz w:val="24"/>
          <w:szCs w:val="24"/>
        </w:rPr>
        <w:t xml:space="preserve"> set out relating to applications A 21/2015 and A 234/2015.</w:t>
      </w:r>
    </w:p>
    <w:p w:rsidR="001A4A99" w:rsidRDefault="001A4A99" w:rsidP="00E7527A">
      <w:pPr>
        <w:rPr>
          <w:rFonts w:ascii="Arial" w:hAnsi="Arial" w:cs="Arial"/>
          <w:sz w:val="24"/>
          <w:szCs w:val="24"/>
        </w:rPr>
      </w:pPr>
    </w:p>
    <w:p w:rsidR="00E7527A" w:rsidRPr="00E7527A" w:rsidRDefault="00E7527A" w:rsidP="00E7527A">
      <w:pPr>
        <w:rPr>
          <w:rFonts w:ascii="Arial" w:hAnsi="Arial" w:cs="Arial"/>
          <w:sz w:val="24"/>
          <w:szCs w:val="24"/>
          <w:u w:val="single"/>
        </w:rPr>
      </w:pPr>
      <w:r>
        <w:rPr>
          <w:rFonts w:ascii="Arial" w:hAnsi="Arial" w:cs="Arial"/>
          <w:sz w:val="24"/>
          <w:szCs w:val="24"/>
          <w:u w:val="single"/>
        </w:rPr>
        <w:t>Application A 184/2016</w:t>
      </w:r>
    </w:p>
    <w:p w:rsidR="001A4A99" w:rsidRDefault="00E7527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On 1 June 2016, the Minister gave notice of a new valuation roll and of a sitting of the valuation court to commence on 1 August 2016. Later that month the appellant launched an urgent application to declare the notice a nullity. </w:t>
      </w:r>
      <w:r w:rsidR="00FC672E">
        <w:rPr>
          <w:rFonts w:ascii="Arial" w:hAnsi="Arial" w:cs="Arial"/>
          <w:sz w:val="24"/>
          <w:szCs w:val="24"/>
        </w:rPr>
        <w:t>In it,</w:t>
      </w:r>
      <w:r>
        <w:rPr>
          <w:rFonts w:ascii="Arial" w:hAnsi="Arial" w:cs="Arial"/>
          <w:sz w:val="24"/>
          <w:szCs w:val="24"/>
        </w:rPr>
        <w:t xml:space="preserve"> appellant again challenged s 76 and s 77 of the Act and the regulations </w:t>
      </w:r>
      <w:r w:rsidR="00E2050D">
        <w:rPr>
          <w:rFonts w:ascii="Arial" w:hAnsi="Arial" w:cs="Arial"/>
          <w:sz w:val="24"/>
          <w:szCs w:val="24"/>
        </w:rPr>
        <w:t>on the constitutional basis already addressed</w:t>
      </w:r>
      <w:r w:rsidR="00FC672E">
        <w:rPr>
          <w:rFonts w:ascii="Arial" w:hAnsi="Arial" w:cs="Arial"/>
          <w:sz w:val="24"/>
          <w:szCs w:val="24"/>
        </w:rPr>
        <w:t>. The appellant also</w:t>
      </w:r>
      <w:r>
        <w:rPr>
          <w:rFonts w:ascii="Arial" w:hAnsi="Arial" w:cs="Arial"/>
          <w:sz w:val="24"/>
          <w:szCs w:val="24"/>
        </w:rPr>
        <w:t xml:space="preserve"> contended that the Minister had failed to invoke regulation 3, </w:t>
      </w:r>
      <w:r w:rsidR="00E2050D">
        <w:rPr>
          <w:rFonts w:ascii="Arial" w:hAnsi="Arial" w:cs="Arial"/>
          <w:sz w:val="24"/>
          <w:szCs w:val="24"/>
        </w:rPr>
        <w:t xml:space="preserve">and that </w:t>
      </w:r>
      <w:r>
        <w:rPr>
          <w:rFonts w:ascii="Arial" w:hAnsi="Arial" w:cs="Arial"/>
          <w:sz w:val="24"/>
          <w:szCs w:val="24"/>
        </w:rPr>
        <w:t>the valuer had not been nominated under regulation 4(1) or appointed in terms of regulation 4 and had not made a declaration in terms of regulation 6. This application is based on the premise that the 2007 valuation roll was only valid for five years and was then a nullity. That premise has been shown to be unfounded for the reasons already given.</w:t>
      </w:r>
    </w:p>
    <w:p w:rsidR="00E7527A" w:rsidRDefault="00E7527A" w:rsidP="00E7527A">
      <w:pPr>
        <w:pStyle w:val="ListParagraph"/>
        <w:rPr>
          <w:rFonts w:ascii="Arial" w:hAnsi="Arial" w:cs="Arial"/>
          <w:sz w:val="24"/>
          <w:szCs w:val="24"/>
        </w:rPr>
      </w:pPr>
    </w:p>
    <w:p w:rsidR="00FC672E" w:rsidRDefault="00E7527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The appellant also appears to rely upon a High Court judgment (per Hoff, J)</w:t>
      </w:r>
      <w:r>
        <w:rPr>
          <w:rStyle w:val="FootnoteReference"/>
          <w:rFonts w:ascii="Arial" w:hAnsi="Arial" w:cs="Arial"/>
          <w:sz w:val="24"/>
          <w:szCs w:val="24"/>
        </w:rPr>
        <w:footnoteReference w:id="46"/>
      </w:r>
      <w:r>
        <w:rPr>
          <w:rFonts w:ascii="Arial" w:hAnsi="Arial" w:cs="Arial"/>
          <w:sz w:val="24"/>
          <w:szCs w:val="24"/>
        </w:rPr>
        <w:t xml:space="preserve"> given in September 2013 </w:t>
      </w:r>
      <w:r w:rsidR="00E2050D">
        <w:rPr>
          <w:rFonts w:ascii="Arial" w:hAnsi="Arial" w:cs="Arial"/>
          <w:sz w:val="24"/>
          <w:szCs w:val="24"/>
        </w:rPr>
        <w:t xml:space="preserve">in an application involving the same parties </w:t>
      </w:r>
      <w:r>
        <w:rPr>
          <w:rFonts w:ascii="Arial" w:hAnsi="Arial" w:cs="Arial"/>
          <w:sz w:val="24"/>
          <w:szCs w:val="24"/>
        </w:rPr>
        <w:t xml:space="preserve">for a proposition that all processes would need to start entirely from scratch. But that judgment simply does not remotely require or contemplate that. If anything, it is </w:t>
      </w:r>
      <w:r w:rsidR="00FC672E">
        <w:rPr>
          <w:rFonts w:ascii="Arial" w:hAnsi="Arial" w:cs="Arial"/>
          <w:sz w:val="24"/>
          <w:szCs w:val="24"/>
        </w:rPr>
        <w:t xml:space="preserve">destructive of this proposition. </w:t>
      </w:r>
      <w:r>
        <w:rPr>
          <w:rFonts w:ascii="Arial" w:hAnsi="Arial" w:cs="Arial"/>
          <w:sz w:val="24"/>
          <w:szCs w:val="24"/>
        </w:rPr>
        <w:t xml:space="preserve">Hoff, J </w:t>
      </w:r>
      <w:r w:rsidR="00FC672E">
        <w:rPr>
          <w:rFonts w:ascii="Arial" w:hAnsi="Arial" w:cs="Arial"/>
          <w:sz w:val="24"/>
          <w:szCs w:val="24"/>
        </w:rPr>
        <w:t>held</w:t>
      </w:r>
      <w:r>
        <w:rPr>
          <w:rFonts w:ascii="Arial" w:hAnsi="Arial" w:cs="Arial"/>
          <w:sz w:val="24"/>
          <w:szCs w:val="24"/>
        </w:rPr>
        <w:t xml:space="preserve"> that the proceedings were to </w:t>
      </w:r>
      <w:r w:rsidR="00E2050D">
        <w:rPr>
          <w:rFonts w:ascii="Arial" w:hAnsi="Arial" w:cs="Arial"/>
          <w:sz w:val="24"/>
          <w:szCs w:val="24"/>
        </w:rPr>
        <w:t>commence</w:t>
      </w:r>
      <w:r>
        <w:rPr>
          <w:rFonts w:ascii="Arial" w:hAnsi="Arial" w:cs="Arial"/>
          <w:sz w:val="24"/>
          <w:szCs w:val="24"/>
        </w:rPr>
        <w:t xml:space="preserve"> anew </w:t>
      </w:r>
      <w:r w:rsidR="00E2050D">
        <w:rPr>
          <w:rFonts w:ascii="Arial" w:hAnsi="Arial" w:cs="Arial"/>
          <w:sz w:val="24"/>
          <w:szCs w:val="24"/>
        </w:rPr>
        <w:t>pursuant of</w:t>
      </w:r>
      <w:r>
        <w:rPr>
          <w:rFonts w:ascii="Arial" w:hAnsi="Arial" w:cs="Arial"/>
          <w:sz w:val="24"/>
          <w:szCs w:val="24"/>
        </w:rPr>
        <w:t xml:space="preserve"> the provisions of regulation 8 (5)(c). </w:t>
      </w:r>
      <w:r w:rsidR="00E2050D">
        <w:rPr>
          <w:rFonts w:ascii="Arial" w:hAnsi="Arial" w:cs="Arial"/>
          <w:sz w:val="24"/>
          <w:szCs w:val="24"/>
        </w:rPr>
        <w:t>T</w:t>
      </w:r>
      <w:r>
        <w:rPr>
          <w:rFonts w:ascii="Arial" w:hAnsi="Arial" w:cs="Arial"/>
          <w:sz w:val="24"/>
          <w:szCs w:val="24"/>
        </w:rPr>
        <w:t xml:space="preserve">hat meant that the Minister would </w:t>
      </w:r>
      <w:r w:rsidR="00E2050D">
        <w:rPr>
          <w:rFonts w:ascii="Arial" w:hAnsi="Arial" w:cs="Arial"/>
          <w:sz w:val="24"/>
          <w:szCs w:val="24"/>
        </w:rPr>
        <w:t xml:space="preserve">merely </w:t>
      </w:r>
      <w:r>
        <w:rPr>
          <w:rFonts w:ascii="Arial" w:hAnsi="Arial" w:cs="Arial"/>
          <w:sz w:val="24"/>
          <w:szCs w:val="24"/>
        </w:rPr>
        <w:t>need to reconstitute the valuation court anew</w:t>
      </w:r>
      <w:r w:rsidR="00E2050D">
        <w:rPr>
          <w:rFonts w:ascii="Arial" w:hAnsi="Arial" w:cs="Arial"/>
          <w:sz w:val="24"/>
          <w:szCs w:val="24"/>
        </w:rPr>
        <w:t xml:space="preserve"> under regulation 8(5)(c)</w:t>
      </w:r>
      <w:r>
        <w:rPr>
          <w:rFonts w:ascii="Arial" w:hAnsi="Arial" w:cs="Arial"/>
          <w:sz w:val="24"/>
          <w:szCs w:val="24"/>
        </w:rPr>
        <w:t xml:space="preserve"> </w:t>
      </w:r>
      <w:r>
        <w:rPr>
          <w:rFonts w:ascii="Arial" w:hAnsi="Arial" w:cs="Arial"/>
          <w:sz w:val="24"/>
          <w:szCs w:val="24"/>
          <w:u w:val="single"/>
        </w:rPr>
        <w:t>and</w:t>
      </w:r>
      <w:r>
        <w:rPr>
          <w:rFonts w:ascii="Arial" w:hAnsi="Arial" w:cs="Arial"/>
          <w:sz w:val="24"/>
          <w:szCs w:val="24"/>
        </w:rPr>
        <w:t xml:space="preserve"> that the Minister should in terms of regulation 6(4) cause a notice to be published not earlier than 60 days before the date determined for the sitting of the valuation co</w:t>
      </w:r>
      <w:r w:rsidR="00E2050D">
        <w:rPr>
          <w:rFonts w:ascii="Arial" w:hAnsi="Arial" w:cs="Arial"/>
          <w:sz w:val="24"/>
          <w:szCs w:val="24"/>
        </w:rPr>
        <w:t>ur</w:t>
      </w:r>
      <w:r>
        <w:rPr>
          <w:rFonts w:ascii="Arial" w:hAnsi="Arial" w:cs="Arial"/>
          <w:sz w:val="24"/>
          <w:szCs w:val="24"/>
        </w:rPr>
        <w:t xml:space="preserve">t. There was thus no question of the whole process starting from scratch and complying </w:t>
      </w:r>
      <w:r w:rsidR="00E2050D">
        <w:rPr>
          <w:rFonts w:ascii="Arial" w:hAnsi="Arial" w:cs="Arial"/>
          <w:sz w:val="24"/>
          <w:szCs w:val="24"/>
        </w:rPr>
        <w:t xml:space="preserve">afresh </w:t>
      </w:r>
      <w:r>
        <w:rPr>
          <w:rFonts w:ascii="Arial" w:hAnsi="Arial" w:cs="Arial"/>
          <w:sz w:val="24"/>
          <w:szCs w:val="24"/>
        </w:rPr>
        <w:t xml:space="preserve">with regulation 3. </w:t>
      </w:r>
    </w:p>
    <w:p w:rsidR="00FC672E" w:rsidRDefault="00FC672E" w:rsidP="00FC672E">
      <w:pPr>
        <w:pStyle w:val="ListParagraph"/>
        <w:rPr>
          <w:rFonts w:ascii="Arial" w:hAnsi="Arial" w:cs="Arial"/>
          <w:sz w:val="24"/>
          <w:szCs w:val="24"/>
        </w:rPr>
      </w:pPr>
    </w:p>
    <w:p w:rsidR="00E7527A" w:rsidRDefault="00E7527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The reliance upon the judgment of Hoff, J is accordingly entirely misplaced. The High Court also correctly ruled on this application.</w:t>
      </w:r>
    </w:p>
    <w:p w:rsidR="00E7527A" w:rsidRDefault="00E7527A" w:rsidP="00E7527A">
      <w:pPr>
        <w:rPr>
          <w:rFonts w:ascii="Arial" w:hAnsi="Arial" w:cs="Arial"/>
          <w:sz w:val="24"/>
          <w:szCs w:val="24"/>
        </w:rPr>
      </w:pPr>
    </w:p>
    <w:p w:rsidR="00E7527A" w:rsidRPr="00E7527A" w:rsidRDefault="00E7527A" w:rsidP="00E7527A">
      <w:pPr>
        <w:rPr>
          <w:rFonts w:ascii="Arial" w:hAnsi="Arial" w:cs="Arial"/>
          <w:sz w:val="24"/>
          <w:szCs w:val="24"/>
          <w:u w:val="single"/>
        </w:rPr>
      </w:pPr>
      <w:r>
        <w:rPr>
          <w:rFonts w:ascii="Arial" w:hAnsi="Arial" w:cs="Arial"/>
          <w:sz w:val="24"/>
          <w:szCs w:val="24"/>
          <w:u w:val="single"/>
        </w:rPr>
        <w:t>Conclusion and costs</w:t>
      </w:r>
    </w:p>
    <w:p w:rsidR="00E7527A" w:rsidRDefault="00E7527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It follows for the reasons set out that the appellant’s attack upon the constitutionality </w:t>
      </w:r>
      <w:r w:rsidR="002337F7">
        <w:rPr>
          <w:rFonts w:ascii="Arial" w:hAnsi="Arial" w:cs="Arial"/>
          <w:sz w:val="24"/>
          <w:szCs w:val="24"/>
        </w:rPr>
        <w:t>of the land tax regime as</w:t>
      </w:r>
      <w:r w:rsidR="00FC672E">
        <w:rPr>
          <w:rFonts w:ascii="Arial" w:hAnsi="Arial" w:cs="Arial"/>
          <w:sz w:val="24"/>
          <w:szCs w:val="24"/>
        </w:rPr>
        <w:t xml:space="preserve"> provided for</w:t>
      </w:r>
      <w:r w:rsidR="002337F7">
        <w:rPr>
          <w:rFonts w:ascii="Arial" w:hAnsi="Arial" w:cs="Arial"/>
          <w:sz w:val="24"/>
          <w:szCs w:val="24"/>
        </w:rPr>
        <w:t xml:space="preserve"> in the Act and </w:t>
      </w:r>
      <w:r w:rsidR="00E2050D">
        <w:rPr>
          <w:rFonts w:ascii="Arial" w:hAnsi="Arial" w:cs="Arial"/>
          <w:sz w:val="24"/>
          <w:szCs w:val="24"/>
        </w:rPr>
        <w:t xml:space="preserve">the </w:t>
      </w:r>
      <w:r w:rsidR="002337F7">
        <w:rPr>
          <w:rFonts w:ascii="Arial" w:hAnsi="Arial" w:cs="Arial"/>
          <w:sz w:val="24"/>
          <w:szCs w:val="24"/>
        </w:rPr>
        <w:t>regulations is without merit and must fail. So too the challenges to administrative action taken pursuant to the scheme in the multiple applications brought by the appellant. In a closely reasoned judgment, the High Court rejected the appellant’s contentions. Its approach in doing so is sound and is to be upheld.</w:t>
      </w:r>
    </w:p>
    <w:p w:rsidR="00E7527A" w:rsidRDefault="00E7527A" w:rsidP="00E7527A">
      <w:pPr>
        <w:pStyle w:val="ListParagraph"/>
        <w:rPr>
          <w:rFonts w:ascii="Arial" w:hAnsi="Arial" w:cs="Arial"/>
          <w:sz w:val="24"/>
          <w:szCs w:val="24"/>
        </w:rPr>
      </w:pPr>
    </w:p>
    <w:p w:rsidR="008A6323" w:rsidRDefault="008A6323"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It follows that the appeal against the judgment of the High Court fails.</w:t>
      </w:r>
    </w:p>
    <w:p w:rsidR="008A6323" w:rsidRDefault="008A6323" w:rsidP="008A6323">
      <w:pPr>
        <w:pStyle w:val="ListParagraph"/>
        <w:rPr>
          <w:rFonts w:ascii="Arial" w:hAnsi="Arial" w:cs="Arial"/>
          <w:sz w:val="24"/>
          <w:szCs w:val="24"/>
        </w:rPr>
      </w:pPr>
    </w:p>
    <w:p w:rsidR="00E7527A" w:rsidRDefault="002337F7"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There remains the question of costs. </w:t>
      </w:r>
      <w:r w:rsidRPr="001C25CA">
        <w:rPr>
          <w:rFonts w:ascii="Arial" w:hAnsi="Arial" w:cs="Arial"/>
          <w:sz w:val="24"/>
          <w:szCs w:val="24"/>
        </w:rPr>
        <w:t>Mr Tötemeyer</w:t>
      </w:r>
      <w:r>
        <w:rPr>
          <w:rFonts w:ascii="Arial" w:hAnsi="Arial" w:cs="Arial"/>
          <w:sz w:val="24"/>
          <w:szCs w:val="24"/>
        </w:rPr>
        <w:t xml:space="preserve"> argued that this </w:t>
      </w:r>
      <w:r w:rsidR="00E2050D">
        <w:rPr>
          <w:rFonts w:ascii="Arial" w:hAnsi="Arial" w:cs="Arial"/>
          <w:sz w:val="24"/>
          <w:szCs w:val="24"/>
        </w:rPr>
        <w:t xml:space="preserve">court </w:t>
      </w:r>
      <w:r>
        <w:rPr>
          <w:rFonts w:ascii="Arial" w:hAnsi="Arial" w:cs="Arial"/>
          <w:sz w:val="24"/>
          <w:szCs w:val="24"/>
        </w:rPr>
        <w:t>should apply the approach</w:t>
      </w:r>
      <w:r w:rsidR="00E2050D">
        <w:rPr>
          <w:rFonts w:ascii="Arial" w:hAnsi="Arial" w:cs="Arial"/>
          <w:sz w:val="24"/>
          <w:szCs w:val="24"/>
        </w:rPr>
        <w:t xml:space="preserve"> of the South African Constitutional Court</w:t>
      </w:r>
      <w:r>
        <w:rPr>
          <w:rFonts w:ascii="Arial" w:hAnsi="Arial" w:cs="Arial"/>
          <w:sz w:val="24"/>
          <w:szCs w:val="24"/>
        </w:rPr>
        <w:t xml:space="preserve"> in </w:t>
      </w:r>
      <w:r>
        <w:rPr>
          <w:rFonts w:ascii="Arial" w:hAnsi="Arial" w:cs="Arial"/>
          <w:i/>
          <w:sz w:val="24"/>
          <w:szCs w:val="24"/>
        </w:rPr>
        <w:t>Biowatch Trust v Registrar, Genetic Resources</w:t>
      </w:r>
      <w:r>
        <w:rPr>
          <w:rStyle w:val="FootnoteReference"/>
          <w:rFonts w:ascii="Arial" w:hAnsi="Arial" w:cs="Arial"/>
          <w:i/>
          <w:sz w:val="24"/>
          <w:szCs w:val="24"/>
        </w:rPr>
        <w:footnoteReference w:id="47"/>
      </w:r>
      <w:r>
        <w:rPr>
          <w:rFonts w:ascii="Arial" w:hAnsi="Arial" w:cs="Arial"/>
          <w:sz w:val="24"/>
          <w:szCs w:val="24"/>
        </w:rPr>
        <w:t xml:space="preserve"> in the event of the appellant’s challenge not succeeding and that no cost</w:t>
      </w:r>
      <w:r w:rsidR="00E2050D">
        <w:rPr>
          <w:rFonts w:ascii="Arial" w:hAnsi="Arial" w:cs="Arial"/>
          <w:sz w:val="24"/>
          <w:szCs w:val="24"/>
        </w:rPr>
        <w:t>s</w:t>
      </w:r>
      <w:r>
        <w:rPr>
          <w:rFonts w:ascii="Arial" w:hAnsi="Arial" w:cs="Arial"/>
          <w:sz w:val="24"/>
          <w:szCs w:val="24"/>
        </w:rPr>
        <w:t xml:space="preserve"> order should be made against it. The Constitutional Court held that in litigation between private parties and government, where a private party </w:t>
      </w:r>
      <w:r w:rsidR="00E2050D">
        <w:rPr>
          <w:rFonts w:ascii="Arial" w:hAnsi="Arial" w:cs="Arial"/>
          <w:sz w:val="24"/>
          <w:szCs w:val="24"/>
        </w:rPr>
        <w:t xml:space="preserve">unsuccessfully </w:t>
      </w:r>
      <w:r>
        <w:rPr>
          <w:rFonts w:ascii="Arial" w:hAnsi="Arial" w:cs="Arial"/>
          <w:sz w:val="24"/>
          <w:szCs w:val="24"/>
        </w:rPr>
        <w:t>seeks to assert a constitutional right</w:t>
      </w:r>
      <w:r w:rsidR="00E2050D">
        <w:rPr>
          <w:rFonts w:ascii="Arial" w:hAnsi="Arial" w:cs="Arial"/>
          <w:sz w:val="24"/>
          <w:szCs w:val="24"/>
        </w:rPr>
        <w:t xml:space="preserve"> </w:t>
      </w:r>
      <w:r>
        <w:rPr>
          <w:rFonts w:ascii="Arial" w:hAnsi="Arial" w:cs="Arial"/>
          <w:sz w:val="24"/>
          <w:szCs w:val="24"/>
        </w:rPr>
        <w:t>each party would bear its own costs.</w:t>
      </w:r>
      <w:r>
        <w:rPr>
          <w:rStyle w:val="FootnoteReference"/>
          <w:rFonts w:ascii="Arial" w:hAnsi="Arial" w:cs="Arial"/>
          <w:sz w:val="24"/>
          <w:szCs w:val="24"/>
        </w:rPr>
        <w:footnoteReference w:id="48"/>
      </w:r>
      <w:r>
        <w:rPr>
          <w:rFonts w:ascii="Arial" w:hAnsi="Arial" w:cs="Arial"/>
          <w:sz w:val="24"/>
          <w:szCs w:val="24"/>
        </w:rPr>
        <w:t xml:space="preserve"> In </w:t>
      </w:r>
      <w:r>
        <w:rPr>
          <w:rFonts w:ascii="Arial" w:hAnsi="Arial" w:cs="Arial"/>
          <w:i/>
          <w:sz w:val="24"/>
          <w:szCs w:val="24"/>
        </w:rPr>
        <w:t>Biowatch</w:t>
      </w:r>
      <w:r>
        <w:rPr>
          <w:rFonts w:ascii="Arial" w:hAnsi="Arial" w:cs="Arial"/>
          <w:sz w:val="24"/>
          <w:szCs w:val="24"/>
        </w:rPr>
        <w:t>, the Constitutional Court made it clear that this gene</w:t>
      </w:r>
      <w:r w:rsidR="00E2050D">
        <w:rPr>
          <w:rFonts w:ascii="Arial" w:hAnsi="Arial" w:cs="Arial"/>
          <w:sz w:val="24"/>
          <w:szCs w:val="24"/>
        </w:rPr>
        <w:t>ral approach is not unqualified or risk free</w:t>
      </w:r>
      <w:r w:rsidR="00FC672E">
        <w:rPr>
          <w:rFonts w:ascii="Arial" w:hAnsi="Arial" w:cs="Arial"/>
          <w:sz w:val="24"/>
          <w:szCs w:val="24"/>
        </w:rPr>
        <w:t>,</w:t>
      </w:r>
      <w:r>
        <w:rPr>
          <w:rFonts w:ascii="Arial" w:hAnsi="Arial" w:cs="Arial"/>
          <w:sz w:val="24"/>
          <w:szCs w:val="24"/>
        </w:rPr>
        <w:t xml:space="preserve"> adding:</w:t>
      </w:r>
    </w:p>
    <w:p w:rsidR="002337F7" w:rsidRDefault="002337F7" w:rsidP="00251412">
      <w:pPr>
        <w:pStyle w:val="ListParagraph"/>
        <w:spacing w:after="0" w:line="360" w:lineRule="auto"/>
        <w:rPr>
          <w:rFonts w:ascii="Arial" w:hAnsi="Arial" w:cs="Arial"/>
          <w:sz w:val="24"/>
          <w:szCs w:val="24"/>
        </w:rPr>
      </w:pPr>
    </w:p>
    <w:p w:rsidR="002337F7" w:rsidRDefault="002337F7" w:rsidP="000A4DEC">
      <w:pPr>
        <w:pStyle w:val="NoSpacing"/>
        <w:spacing w:line="360" w:lineRule="auto"/>
        <w:ind w:left="720"/>
        <w:jc w:val="both"/>
        <w:rPr>
          <w:rFonts w:ascii="Arial" w:hAnsi="Arial" w:cs="Arial"/>
        </w:rPr>
      </w:pPr>
      <w:r w:rsidRPr="00894EF0">
        <w:rPr>
          <w:rFonts w:ascii="Arial" w:hAnsi="Arial" w:cs="Arial"/>
        </w:rPr>
        <w:t>‘If an application is frivolous or vexatious or in any way manifestly inappropriate, the applicant should not expect that the worthiness of its cause will immunise it against an adverse costs award.’</w:t>
      </w:r>
      <w:r w:rsidR="00894EF0" w:rsidRPr="00894EF0">
        <w:rPr>
          <w:rStyle w:val="FootnoteReference"/>
          <w:rFonts w:ascii="Arial" w:hAnsi="Arial" w:cs="Arial"/>
        </w:rPr>
        <w:footnoteReference w:id="49"/>
      </w:r>
    </w:p>
    <w:p w:rsidR="00DB77E5" w:rsidRPr="00894EF0" w:rsidRDefault="00DB77E5" w:rsidP="00021ECC">
      <w:pPr>
        <w:pStyle w:val="NoSpacing"/>
        <w:spacing w:line="480" w:lineRule="auto"/>
        <w:ind w:left="720"/>
        <w:jc w:val="both"/>
        <w:rPr>
          <w:rFonts w:ascii="Arial" w:hAnsi="Arial" w:cs="Arial"/>
        </w:rPr>
      </w:pPr>
    </w:p>
    <w:p w:rsidR="0033772A" w:rsidRDefault="00E2050D"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court in </w:t>
      </w:r>
      <w:r w:rsidRPr="00E2050D">
        <w:rPr>
          <w:rFonts w:ascii="Arial" w:hAnsi="Arial" w:cs="Arial"/>
          <w:i/>
          <w:sz w:val="24"/>
          <w:szCs w:val="24"/>
        </w:rPr>
        <w:t>Biowatch</w:t>
      </w:r>
      <w:r>
        <w:rPr>
          <w:rFonts w:ascii="Arial" w:hAnsi="Arial" w:cs="Arial"/>
          <w:sz w:val="24"/>
          <w:szCs w:val="24"/>
        </w:rPr>
        <w:t xml:space="preserve"> also made it clear that if a litigant acted from improper motives or there are other circumstances which make it in the </w:t>
      </w:r>
      <w:r w:rsidR="0033772A">
        <w:rPr>
          <w:rFonts w:ascii="Arial" w:hAnsi="Arial" w:cs="Arial"/>
          <w:sz w:val="24"/>
          <w:szCs w:val="24"/>
        </w:rPr>
        <w:t>interest of justice to order costs, the court in its discretion would do</w:t>
      </w:r>
      <w:r w:rsidR="00FC672E">
        <w:rPr>
          <w:rFonts w:ascii="Arial" w:hAnsi="Arial" w:cs="Arial"/>
          <w:sz w:val="24"/>
          <w:szCs w:val="24"/>
        </w:rPr>
        <w:t xml:space="preserve"> so</w:t>
      </w:r>
      <w:r w:rsidR="0033772A">
        <w:rPr>
          <w:rFonts w:ascii="Arial" w:hAnsi="Arial" w:cs="Arial"/>
          <w:sz w:val="24"/>
          <w:szCs w:val="24"/>
        </w:rPr>
        <w:t>, controlling as it does its process.</w:t>
      </w:r>
      <w:r w:rsidR="0033772A">
        <w:rPr>
          <w:rStyle w:val="FootnoteReference"/>
          <w:rFonts w:ascii="Arial" w:hAnsi="Arial" w:cs="Arial"/>
          <w:sz w:val="24"/>
          <w:szCs w:val="24"/>
        </w:rPr>
        <w:footnoteReference w:id="50"/>
      </w:r>
    </w:p>
    <w:p w:rsidR="0033772A" w:rsidRDefault="0033772A" w:rsidP="0033772A">
      <w:pPr>
        <w:pStyle w:val="NoSpacing"/>
        <w:spacing w:line="480" w:lineRule="auto"/>
        <w:jc w:val="both"/>
        <w:rPr>
          <w:rFonts w:ascii="Arial" w:hAnsi="Arial" w:cs="Arial"/>
          <w:sz w:val="24"/>
          <w:szCs w:val="24"/>
        </w:rPr>
      </w:pPr>
    </w:p>
    <w:p w:rsidR="002337F7" w:rsidRDefault="0033772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Although t</w:t>
      </w:r>
      <w:r w:rsidR="00894EF0">
        <w:rPr>
          <w:rFonts w:ascii="Arial" w:hAnsi="Arial" w:cs="Arial"/>
          <w:sz w:val="24"/>
          <w:szCs w:val="24"/>
        </w:rPr>
        <w:t>here is much to recommend itself in th</w:t>
      </w:r>
      <w:r w:rsidR="004A5FD0">
        <w:rPr>
          <w:rFonts w:ascii="Arial" w:hAnsi="Arial" w:cs="Arial"/>
          <w:sz w:val="24"/>
          <w:szCs w:val="24"/>
        </w:rPr>
        <w:t>e</w:t>
      </w:r>
      <w:r w:rsidR="00894EF0">
        <w:rPr>
          <w:rFonts w:ascii="Arial" w:hAnsi="Arial" w:cs="Arial"/>
          <w:sz w:val="24"/>
          <w:szCs w:val="24"/>
        </w:rPr>
        <w:t xml:space="preserve"> approach of the Constitutional Court </w:t>
      </w:r>
      <w:r>
        <w:rPr>
          <w:rFonts w:ascii="Arial" w:hAnsi="Arial" w:cs="Arial"/>
          <w:sz w:val="24"/>
          <w:szCs w:val="24"/>
        </w:rPr>
        <w:t xml:space="preserve">in </w:t>
      </w:r>
      <w:r w:rsidRPr="0033772A">
        <w:rPr>
          <w:rFonts w:ascii="Arial" w:hAnsi="Arial" w:cs="Arial"/>
          <w:i/>
          <w:sz w:val="24"/>
          <w:szCs w:val="24"/>
        </w:rPr>
        <w:t>Biowatch</w:t>
      </w:r>
      <w:r w:rsidR="00894EF0">
        <w:rPr>
          <w:rFonts w:ascii="Arial" w:hAnsi="Arial" w:cs="Arial"/>
          <w:sz w:val="24"/>
          <w:szCs w:val="24"/>
        </w:rPr>
        <w:t xml:space="preserve"> </w:t>
      </w:r>
      <w:r w:rsidR="00FC672E">
        <w:rPr>
          <w:rFonts w:ascii="Arial" w:hAnsi="Arial" w:cs="Arial"/>
          <w:sz w:val="24"/>
          <w:szCs w:val="24"/>
        </w:rPr>
        <w:t>in</w:t>
      </w:r>
      <w:r w:rsidR="00894EF0">
        <w:rPr>
          <w:rFonts w:ascii="Arial" w:hAnsi="Arial" w:cs="Arial"/>
          <w:sz w:val="24"/>
          <w:szCs w:val="24"/>
        </w:rPr>
        <w:t xml:space="preserve"> </w:t>
      </w:r>
      <w:r>
        <w:rPr>
          <w:rFonts w:ascii="Arial" w:hAnsi="Arial" w:cs="Arial"/>
          <w:sz w:val="24"/>
          <w:szCs w:val="24"/>
        </w:rPr>
        <w:t>cases where</w:t>
      </w:r>
      <w:r w:rsidR="00894EF0">
        <w:rPr>
          <w:rFonts w:ascii="Arial" w:hAnsi="Arial" w:cs="Arial"/>
          <w:sz w:val="24"/>
          <w:szCs w:val="24"/>
        </w:rPr>
        <w:t xml:space="preserve"> constitutional rights </w:t>
      </w:r>
      <w:r>
        <w:rPr>
          <w:rFonts w:ascii="Arial" w:hAnsi="Arial" w:cs="Arial"/>
          <w:sz w:val="24"/>
          <w:szCs w:val="24"/>
        </w:rPr>
        <w:t>are invoked</w:t>
      </w:r>
      <w:r w:rsidR="0010254D">
        <w:rPr>
          <w:rFonts w:ascii="Arial" w:hAnsi="Arial" w:cs="Arial"/>
          <w:sz w:val="24"/>
          <w:szCs w:val="24"/>
        </w:rPr>
        <w:t xml:space="preserve"> to challenge legislation or practices,</w:t>
      </w:r>
      <w:r>
        <w:rPr>
          <w:rFonts w:ascii="Arial" w:hAnsi="Arial" w:cs="Arial"/>
          <w:sz w:val="24"/>
          <w:szCs w:val="24"/>
        </w:rPr>
        <w:t xml:space="preserve"> </w:t>
      </w:r>
      <w:r w:rsidR="00894EF0">
        <w:rPr>
          <w:rFonts w:ascii="Arial" w:hAnsi="Arial" w:cs="Arial"/>
          <w:sz w:val="24"/>
          <w:szCs w:val="24"/>
        </w:rPr>
        <w:t>it is not necessary in this matter to decide whether</w:t>
      </w:r>
      <w:r w:rsidR="0010254D">
        <w:rPr>
          <w:rFonts w:ascii="Arial" w:hAnsi="Arial" w:cs="Arial"/>
          <w:sz w:val="24"/>
          <w:szCs w:val="24"/>
        </w:rPr>
        <w:t xml:space="preserve"> and the extent to which </w:t>
      </w:r>
      <w:r w:rsidR="00894EF0">
        <w:rPr>
          <w:rFonts w:ascii="Arial" w:hAnsi="Arial" w:cs="Arial"/>
          <w:sz w:val="24"/>
          <w:szCs w:val="24"/>
        </w:rPr>
        <w:t>it should be applied to Namibia</w:t>
      </w:r>
      <w:r w:rsidR="0010254D">
        <w:rPr>
          <w:rFonts w:ascii="Arial" w:hAnsi="Arial" w:cs="Arial"/>
          <w:sz w:val="24"/>
          <w:szCs w:val="24"/>
        </w:rPr>
        <w:t xml:space="preserve"> and whether or not to include cases invoking Art 18</w:t>
      </w:r>
      <w:r w:rsidR="00894EF0">
        <w:rPr>
          <w:rFonts w:ascii="Arial" w:hAnsi="Arial" w:cs="Arial"/>
          <w:sz w:val="24"/>
          <w:szCs w:val="24"/>
        </w:rPr>
        <w:t xml:space="preserve">. That is because the appellant has not, in my view, brought itself within its ambit by reason of the manifestly inappropriate manner in which this </w:t>
      </w:r>
      <w:r w:rsidR="00894EF0">
        <w:rPr>
          <w:rFonts w:ascii="Arial" w:hAnsi="Arial" w:cs="Arial"/>
          <w:sz w:val="24"/>
          <w:szCs w:val="24"/>
        </w:rPr>
        <w:lastRenderedPageBreak/>
        <w:t>litigation has been conducted. It has been argued on</w:t>
      </w:r>
      <w:r>
        <w:rPr>
          <w:rFonts w:ascii="Arial" w:hAnsi="Arial" w:cs="Arial"/>
          <w:sz w:val="24"/>
          <w:szCs w:val="24"/>
        </w:rPr>
        <w:t xml:space="preserve"> behalf of</w:t>
      </w:r>
      <w:r w:rsidR="00894EF0">
        <w:rPr>
          <w:rFonts w:ascii="Arial" w:hAnsi="Arial" w:cs="Arial"/>
          <w:sz w:val="24"/>
          <w:szCs w:val="24"/>
        </w:rPr>
        <w:t xml:space="preserve"> the Minister that the appellant’s litigation has been pursued in a vexatious manner to stymie land reform.</w:t>
      </w:r>
      <w:r w:rsidR="0010254D">
        <w:rPr>
          <w:rFonts w:ascii="Arial" w:hAnsi="Arial" w:cs="Arial"/>
          <w:sz w:val="24"/>
          <w:szCs w:val="24"/>
        </w:rPr>
        <w:t xml:space="preserve"> R</w:t>
      </w:r>
      <w:r>
        <w:rPr>
          <w:rFonts w:ascii="Arial" w:hAnsi="Arial" w:cs="Arial"/>
          <w:sz w:val="24"/>
          <w:szCs w:val="24"/>
        </w:rPr>
        <w:t>eference was also made</w:t>
      </w:r>
      <w:r w:rsidR="0010254D">
        <w:rPr>
          <w:rFonts w:ascii="Arial" w:hAnsi="Arial" w:cs="Arial"/>
          <w:sz w:val="24"/>
          <w:szCs w:val="24"/>
        </w:rPr>
        <w:t xml:space="preserve"> on behalf of the Minister</w:t>
      </w:r>
      <w:r>
        <w:rPr>
          <w:rFonts w:ascii="Arial" w:hAnsi="Arial" w:cs="Arial"/>
          <w:sz w:val="24"/>
          <w:szCs w:val="24"/>
        </w:rPr>
        <w:t xml:space="preserve"> </w:t>
      </w:r>
      <w:r w:rsidR="00894EF0">
        <w:rPr>
          <w:rFonts w:ascii="Arial" w:hAnsi="Arial" w:cs="Arial"/>
          <w:sz w:val="24"/>
          <w:szCs w:val="24"/>
        </w:rPr>
        <w:t>to deliberate factual misrepresentations made</w:t>
      </w:r>
      <w:r>
        <w:rPr>
          <w:rFonts w:ascii="Arial" w:hAnsi="Arial" w:cs="Arial"/>
          <w:sz w:val="24"/>
          <w:szCs w:val="24"/>
        </w:rPr>
        <w:t xml:space="preserve"> by the appellant,</w:t>
      </w:r>
      <w:r w:rsidR="00894EF0">
        <w:rPr>
          <w:rFonts w:ascii="Arial" w:hAnsi="Arial" w:cs="Arial"/>
          <w:sz w:val="24"/>
          <w:szCs w:val="24"/>
        </w:rPr>
        <w:t xml:space="preserve"> exposed in an answering affidavit and not addressed in reply.</w:t>
      </w:r>
      <w:r w:rsidR="004A5FD0">
        <w:rPr>
          <w:rFonts w:ascii="Arial" w:hAnsi="Arial" w:cs="Arial"/>
          <w:sz w:val="24"/>
          <w:szCs w:val="24"/>
        </w:rPr>
        <w:t xml:space="preserve"> Mr T</w:t>
      </w:r>
      <w:r w:rsidR="000F61A4">
        <w:rPr>
          <w:rFonts w:ascii="Arial" w:hAnsi="Arial" w:cs="Arial"/>
          <w:sz w:val="24"/>
          <w:szCs w:val="24"/>
        </w:rPr>
        <w:t>ö</w:t>
      </w:r>
      <w:r w:rsidR="004A5FD0">
        <w:rPr>
          <w:rFonts w:ascii="Arial" w:hAnsi="Arial" w:cs="Arial"/>
          <w:sz w:val="24"/>
          <w:szCs w:val="24"/>
        </w:rPr>
        <w:t>temeyer however argued that the manner in which the manifold challenges have been advanced by the appellant was not vexatious.</w:t>
      </w:r>
    </w:p>
    <w:p w:rsidR="002337F7" w:rsidRDefault="002337F7" w:rsidP="002337F7">
      <w:pPr>
        <w:pStyle w:val="ListParagraph"/>
        <w:rPr>
          <w:rFonts w:ascii="Arial" w:hAnsi="Arial" w:cs="Arial"/>
          <w:sz w:val="24"/>
          <w:szCs w:val="24"/>
        </w:rPr>
      </w:pPr>
    </w:p>
    <w:p w:rsidR="0010254D" w:rsidRDefault="00894EF0"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It is clear to </w:t>
      </w:r>
      <w:r w:rsidR="00450915">
        <w:rPr>
          <w:rFonts w:ascii="Arial" w:hAnsi="Arial" w:cs="Arial"/>
          <w:sz w:val="24"/>
          <w:szCs w:val="24"/>
        </w:rPr>
        <w:t>me</w:t>
      </w:r>
      <w:r>
        <w:rPr>
          <w:rFonts w:ascii="Arial" w:hAnsi="Arial" w:cs="Arial"/>
          <w:sz w:val="24"/>
          <w:szCs w:val="24"/>
        </w:rPr>
        <w:t xml:space="preserve"> that the multiple applications – some of which generated interlocutory applications </w:t>
      </w:r>
      <w:r w:rsidR="0033772A">
        <w:rPr>
          <w:rFonts w:ascii="Arial" w:hAnsi="Arial" w:cs="Arial"/>
          <w:sz w:val="24"/>
          <w:szCs w:val="24"/>
        </w:rPr>
        <w:t xml:space="preserve">- </w:t>
      </w:r>
      <w:r>
        <w:rPr>
          <w:rFonts w:ascii="Arial" w:hAnsi="Arial" w:cs="Arial"/>
          <w:sz w:val="24"/>
          <w:szCs w:val="24"/>
        </w:rPr>
        <w:t>have been pursued in a manner bent upon frustrating the constitutional imperative to bring about land reform</w:t>
      </w:r>
      <w:r w:rsidR="0010254D">
        <w:rPr>
          <w:rFonts w:ascii="Arial" w:hAnsi="Arial" w:cs="Arial"/>
          <w:sz w:val="24"/>
          <w:szCs w:val="24"/>
        </w:rPr>
        <w:t xml:space="preserve"> and to bring the entire process to a standstill</w:t>
      </w:r>
      <w:r>
        <w:rPr>
          <w:rFonts w:ascii="Arial" w:hAnsi="Arial" w:cs="Arial"/>
          <w:sz w:val="24"/>
          <w:szCs w:val="24"/>
        </w:rPr>
        <w:t>. The appellant pursued these multiple applications with</w:t>
      </w:r>
      <w:r w:rsidR="0033772A">
        <w:rPr>
          <w:rFonts w:ascii="Arial" w:hAnsi="Arial" w:cs="Arial"/>
          <w:sz w:val="24"/>
          <w:szCs w:val="24"/>
        </w:rPr>
        <w:t>out</w:t>
      </w:r>
      <w:r>
        <w:rPr>
          <w:rFonts w:ascii="Arial" w:hAnsi="Arial" w:cs="Arial"/>
          <w:sz w:val="24"/>
          <w:szCs w:val="24"/>
        </w:rPr>
        <w:t xml:space="preserve"> adhering to the </w:t>
      </w:r>
      <w:r w:rsidR="0033772A">
        <w:rPr>
          <w:rFonts w:ascii="Arial" w:hAnsi="Arial" w:cs="Arial"/>
          <w:sz w:val="24"/>
          <w:szCs w:val="24"/>
        </w:rPr>
        <w:t>well-known ‘</w:t>
      </w:r>
      <w:r>
        <w:rPr>
          <w:rFonts w:ascii="Arial" w:hAnsi="Arial" w:cs="Arial"/>
          <w:sz w:val="24"/>
          <w:szCs w:val="24"/>
        </w:rPr>
        <w:t>pay now argue later</w:t>
      </w:r>
      <w:r w:rsidR="0033772A">
        <w:rPr>
          <w:rFonts w:ascii="Arial" w:hAnsi="Arial" w:cs="Arial"/>
          <w:sz w:val="24"/>
          <w:szCs w:val="24"/>
        </w:rPr>
        <w:t>’</w:t>
      </w:r>
      <w:r>
        <w:rPr>
          <w:rFonts w:ascii="Arial" w:hAnsi="Arial" w:cs="Arial"/>
          <w:sz w:val="24"/>
          <w:szCs w:val="24"/>
        </w:rPr>
        <w:t xml:space="preserve"> principle embodied in the regulations and applicable to tax regimes. This despite previously paying </w:t>
      </w:r>
      <w:r w:rsidR="0033772A">
        <w:rPr>
          <w:rFonts w:ascii="Arial" w:hAnsi="Arial" w:cs="Arial"/>
          <w:sz w:val="24"/>
          <w:szCs w:val="24"/>
        </w:rPr>
        <w:t>land</w:t>
      </w:r>
      <w:r>
        <w:rPr>
          <w:rFonts w:ascii="Arial" w:hAnsi="Arial" w:cs="Arial"/>
          <w:sz w:val="24"/>
          <w:szCs w:val="24"/>
        </w:rPr>
        <w:t xml:space="preserve"> tax for some years until 2013 and not providing any explanation for this change in stance. </w:t>
      </w:r>
    </w:p>
    <w:p w:rsidR="0010254D" w:rsidRDefault="0010254D" w:rsidP="0010254D">
      <w:pPr>
        <w:pStyle w:val="ListParagraph"/>
        <w:rPr>
          <w:rFonts w:ascii="Arial" w:hAnsi="Arial" w:cs="Arial"/>
          <w:sz w:val="24"/>
          <w:szCs w:val="24"/>
        </w:rPr>
      </w:pPr>
    </w:p>
    <w:p w:rsidR="002337F7" w:rsidRDefault="00894EF0"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multiple challenges to the statutory provisions and regulations and administrative action </w:t>
      </w:r>
      <w:r w:rsidR="0010254D">
        <w:rPr>
          <w:rFonts w:ascii="Arial" w:hAnsi="Arial" w:cs="Arial"/>
          <w:sz w:val="24"/>
          <w:szCs w:val="24"/>
        </w:rPr>
        <w:t>have also</w:t>
      </w:r>
      <w:r>
        <w:rPr>
          <w:rFonts w:ascii="Arial" w:hAnsi="Arial" w:cs="Arial"/>
          <w:sz w:val="24"/>
          <w:szCs w:val="24"/>
        </w:rPr>
        <w:t xml:space="preserve"> not </w:t>
      </w:r>
      <w:r w:rsidR="0010254D">
        <w:rPr>
          <w:rFonts w:ascii="Arial" w:hAnsi="Arial" w:cs="Arial"/>
          <w:sz w:val="24"/>
          <w:szCs w:val="24"/>
        </w:rPr>
        <w:t xml:space="preserve">been </w:t>
      </w:r>
      <w:r>
        <w:rPr>
          <w:rFonts w:ascii="Arial" w:hAnsi="Arial" w:cs="Arial"/>
          <w:sz w:val="24"/>
          <w:szCs w:val="24"/>
        </w:rPr>
        <w:t xml:space="preserve">properly pleaded, as I have already </w:t>
      </w:r>
      <w:r w:rsidR="00CA3D0A">
        <w:rPr>
          <w:rFonts w:ascii="Arial" w:hAnsi="Arial" w:cs="Arial"/>
          <w:sz w:val="24"/>
          <w:szCs w:val="24"/>
        </w:rPr>
        <w:t>pointed out</w:t>
      </w:r>
      <w:r w:rsidR="0010254D">
        <w:rPr>
          <w:rFonts w:ascii="Arial" w:hAnsi="Arial" w:cs="Arial"/>
          <w:sz w:val="24"/>
          <w:szCs w:val="24"/>
        </w:rPr>
        <w:t>,</w:t>
      </w:r>
      <w:r w:rsidR="0033772A">
        <w:rPr>
          <w:rFonts w:ascii="Arial" w:hAnsi="Arial" w:cs="Arial"/>
          <w:sz w:val="24"/>
          <w:szCs w:val="24"/>
        </w:rPr>
        <w:t xml:space="preserve"> and were replete with extravagant assertions of constitutional conflict which were unsupported by fact and seldom in argument</w:t>
      </w:r>
      <w:r w:rsidR="00CA3D0A">
        <w:rPr>
          <w:rFonts w:ascii="Arial" w:hAnsi="Arial" w:cs="Arial"/>
          <w:sz w:val="24"/>
          <w:szCs w:val="24"/>
        </w:rPr>
        <w:t>. Some challenges were not pursued in argument but were not formally abandoned. Relief was also sought against previously disadvantaged individuals concerning exemptions</w:t>
      </w:r>
      <w:r w:rsidR="0010254D">
        <w:rPr>
          <w:rFonts w:ascii="Arial" w:hAnsi="Arial" w:cs="Arial"/>
          <w:sz w:val="24"/>
          <w:szCs w:val="24"/>
        </w:rPr>
        <w:t xml:space="preserve"> they received</w:t>
      </w:r>
      <w:r w:rsidR="00CA3D0A">
        <w:rPr>
          <w:rFonts w:ascii="Arial" w:hAnsi="Arial" w:cs="Arial"/>
          <w:sz w:val="24"/>
          <w:szCs w:val="24"/>
        </w:rPr>
        <w:t xml:space="preserve"> from land tax without citing those individuals.</w:t>
      </w:r>
    </w:p>
    <w:p w:rsidR="00E7527A" w:rsidRDefault="00E7527A" w:rsidP="00E7527A">
      <w:pPr>
        <w:pStyle w:val="ListParagraph"/>
        <w:rPr>
          <w:rFonts w:ascii="Arial" w:hAnsi="Arial" w:cs="Arial"/>
          <w:sz w:val="24"/>
          <w:szCs w:val="24"/>
        </w:rPr>
      </w:pPr>
    </w:p>
    <w:p w:rsidR="00E7527A" w:rsidRDefault="0033772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Furthermore, t</w:t>
      </w:r>
      <w:r w:rsidR="00CA3D0A">
        <w:rPr>
          <w:rFonts w:ascii="Arial" w:hAnsi="Arial" w:cs="Arial"/>
          <w:sz w:val="24"/>
          <w:szCs w:val="24"/>
        </w:rPr>
        <w:t xml:space="preserve">he </w:t>
      </w:r>
      <w:r w:rsidR="0010254D">
        <w:rPr>
          <w:rFonts w:ascii="Arial" w:hAnsi="Arial" w:cs="Arial"/>
          <w:sz w:val="24"/>
          <w:szCs w:val="24"/>
        </w:rPr>
        <w:t xml:space="preserve">central </w:t>
      </w:r>
      <w:r w:rsidR="00CA3D0A">
        <w:rPr>
          <w:rFonts w:ascii="Arial" w:hAnsi="Arial" w:cs="Arial"/>
          <w:sz w:val="24"/>
          <w:szCs w:val="24"/>
        </w:rPr>
        <w:t>conclusion reached by the High Court</w:t>
      </w:r>
      <w:r w:rsidR="0010254D">
        <w:rPr>
          <w:rFonts w:ascii="Arial" w:hAnsi="Arial" w:cs="Arial"/>
          <w:sz w:val="24"/>
          <w:szCs w:val="24"/>
        </w:rPr>
        <w:t xml:space="preserve"> on the separation of powers of issue </w:t>
      </w:r>
      <w:r w:rsidR="00CA3D0A">
        <w:rPr>
          <w:rFonts w:ascii="Arial" w:hAnsi="Arial" w:cs="Arial"/>
          <w:sz w:val="24"/>
          <w:szCs w:val="24"/>
        </w:rPr>
        <w:t>was described in</w:t>
      </w:r>
      <w:r>
        <w:rPr>
          <w:rFonts w:ascii="Arial" w:hAnsi="Arial" w:cs="Arial"/>
          <w:sz w:val="24"/>
          <w:szCs w:val="24"/>
        </w:rPr>
        <w:t xml:space="preserve"> the appellant’s</w:t>
      </w:r>
      <w:r w:rsidR="00CA3D0A">
        <w:rPr>
          <w:rFonts w:ascii="Arial" w:hAnsi="Arial" w:cs="Arial"/>
          <w:sz w:val="24"/>
          <w:szCs w:val="24"/>
        </w:rPr>
        <w:t xml:space="preserve"> written argument as being ‘</w:t>
      </w:r>
      <w:r>
        <w:rPr>
          <w:rFonts w:ascii="Arial" w:hAnsi="Arial" w:cs="Arial"/>
          <w:sz w:val="24"/>
          <w:szCs w:val="24"/>
        </w:rPr>
        <w:t>destructive</w:t>
      </w:r>
      <w:r w:rsidR="00CA3D0A">
        <w:rPr>
          <w:rFonts w:ascii="Arial" w:hAnsi="Arial" w:cs="Arial"/>
          <w:sz w:val="24"/>
          <w:szCs w:val="24"/>
        </w:rPr>
        <w:t xml:space="preserve"> of the central function of parliament, . . . destructive of democracy, </w:t>
      </w:r>
      <w:r w:rsidR="00CA3D0A">
        <w:rPr>
          <w:rFonts w:ascii="Arial" w:hAnsi="Arial" w:cs="Arial"/>
          <w:sz w:val="24"/>
          <w:szCs w:val="24"/>
        </w:rPr>
        <w:lastRenderedPageBreak/>
        <w:t xml:space="preserve">resulting in an executive state and </w:t>
      </w:r>
      <w:r>
        <w:rPr>
          <w:rFonts w:ascii="Arial" w:hAnsi="Arial" w:cs="Arial"/>
          <w:sz w:val="24"/>
          <w:szCs w:val="24"/>
        </w:rPr>
        <w:t>dictatorship</w:t>
      </w:r>
      <w:r w:rsidR="00CA3D0A">
        <w:rPr>
          <w:rFonts w:ascii="Arial" w:hAnsi="Arial" w:cs="Arial"/>
          <w:sz w:val="24"/>
          <w:szCs w:val="24"/>
        </w:rPr>
        <w:t>’. It is also said that the conclusion violates the third paragraph of the preamble to the Constitution.</w:t>
      </w:r>
      <w:r w:rsidR="0010254D">
        <w:rPr>
          <w:rFonts w:ascii="Arial" w:hAnsi="Arial" w:cs="Arial"/>
          <w:sz w:val="24"/>
          <w:szCs w:val="24"/>
        </w:rPr>
        <w:t xml:space="preserve"> This court endorses that</w:t>
      </w:r>
      <w:r w:rsidR="008A6323">
        <w:rPr>
          <w:rFonts w:ascii="Arial" w:hAnsi="Arial" w:cs="Arial"/>
          <w:sz w:val="24"/>
          <w:szCs w:val="24"/>
        </w:rPr>
        <w:t xml:space="preserve"> conclusion reached by the High Court so characterised in the appellant’s submissions.</w:t>
      </w:r>
    </w:p>
    <w:p w:rsidR="00CA3D0A" w:rsidRDefault="00CA3D0A" w:rsidP="00CA3D0A">
      <w:pPr>
        <w:pStyle w:val="ListParagraph"/>
        <w:rPr>
          <w:rFonts w:ascii="Arial" w:hAnsi="Arial" w:cs="Arial"/>
          <w:sz w:val="24"/>
          <w:szCs w:val="24"/>
        </w:rPr>
      </w:pPr>
    </w:p>
    <w:p w:rsidR="00CA3D0A" w:rsidRDefault="00CA3D0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Regulation 23, which was not challenged, and deals with the collection of </w:t>
      </w:r>
      <w:r w:rsidR="008A6323">
        <w:rPr>
          <w:rFonts w:ascii="Arial" w:hAnsi="Arial" w:cs="Arial"/>
          <w:sz w:val="24"/>
          <w:szCs w:val="24"/>
        </w:rPr>
        <w:t xml:space="preserve">land </w:t>
      </w:r>
      <w:r>
        <w:rPr>
          <w:rFonts w:ascii="Arial" w:hAnsi="Arial" w:cs="Arial"/>
          <w:sz w:val="24"/>
          <w:szCs w:val="24"/>
        </w:rPr>
        <w:t>tax is also described in</w:t>
      </w:r>
      <w:r w:rsidR="004A5FD0">
        <w:rPr>
          <w:rFonts w:ascii="Arial" w:hAnsi="Arial" w:cs="Arial"/>
          <w:sz w:val="24"/>
          <w:szCs w:val="24"/>
        </w:rPr>
        <w:t xml:space="preserve"> hyperbolic terms written argument </w:t>
      </w:r>
      <w:r>
        <w:rPr>
          <w:rFonts w:ascii="Arial" w:hAnsi="Arial" w:cs="Arial"/>
          <w:sz w:val="24"/>
          <w:szCs w:val="24"/>
        </w:rPr>
        <w:t>– as taking ‘injustice to extremes’</w:t>
      </w:r>
      <w:r w:rsidR="008A6323">
        <w:rPr>
          <w:rFonts w:ascii="Arial" w:hAnsi="Arial" w:cs="Arial"/>
          <w:sz w:val="24"/>
          <w:szCs w:val="24"/>
        </w:rPr>
        <w:t xml:space="preserve"> – and referred to as ‘brutal’</w:t>
      </w:r>
      <w:r>
        <w:rPr>
          <w:rFonts w:ascii="Arial" w:hAnsi="Arial" w:cs="Arial"/>
          <w:sz w:val="24"/>
          <w:szCs w:val="24"/>
        </w:rPr>
        <w:t xml:space="preserve">. This form of recovery </w:t>
      </w:r>
      <w:r w:rsidR="0010254D">
        <w:rPr>
          <w:rFonts w:ascii="Arial" w:hAnsi="Arial" w:cs="Arial"/>
          <w:sz w:val="24"/>
          <w:szCs w:val="24"/>
        </w:rPr>
        <w:t xml:space="preserve">thus described as ‘brutal’ </w:t>
      </w:r>
      <w:r w:rsidR="008A6323">
        <w:rPr>
          <w:rFonts w:ascii="Arial" w:hAnsi="Arial" w:cs="Arial"/>
          <w:sz w:val="24"/>
          <w:szCs w:val="24"/>
        </w:rPr>
        <w:t xml:space="preserve">is </w:t>
      </w:r>
      <w:r>
        <w:rPr>
          <w:rFonts w:ascii="Arial" w:hAnsi="Arial" w:cs="Arial"/>
          <w:sz w:val="24"/>
          <w:szCs w:val="24"/>
        </w:rPr>
        <w:t xml:space="preserve">also to be found in the Income Tax Act </w:t>
      </w:r>
      <w:r w:rsidR="008A6323">
        <w:rPr>
          <w:rFonts w:ascii="Arial" w:hAnsi="Arial" w:cs="Arial"/>
          <w:sz w:val="24"/>
          <w:szCs w:val="24"/>
        </w:rPr>
        <w:t xml:space="preserve">and has been </w:t>
      </w:r>
      <w:r>
        <w:rPr>
          <w:rFonts w:ascii="Arial" w:hAnsi="Arial" w:cs="Arial"/>
          <w:sz w:val="24"/>
          <w:szCs w:val="24"/>
        </w:rPr>
        <w:t xml:space="preserve">expressly approved by this court in </w:t>
      </w:r>
      <w:r w:rsidRPr="00CA3D0A">
        <w:rPr>
          <w:rFonts w:ascii="Arial" w:hAnsi="Arial" w:cs="Arial"/>
          <w:i/>
          <w:sz w:val="24"/>
          <w:szCs w:val="24"/>
        </w:rPr>
        <w:t xml:space="preserve">Hindjou v </w:t>
      </w:r>
      <w:r w:rsidR="008A6323">
        <w:rPr>
          <w:rFonts w:ascii="Arial" w:hAnsi="Arial" w:cs="Arial"/>
          <w:i/>
          <w:sz w:val="24"/>
          <w:szCs w:val="24"/>
        </w:rPr>
        <w:t>Government of the Republic of Namibia (Receiver of Revenue) and another</w:t>
      </w:r>
      <w:r w:rsidR="0010254D">
        <w:rPr>
          <w:rFonts w:ascii="Arial" w:hAnsi="Arial" w:cs="Arial"/>
          <w:i/>
          <w:sz w:val="24"/>
          <w:szCs w:val="24"/>
        </w:rPr>
        <w:t>.</w:t>
      </w:r>
      <w:r w:rsidR="008A6323">
        <w:rPr>
          <w:rStyle w:val="FootnoteReference"/>
          <w:rFonts w:ascii="Arial" w:hAnsi="Arial" w:cs="Arial"/>
          <w:i/>
          <w:sz w:val="24"/>
          <w:szCs w:val="24"/>
        </w:rPr>
        <w:footnoteReference w:id="51"/>
      </w:r>
      <w:r w:rsidR="00251412">
        <w:rPr>
          <w:rFonts w:ascii="Arial" w:hAnsi="Arial" w:cs="Arial"/>
          <w:sz w:val="24"/>
          <w:szCs w:val="24"/>
        </w:rPr>
        <w:t xml:space="preserve"> Tax recovery, after all, occurs after land owners had the opportunity to object to the value (upon which land tax is based) and to appeal if dissatisfied with the outcome of the objection.</w:t>
      </w:r>
    </w:p>
    <w:p w:rsidR="00CA3D0A" w:rsidRDefault="00CA3D0A" w:rsidP="00CA3D0A">
      <w:pPr>
        <w:pStyle w:val="ListParagraph"/>
        <w:rPr>
          <w:rFonts w:ascii="Arial" w:hAnsi="Arial" w:cs="Arial"/>
          <w:sz w:val="24"/>
          <w:szCs w:val="24"/>
        </w:rPr>
      </w:pPr>
    </w:p>
    <w:p w:rsidR="00CA3D0A" w:rsidRDefault="00CA3D0A"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The manner in which the multiple appli</w:t>
      </w:r>
      <w:r w:rsidR="00317522">
        <w:rPr>
          <w:rFonts w:ascii="Arial" w:hAnsi="Arial" w:cs="Arial"/>
          <w:sz w:val="24"/>
          <w:szCs w:val="24"/>
        </w:rPr>
        <w:t>c</w:t>
      </w:r>
      <w:r>
        <w:rPr>
          <w:rFonts w:ascii="Arial" w:hAnsi="Arial" w:cs="Arial"/>
          <w:sz w:val="24"/>
          <w:szCs w:val="24"/>
        </w:rPr>
        <w:t xml:space="preserve">ations were pursued </w:t>
      </w:r>
      <w:r w:rsidR="008A6323">
        <w:rPr>
          <w:rFonts w:ascii="Arial" w:hAnsi="Arial" w:cs="Arial"/>
          <w:sz w:val="24"/>
          <w:szCs w:val="24"/>
        </w:rPr>
        <w:t xml:space="preserve">at the minimum </w:t>
      </w:r>
      <w:r w:rsidR="00317522">
        <w:rPr>
          <w:rFonts w:ascii="Arial" w:hAnsi="Arial" w:cs="Arial"/>
          <w:sz w:val="24"/>
          <w:szCs w:val="24"/>
        </w:rPr>
        <w:t xml:space="preserve">falls within the category of manifestly inappropriate and </w:t>
      </w:r>
      <w:r w:rsidR="004A5FD0">
        <w:rPr>
          <w:rFonts w:ascii="Arial" w:hAnsi="Arial" w:cs="Arial"/>
          <w:sz w:val="24"/>
          <w:szCs w:val="24"/>
        </w:rPr>
        <w:t xml:space="preserve">thus </w:t>
      </w:r>
      <w:r w:rsidR="00317522">
        <w:rPr>
          <w:rFonts w:ascii="Arial" w:hAnsi="Arial" w:cs="Arial"/>
          <w:sz w:val="24"/>
          <w:szCs w:val="24"/>
        </w:rPr>
        <w:t xml:space="preserve">outside the scope of </w:t>
      </w:r>
      <w:r w:rsidR="00317522">
        <w:rPr>
          <w:rFonts w:ascii="Arial" w:hAnsi="Arial" w:cs="Arial"/>
          <w:i/>
          <w:sz w:val="24"/>
          <w:szCs w:val="24"/>
        </w:rPr>
        <w:t>Biowatch</w:t>
      </w:r>
      <w:r w:rsidR="00317522">
        <w:rPr>
          <w:rFonts w:ascii="Arial" w:hAnsi="Arial" w:cs="Arial"/>
          <w:sz w:val="24"/>
          <w:szCs w:val="24"/>
        </w:rPr>
        <w:t>. Th</w:t>
      </w:r>
      <w:r w:rsidR="008A6323">
        <w:rPr>
          <w:rFonts w:ascii="Arial" w:hAnsi="Arial" w:cs="Arial"/>
          <w:sz w:val="24"/>
          <w:szCs w:val="24"/>
        </w:rPr>
        <w:t xml:space="preserve">e </w:t>
      </w:r>
      <w:r w:rsidR="00450915">
        <w:rPr>
          <w:rFonts w:ascii="Arial" w:hAnsi="Arial" w:cs="Arial"/>
          <w:sz w:val="24"/>
          <w:szCs w:val="24"/>
        </w:rPr>
        <w:t>conduct</w:t>
      </w:r>
      <w:r w:rsidR="008A6323">
        <w:rPr>
          <w:rFonts w:ascii="Arial" w:hAnsi="Arial" w:cs="Arial"/>
          <w:sz w:val="24"/>
          <w:szCs w:val="24"/>
        </w:rPr>
        <w:t xml:space="preserve"> and unnecessary proliferation of this </w:t>
      </w:r>
      <w:r w:rsidR="00317522">
        <w:rPr>
          <w:rFonts w:ascii="Arial" w:hAnsi="Arial" w:cs="Arial"/>
          <w:sz w:val="24"/>
          <w:szCs w:val="24"/>
        </w:rPr>
        <w:t>litigation is to be discouraged</w:t>
      </w:r>
      <w:r w:rsidR="008A6323">
        <w:rPr>
          <w:rFonts w:ascii="Arial" w:hAnsi="Arial" w:cs="Arial"/>
          <w:sz w:val="24"/>
          <w:szCs w:val="24"/>
        </w:rPr>
        <w:t>, resulting in considerable costs and judicial time being spent upon it</w:t>
      </w:r>
      <w:r w:rsidR="00317522">
        <w:rPr>
          <w:rFonts w:ascii="Arial" w:hAnsi="Arial" w:cs="Arial"/>
          <w:sz w:val="24"/>
          <w:szCs w:val="24"/>
        </w:rPr>
        <w:t>.</w:t>
      </w:r>
    </w:p>
    <w:p w:rsidR="004A5FD0" w:rsidRDefault="004A5FD0" w:rsidP="004A5FD0">
      <w:pPr>
        <w:pStyle w:val="NoSpacing"/>
        <w:spacing w:line="480" w:lineRule="auto"/>
        <w:jc w:val="both"/>
        <w:rPr>
          <w:rFonts w:ascii="Arial" w:hAnsi="Arial" w:cs="Arial"/>
          <w:sz w:val="24"/>
          <w:szCs w:val="24"/>
        </w:rPr>
      </w:pPr>
    </w:p>
    <w:p w:rsidR="00317522" w:rsidRDefault="00317522" w:rsidP="002E426A">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 xml:space="preserve">The High Court, in its discretion, did not award costs against the appellant in respect of the main application. That order was not appealed against and it thus stands. In the exercise of discretion, </w:t>
      </w:r>
      <w:r w:rsidR="00450915">
        <w:rPr>
          <w:rFonts w:ascii="Arial" w:hAnsi="Arial" w:cs="Arial"/>
          <w:sz w:val="24"/>
          <w:szCs w:val="24"/>
        </w:rPr>
        <w:t>I</w:t>
      </w:r>
      <w:r>
        <w:rPr>
          <w:rFonts w:ascii="Arial" w:hAnsi="Arial" w:cs="Arial"/>
          <w:sz w:val="24"/>
          <w:szCs w:val="24"/>
        </w:rPr>
        <w:t xml:space="preserve"> would certainly not consider that </w:t>
      </w:r>
      <w:r w:rsidR="008A6323">
        <w:rPr>
          <w:rFonts w:ascii="Arial" w:hAnsi="Arial" w:cs="Arial"/>
          <w:sz w:val="24"/>
          <w:szCs w:val="24"/>
        </w:rPr>
        <w:t xml:space="preserve">any </w:t>
      </w:r>
      <w:r>
        <w:rPr>
          <w:rFonts w:ascii="Arial" w:hAnsi="Arial" w:cs="Arial"/>
          <w:sz w:val="24"/>
          <w:szCs w:val="24"/>
        </w:rPr>
        <w:t>basis to deviate from the usual rule as to costs following the result</w:t>
      </w:r>
      <w:r w:rsidR="008A6323">
        <w:rPr>
          <w:rFonts w:ascii="Arial" w:hAnsi="Arial" w:cs="Arial"/>
          <w:sz w:val="24"/>
          <w:szCs w:val="24"/>
        </w:rPr>
        <w:t xml:space="preserve"> in this appeal</w:t>
      </w:r>
      <w:r w:rsidR="0010254D">
        <w:rPr>
          <w:rFonts w:ascii="Arial" w:hAnsi="Arial" w:cs="Arial"/>
          <w:sz w:val="24"/>
          <w:szCs w:val="24"/>
        </w:rPr>
        <w:t xml:space="preserve"> has been established</w:t>
      </w:r>
      <w:r w:rsidR="004A5FD0">
        <w:rPr>
          <w:rFonts w:ascii="Arial" w:hAnsi="Arial" w:cs="Arial"/>
          <w:sz w:val="24"/>
          <w:szCs w:val="24"/>
        </w:rPr>
        <w:t>.</w:t>
      </w:r>
    </w:p>
    <w:p w:rsidR="00E7527A" w:rsidRDefault="00E7527A" w:rsidP="00E7527A">
      <w:pPr>
        <w:pStyle w:val="ListParagraph"/>
        <w:rPr>
          <w:rFonts w:ascii="Arial" w:hAnsi="Arial" w:cs="Arial"/>
          <w:sz w:val="24"/>
          <w:szCs w:val="24"/>
        </w:rPr>
      </w:pPr>
    </w:p>
    <w:p w:rsidR="001A4A99" w:rsidRPr="00317522" w:rsidRDefault="00317522" w:rsidP="003E289D">
      <w:pPr>
        <w:spacing w:line="480" w:lineRule="auto"/>
        <w:rPr>
          <w:rFonts w:ascii="Arial" w:hAnsi="Arial" w:cs="Arial"/>
          <w:sz w:val="24"/>
          <w:szCs w:val="24"/>
          <w:u w:val="single"/>
        </w:rPr>
      </w:pPr>
      <w:r>
        <w:rPr>
          <w:rFonts w:ascii="Arial" w:hAnsi="Arial" w:cs="Arial"/>
          <w:sz w:val="24"/>
          <w:szCs w:val="24"/>
          <w:u w:val="single"/>
        </w:rPr>
        <w:t xml:space="preserve">Order </w:t>
      </w:r>
    </w:p>
    <w:p w:rsidR="001A4A99" w:rsidRDefault="00317522" w:rsidP="003E289D">
      <w:pPr>
        <w:pStyle w:val="NoSpacing"/>
        <w:numPr>
          <w:ilvl w:val="0"/>
          <w:numId w:val="4"/>
        </w:numPr>
        <w:spacing w:line="480" w:lineRule="auto"/>
        <w:ind w:left="0" w:firstLine="0"/>
        <w:jc w:val="both"/>
        <w:rPr>
          <w:rFonts w:ascii="Arial" w:hAnsi="Arial" w:cs="Arial"/>
          <w:sz w:val="24"/>
          <w:szCs w:val="24"/>
        </w:rPr>
      </w:pPr>
      <w:r>
        <w:rPr>
          <w:rFonts w:ascii="Arial" w:hAnsi="Arial" w:cs="Arial"/>
          <w:sz w:val="24"/>
          <w:szCs w:val="24"/>
        </w:rPr>
        <w:t>The following order is made:</w:t>
      </w:r>
    </w:p>
    <w:p w:rsidR="00266E2B" w:rsidRDefault="00266E2B" w:rsidP="003E289D">
      <w:pPr>
        <w:pStyle w:val="ListParagraph"/>
        <w:spacing w:line="480" w:lineRule="auto"/>
        <w:rPr>
          <w:rFonts w:ascii="Arial" w:hAnsi="Arial" w:cs="Arial"/>
          <w:sz w:val="24"/>
          <w:szCs w:val="24"/>
        </w:rPr>
      </w:pPr>
    </w:p>
    <w:p w:rsidR="00317522" w:rsidRDefault="00317522" w:rsidP="000A4DEC">
      <w:pPr>
        <w:pStyle w:val="ListParagraph"/>
        <w:numPr>
          <w:ilvl w:val="0"/>
          <w:numId w:val="18"/>
        </w:numPr>
        <w:spacing w:line="480" w:lineRule="auto"/>
        <w:ind w:left="1418" w:hanging="698"/>
        <w:jc w:val="both"/>
        <w:rPr>
          <w:rFonts w:ascii="Arial" w:hAnsi="Arial" w:cs="Arial"/>
          <w:sz w:val="24"/>
          <w:szCs w:val="24"/>
        </w:rPr>
      </w:pPr>
      <w:r>
        <w:rPr>
          <w:rFonts w:ascii="Arial" w:hAnsi="Arial" w:cs="Arial"/>
          <w:sz w:val="24"/>
          <w:szCs w:val="24"/>
        </w:rPr>
        <w:t>The appeal is dismissed with costs;</w:t>
      </w:r>
    </w:p>
    <w:p w:rsidR="00317522" w:rsidRDefault="00317522" w:rsidP="000A4DEC">
      <w:pPr>
        <w:pStyle w:val="ListParagraph"/>
        <w:spacing w:line="480" w:lineRule="auto"/>
        <w:ind w:left="1418"/>
        <w:jc w:val="both"/>
        <w:rPr>
          <w:rFonts w:ascii="Arial" w:hAnsi="Arial" w:cs="Arial"/>
          <w:sz w:val="24"/>
          <w:szCs w:val="24"/>
        </w:rPr>
      </w:pPr>
    </w:p>
    <w:p w:rsidR="00317522" w:rsidRPr="001C25CA" w:rsidRDefault="00317522" w:rsidP="000A4DEC">
      <w:pPr>
        <w:pStyle w:val="ListParagraph"/>
        <w:numPr>
          <w:ilvl w:val="0"/>
          <w:numId w:val="18"/>
        </w:numPr>
        <w:spacing w:line="480" w:lineRule="auto"/>
        <w:ind w:left="1418" w:hanging="698"/>
        <w:jc w:val="both"/>
        <w:rPr>
          <w:rFonts w:ascii="Arial" w:hAnsi="Arial" w:cs="Arial"/>
          <w:sz w:val="24"/>
          <w:szCs w:val="24"/>
        </w:rPr>
      </w:pPr>
      <w:r>
        <w:rPr>
          <w:rFonts w:ascii="Arial" w:hAnsi="Arial" w:cs="Arial"/>
          <w:sz w:val="24"/>
          <w:szCs w:val="24"/>
        </w:rPr>
        <w:t>The costs are to include the costs of one instructing and two instructed counsel.</w:t>
      </w:r>
    </w:p>
    <w:p w:rsidR="002E426A" w:rsidRPr="001C25CA" w:rsidRDefault="002E426A" w:rsidP="000A4DEC">
      <w:pPr>
        <w:pStyle w:val="NoSpacing"/>
        <w:spacing w:line="480" w:lineRule="auto"/>
        <w:jc w:val="both"/>
        <w:rPr>
          <w:rFonts w:ascii="Arial" w:hAnsi="Arial" w:cs="Arial"/>
          <w:sz w:val="24"/>
          <w:szCs w:val="24"/>
        </w:rPr>
      </w:pPr>
    </w:p>
    <w:p w:rsidR="002E426A" w:rsidRPr="001C25CA" w:rsidRDefault="002E426A" w:rsidP="002E426A">
      <w:pPr>
        <w:pStyle w:val="NoSpacing"/>
        <w:spacing w:line="480" w:lineRule="auto"/>
        <w:jc w:val="both"/>
        <w:rPr>
          <w:rFonts w:ascii="Arial" w:hAnsi="Arial" w:cs="Arial"/>
          <w:sz w:val="24"/>
          <w:szCs w:val="24"/>
        </w:rPr>
      </w:pPr>
    </w:p>
    <w:p w:rsidR="002E426A" w:rsidRPr="001C25CA" w:rsidRDefault="002E426A" w:rsidP="002E426A">
      <w:pPr>
        <w:pStyle w:val="NoSpacing"/>
        <w:spacing w:line="360" w:lineRule="auto"/>
        <w:rPr>
          <w:rFonts w:ascii="Arial" w:hAnsi="Arial" w:cs="Arial"/>
          <w:b/>
          <w:sz w:val="24"/>
          <w:szCs w:val="24"/>
        </w:rPr>
      </w:pPr>
      <w:r w:rsidRPr="001C25CA">
        <w:rPr>
          <w:rFonts w:ascii="Arial" w:hAnsi="Arial" w:cs="Arial"/>
          <w:b/>
          <w:sz w:val="24"/>
          <w:szCs w:val="24"/>
        </w:rPr>
        <w:t>___________________</w:t>
      </w:r>
    </w:p>
    <w:p w:rsidR="002E426A" w:rsidRPr="001C25CA" w:rsidRDefault="002E426A" w:rsidP="002E426A">
      <w:pPr>
        <w:pStyle w:val="NoSpacing"/>
        <w:spacing w:line="360" w:lineRule="auto"/>
        <w:rPr>
          <w:rFonts w:ascii="Arial" w:hAnsi="Arial" w:cs="Arial"/>
          <w:b/>
          <w:sz w:val="24"/>
          <w:szCs w:val="24"/>
        </w:rPr>
      </w:pPr>
      <w:r w:rsidRPr="001C25CA">
        <w:rPr>
          <w:rFonts w:ascii="Arial" w:hAnsi="Arial" w:cs="Arial"/>
          <w:b/>
          <w:sz w:val="24"/>
          <w:szCs w:val="24"/>
        </w:rPr>
        <w:t>SMUTS JA</w:t>
      </w:r>
    </w:p>
    <w:p w:rsidR="002E426A" w:rsidRPr="001C25CA" w:rsidRDefault="002E426A" w:rsidP="002E426A">
      <w:pPr>
        <w:pStyle w:val="NoSpacing"/>
        <w:rPr>
          <w:rFonts w:ascii="Arial" w:hAnsi="Arial" w:cs="Arial"/>
          <w:b/>
          <w:sz w:val="24"/>
          <w:szCs w:val="24"/>
        </w:rPr>
      </w:pPr>
    </w:p>
    <w:p w:rsidR="002E426A" w:rsidRPr="001C25CA" w:rsidRDefault="002E426A" w:rsidP="002E426A">
      <w:pPr>
        <w:pStyle w:val="NoSpacing"/>
        <w:rPr>
          <w:rFonts w:ascii="Arial" w:hAnsi="Arial" w:cs="Arial"/>
          <w:b/>
          <w:sz w:val="24"/>
          <w:szCs w:val="24"/>
        </w:rPr>
      </w:pPr>
    </w:p>
    <w:p w:rsidR="00305FE9" w:rsidRPr="001C25CA" w:rsidRDefault="00305FE9" w:rsidP="002E426A">
      <w:pPr>
        <w:pStyle w:val="NoSpacing"/>
        <w:rPr>
          <w:rFonts w:ascii="Arial" w:hAnsi="Arial" w:cs="Arial"/>
          <w:b/>
          <w:sz w:val="24"/>
          <w:szCs w:val="24"/>
        </w:rPr>
      </w:pPr>
    </w:p>
    <w:p w:rsidR="002E426A" w:rsidRPr="001C25CA" w:rsidRDefault="002E426A" w:rsidP="002E426A">
      <w:pPr>
        <w:pStyle w:val="NoSpacing"/>
        <w:rPr>
          <w:rFonts w:ascii="Arial" w:hAnsi="Arial" w:cs="Arial"/>
          <w:b/>
          <w:sz w:val="24"/>
          <w:szCs w:val="24"/>
        </w:rPr>
      </w:pPr>
    </w:p>
    <w:p w:rsidR="002E426A" w:rsidRPr="001C25CA" w:rsidRDefault="002E426A" w:rsidP="002E426A">
      <w:pPr>
        <w:pStyle w:val="NoSpacing"/>
        <w:spacing w:line="360" w:lineRule="auto"/>
        <w:rPr>
          <w:rFonts w:ascii="Arial" w:hAnsi="Arial" w:cs="Arial"/>
          <w:b/>
          <w:sz w:val="24"/>
          <w:szCs w:val="24"/>
        </w:rPr>
      </w:pPr>
      <w:r w:rsidRPr="001C25CA">
        <w:rPr>
          <w:rFonts w:ascii="Arial" w:hAnsi="Arial" w:cs="Arial"/>
          <w:b/>
          <w:sz w:val="24"/>
          <w:szCs w:val="24"/>
        </w:rPr>
        <w:t>___________________</w:t>
      </w:r>
    </w:p>
    <w:p w:rsidR="002E426A" w:rsidRPr="001C25CA" w:rsidRDefault="002E426A" w:rsidP="002E426A">
      <w:pPr>
        <w:pStyle w:val="NoSpacing"/>
        <w:spacing w:line="360" w:lineRule="auto"/>
        <w:rPr>
          <w:rFonts w:ascii="Arial" w:hAnsi="Arial" w:cs="Arial"/>
          <w:b/>
          <w:sz w:val="24"/>
          <w:szCs w:val="24"/>
        </w:rPr>
      </w:pPr>
      <w:r w:rsidRPr="001C25CA">
        <w:rPr>
          <w:rFonts w:ascii="Arial" w:hAnsi="Arial" w:cs="Arial"/>
          <w:b/>
          <w:sz w:val="24"/>
          <w:szCs w:val="24"/>
        </w:rPr>
        <w:t>MAINGA JA</w:t>
      </w:r>
    </w:p>
    <w:p w:rsidR="002E426A" w:rsidRPr="001C25CA" w:rsidRDefault="002E426A" w:rsidP="002E426A">
      <w:pPr>
        <w:pStyle w:val="NoSpacing"/>
        <w:rPr>
          <w:rFonts w:ascii="Arial" w:hAnsi="Arial" w:cs="Arial"/>
          <w:b/>
          <w:sz w:val="24"/>
          <w:szCs w:val="24"/>
        </w:rPr>
      </w:pPr>
    </w:p>
    <w:p w:rsidR="002E426A" w:rsidRPr="001C25CA" w:rsidRDefault="002E426A" w:rsidP="002E426A">
      <w:pPr>
        <w:pStyle w:val="NoSpacing"/>
        <w:rPr>
          <w:rFonts w:ascii="Arial" w:hAnsi="Arial" w:cs="Arial"/>
          <w:b/>
          <w:sz w:val="24"/>
          <w:szCs w:val="24"/>
        </w:rPr>
      </w:pPr>
    </w:p>
    <w:p w:rsidR="00305FE9" w:rsidRPr="001C25CA" w:rsidRDefault="00305FE9" w:rsidP="002E426A">
      <w:pPr>
        <w:pStyle w:val="NoSpacing"/>
        <w:rPr>
          <w:rFonts w:ascii="Arial" w:hAnsi="Arial" w:cs="Arial"/>
          <w:b/>
          <w:sz w:val="24"/>
          <w:szCs w:val="24"/>
        </w:rPr>
      </w:pPr>
    </w:p>
    <w:p w:rsidR="002E426A" w:rsidRPr="001C25CA" w:rsidRDefault="002E426A" w:rsidP="002E426A">
      <w:pPr>
        <w:pStyle w:val="NoSpacing"/>
        <w:rPr>
          <w:rFonts w:ascii="Arial" w:hAnsi="Arial" w:cs="Arial"/>
          <w:b/>
          <w:sz w:val="24"/>
          <w:szCs w:val="24"/>
        </w:rPr>
      </w:pPr>
    </w:p>
    <w:p w:rsidR="002E426A" w:rsidRPr="001C25CA" w:rsidRDefault="002E426A" w:rsidP="002E426A">
      <w:pPr>
        <w:pStyle w:val="NoSpacing"/>
        <w:spacing w:line="360" w:lineRule="auto"/>
        <w:rPr>
          <w:rFonts w:ascii="Arial" w:hAnsi="Arial" w:cs="Arial"/>
          <w:b/>
          <w:sz w:val="24"/>
          <w:szCs w:val="24"/>
        </w:rPr>
      </w:pPr>
      <w:r w:rsidRPr="001C25CA">
        <w:rPr>
          <w:rFonts w:ascii="Arial" w:hAnsi="Arial" w:cs="Arial"/>
          <w:b/>
          <w:sz w:val="24"/>
          <w:szCs w:val="24"/>
        </w:rPr>
        <w:t>___________________</w:t>
      </w:r>
    </w:p>
    <w:p w:rsidR="002E426A" w:rsidRPr="001C25CA" w:rsidRDefault="002E426A" w:rsidP="002E426A">
      <w:pPr>
        <w:pStyle w:val="NoSpacing"/>
        <w:spacing w:line="480" w:lineRule="auto"/>
        <w:jc w:val="both"/>
        <w:rPr>
          <w:rFonts w:ascii="Arial" w:hAnsi="Arial" w:cs="Arial"/>
          <w:sz w:val="24"/>
          <w:szCs w:val="24"/>
        </w:rPr>
      </w:pPr>
      <w:r w:rsidRPr="001C25CA">
        <w:rPr>
          <w:rFonts w:ascii="Arial" w:hAnsi="Arial" w:cs="Arial"/>
          <w:b/>
          <w:sz w:val="24"/>
          <w:szCs w:val="24"/>
        </w:rPr>
        <w:t>MOKGORO AJA</w:t>
      </w:r>
      <w:r w:rsidRPr="001C25CA">
        <w:rPr>
          <w:rFonts w:ascii="Arial" w:hAnsi="Arial" w:cs="Arial"/>
          <w:sz w:val="24"/>
          <w:szCs w:val="24"/>
        </w:rPr>
        <w:br w:type="page"/>
      </w:r>
    </w:p>
    <w:tbl>
      <w:tblPr>
        <w:tblW w:w="0" w:type="auto"/>
        <w:tblLook w:val="04A0" w:firstRow="1" w:lastRow="0" w:firstColumn="1" w:lastColumn="0" w:noHBand="0" w:noVBand="1"/>
      </w:tblPr>
      <w:tblGrid>
        <w:gridCol w:w="4386"/>
        <w:gridCol w:w="4261"/>
      </w:tblGrid>
      <w:tr w:rsidR="00721889" w:rsidRPr="001C25CA" w:rsidTr="005C0BAB">
        <w:tc>
          <w:tcPr>
            <w:tcW w:w="4386" w:type="dxa"/>
            <w:shd w:val="clear" w:color="auto" w:fill="auto"/>
          </w:tcPr>
          <w:p w:rsidR="00721889" w:rsidRPr="001C25CA" w:rsidRDefault="00721889" w:rsidP="002E426A">
            <w:pPr>
              <w:ind w:left="-108" w:right="-146"/>
              <w:rPr>
                <w:rFonts w:ascii="Arial" w:hAnsi="Arial" w:cs="Arial"/>
                <w:sz w:val="24"/>
                <w:szCs w:val="24"/>
              </w:rPr>
            </w:pPr>
            <w:r w:rsidRPr="001C25CA">
              <w:rPr>
                <w:rFonts w:ascii="Arial" w:hAnsi="Arial" w:cs="Arial"/>
                <w:sz w:val="24"/>
                <w:szCs w:val="24"/>
              </w:rPr>
              <w:lastRenderedPageBreak/>
              <w:t>APPEARANCES</w:t>
            </w:r>
          </w:p>
          <w:p w:rsidR="00721889" w:rsidRPr="001C25CA" w:rsidRDefault="00721889" w:rsidP="00503269">
            <w:pPr>
              <w:ind w:right="-146"/>
              <w:rPr>
                <w:rFonts w:ascii="Arial" w:hAnsi="Arial" w:cs="Arial"/>
                <w:sz w:val="24"/>
                <w:szCs w:val="24"/>
              </w:rPr>
            </w:pPr>
          </w:p>
          <w:p w:rsidR="00721889" w:rsidRPr="001C25CA" w:rsidRDefault="00721889" w:rsidP="002E426A">
            <w:pPr>
              <w:ind w:left="-108" w:right="-146"/>
              <w:rPr>
                <w:rFonts w:ascii="Arial" w:hAnsi="Arial" w:cs="Arial"/>
                <w:sz w:val="24"/>
                <w:szCs w:val="24"/>
              </w:rPr>
            </w:pPr>
            <w:r w:rsidRPr="001C25CA">
              <w:rPr>
                <w:rFonts w:ascii="Arial" w:hAnsi="Arial" w:cs="Arial"/>
                <w:sz w:val="24"/>
                <w:szCs w:val="24"/>
              </w:rPr>
              <w:t>APPELLANT:</w:t>
            </w:r>
          </w:p>
        </w:tc>
        <w:tc>
          <w:tcPr>
            <w:tcW w:w="4261" w:type="dxa"/>
            <w:shd w:val="clear" w:color="auto" w:fill="auto"/>
          </w:tcPr>
          <w:p w:rsidR="00721889" w:rsidRPr="001C25CA" w:rsidRDefault="00721889" w:rsidP="00503269">
            <w:pPr>
              <w:rPr>
                <w:rFonts w:ascii="Arial" w:hAnsi="Arial" w:cs="Arial"/>
                <w:sz w:val="24"/>
                <w:szCs w:val="24"/>
              </w:rPr>
            </w:pPr>
          </w:p>
          <w:p w:rsidR="00721889" w:rsidRPr="001C25CA" w:rsidRDefault="00721889" w:rsidP="00503269">
            <w:pPr>
              <w:rPr>
                <w:rFonts w:ascii="Arial" w:hAnsi="Arial" w:cs="Arial"/>
                <w:sz w:val="24"/>
                <w:szCs w:val="24"/>
              </w:rPr>
            </w:pPr>
          </w:p>
          <w:p w:rsidR="00721889" w:rsidRPr="001C25CA" w:rsidRDefault="005D3137" w:rsidP="00503269">
            <w:pPr>
              <w:rPr>
                <w:rFonts w:ascii="Arial" w:hAnsi="Arial" w:cs="Arial"/>
                <w:sz w:val="24"/>
                <w:szCs w:val="24"/>
              </w:rPr>
            </w:pPr>
            <w:r w:rsidRPr="001C25CA">
              <w:rPr>
                <w:rFonts w:ascii="Arial" w:hAnsi="Arial" w:cs="Arial"/>
                <w:sz w:val="24"/>
                <w:szCs w:val="24"/>
              </w:rPr>
              <w:t xml:space="preserve">R </w:t>
            </w:r>
            <w:r w:rsidR="008A6323">
              <w:rPr>
                <w:rFonts w:ascii="Arial" w:hAnsi="Arial" w:cs="Arial"/>
                <w:sz w:val="24"/>
                <w:szCs w:val="24"/>
              </w:rPr>
              <w:t>T</w:t>
            </w:r>
            <w:r w:rsidR="004F0B37">
              <w:rPr>
                <w:rFonts w:ascii="Arial" w:hAnsi="Arial" w:cs="Arial"/>
                <w:sz w:val="24"/>
                <w:szCs w:val="24"/>
              </w:rPr>
              <w:t>ö</w:t>
            </w:r>
            <w:r w:rsidR="008A6323">
              <w:rPr>
                <w:rFonts w:ascii="Arial" w:hAnsi="Arial" w:cs="Arial"/>
                <w:sz w:val="24"/>
                <w:szCs w:val="24"/>
              </w:rPr>
              <w:t>temeyer</w:t>
            </w:r>
            <w:r w:rsidR="00B02CAE" w:rsidRPr="001C25CA">
              <w:rPr>
                <w:rFonts w:ascii="Arial" w:hAnsi="Arial" w:cs="Arial"/>
                <w:sz w:val="24"/>
                <w:szCs w:val="24"/>
              </w:rPr>
              <w:t>,</w:t>
            </w:r>
            <w:r w:rsidR="005C0BAB" w:rsidRPr="001C25CA">
              <w:rPr>
                <w:rFonts w:ascii="Arial" w:hAnsi="Arial" w:cs="Arial"/>
                <w:sz w:val="24"/>
                <w:szCs w:val="24"/>
              </w:rPr>
              <w:t xml:space="preserve"> </w:t>
            </w:r>
          </w:p>
          <w:p w:rsidR="00860DA9" w:rsidRPr="001C25CA" w:rsidRDefault="00860DA9" w:rsidP="008A6323">
            <w:pPr>
              <w:rPr>
                <w:rFonts w:ascii="Arial" w:hAnsi="Arial" w:cs="Arial"/>
                <w:sz w:val="24"/>
                <w:szCs w:val="24"/>
              </w:rPr>
            </w:pPr>
            <w:r w:rsidRPr="001C25CA">
              <w:rPr>
                <w:rFonts w:ascii="Arial" w:hAnsi="Arial" w:cs="Arial"/>
                <w:sz w:val="24"/>
                <w:szCs w:val="24"/>
              </w:rPr>
              <w:t xml:space="preserve">Instructed by </w:t>
            </w:r>
            <w:r w:rsidR="008A6323">
              <w:rPr>
                <w:rFonts w:ascii="Arial" w:hAnsi="Arial" w:cs="Arial"/>
                <w:sz w:val="24"/>
                <w:szCs w:val="24"/>
              </w:rPr>
              <w:t>ENS Africa</w:t>
            </w:r>
          </w:p>
        </w:tc>
      </w:tr>
      <w:tr w:rsidR="00721889" w:rsidRPr="001C25CA" w:rsidTr="005C0BAB">
        <w:tc>
          <w:tcPr>
            <w:tcW w:w="4386" w:type="dxa"/>
            <w:shd w:val="clear" w:color="auto" w:fill="auto"/>
          </w:tcPr>
          <w:p w:rsidR="00721889" w:rsidRPr="001C25CA" w:rsidRDefault="00721889" w:rsidP="00503269">
            <w:pPr>
              <w:rPr>
                <w:rFonts w:ascii="Arial" w:hAnsi="Arial" w:cs="Arial"/>
                <w:sz w:val="24"/>
                <w:szCs w:val="24"/>
              </w:rPr>
            </w:pPr>
          </w:p>
          <w:p w:rsidR="00721889" w:rsidRPr="001C25CA" w:rsidRDefault="00721889" w:rsidP="002E426A">
            <w:pPr>
              <w:ind w:left="-108"/>
              <w:rPr>
                <w:rFonts w:ascii="Arial" w:hAnsi="Arial" w:cs="Arial"/>
                <w:sz w:val="24"/>
                <w:szCs w:val="24"/>
              </w:rPr>
            </w:pPr>
            <w:r w:rsidRPr="001C25CA">
              <w:rPr>
                <w:rFonts w:ascii="Arial" w:hAnsi="Arial" w:cs="Arial"/>
                <w:sz w:val="24"/>
                <w:szCs w:val="24"/>
              </w:rPr>
              <w:t>RESPONDENT</w:t>
            </w:r>
            <w:r w:rsidR="005D3137" w:rsidRPr="001C25CA">
              <w:rPr>
                <w:rFonts w:ascii="Arial" w:hAnsi="Arial" w:cs="Arial"/>
                <w:sz w:val="24"/>
                <w:szCs w:val="24"/>
              </w:rPr>
              <w:t>S</w:t>
            </w:r>
            <w:r w:rsidRPr="001C25CA">
              <w:rPr>
                <w:rFonts w:ascii="Arial" w:hAnsi="Arial" w:cs="Arial"/>
                <w:sz w:val="24"/>
                <w:szCs w:val="24"/>
              </w:rPr>
              <w:t>:</w:t>
            </w:r>
          </w:p>
        </w:tc>
        <w:tc>
          <w:tcPr>
            <w:tcW w:w="4261" w:type="dxa"/>
            <w:shd w:val="clear" w:color="auto" w:fill="auto"/>
          </w:tcPr>
          <w:p w:rsidR="00721889" w:rsidRPr="001C25CA" w:rsidRDefault="00721889" w:rsidP="00503269">
            <w:pPr>
              <w:rPr>
                <w:rFonts w:ascii="Arial" w:hAnsi="Arial" w:cs="Arial"/>
                <w:sz w:val="24"/>
                <w:szCs w:val="24"/>
              </w:rPr>
            </w:pPr>
          </w:p>
          <w:p w:rsidR="008A6323" w:rsidRDefault="008A6323" w:rsidP="00864712">
            <w:pPr>
              <w:rPr>
                <w:rFonts w:ascii="Arial" w:hAnsi="Arial" w:cs="Arial"/>
                <w:sz w:val="24"/>
                <w:szCs w:val="24"/>
              </w:rPr>
            </w:pPr>
            <w:r>
              <w:rPr>
                <w:rFonts w:ascii="Arial" w:hAnsi="Arial" w:cs="Arial"/>
                <w:sz w:val="24"/>
                <w:szCs w:val="24"/>
              </w:rPr>
              <w:t xml:space="preserve">V Maleka SC, </w:t>
            </w:r>
            <w:r w:rsidR="00730DB7">
              <w:rPr>
                <w:rFonts w:ascii="Arial" w:hAnsi="Arial" w:cs="Arial"/>
                <w:sz w:val="24"/>
                <w:szCs w:val="24"/>
              </w:rPr>
              <w:t>(</w:t>
            </w:r>
            <w:r>
              <w:rPr>
                <w:rFonts w:ascii="Arial" w:hAnsi="Arial" w:cs="Arial"/>
                <w:sz w:val="24"/>
                <w:szCs w:val="24"/>
              </w:rPr>
              <w:t xml:space="preserve">with </w:t>
            </w:r>
            <w:r w:rsidR="00730DB7">
              <w:rPr>
                <w:rFonts w:ascii="Arial" w:hAnsi="Arial" w:cs="Arial"/>
                <w:sz w:val="24"/>
                <w:szCs w:val="24"/>
              </w:rPr>
              <w:t xml:space="preserve">him </w:t>
            </w:r>
            <w:r>
              <w:rPr>
                <w:rFonts w:ascii="Arial" w:hAnsi="Arial" w:cs="Arial"/>
                <w:sz w:val="24"/>
                <w:szCs w:val="24"/>
              </w:rPr>
              <w:t>F</w:t>
            </w:r>
            <w:r w:rsidR="00730DB7">
              <w:rPr>
                <w:rFonts w:ascii="Arial" w:hAnsi="Arial" w:cs="Arial"/>
                <w:sz w:val="24"/>
                <w:szCs w:val="24"/>
              </w:rPr>
              <w:t xml:space="preserve"> B</w:t>
            </w:r>
            <w:r>
              <w:rPr>
                <w:rFonts w:ascii="Arial" w:hAnsi="Arial" w:cs="Arial"/>
                <w:sz w:val="24"/>
                <w:szCs w:val="24"/>
              </w:rPr>
              <w:t xml:space="preserve"> Pelser and E Nekwaya</w:t>
            </w:r>
          </w:p>
          <w:p w:rsidR="00721889" w:rsidRPr="001C25CA" w:rsidRDefault="008A6323" w:rsidP="00864712">
            <w:pPr>
              <w:rPr>
                <w:rFonts w:ascii="Arial" w:hAnsi="Arial" w:cs="Arial"/>
                <w:sz w:val="24"/>
                <w:szCs w:val="24"/>
              </w:rPr>
            </w:pPr>
            <w:r>
              <w:rPr>
                <w:rFonts w:ascii="Arial" w:hAnsi="Arial" w:cs="Arial"/>
                <w:sz w:val="24"/>
                <w:szCs w:val="24"/>
              </w:rPr>
              <w:t>Instructed by Government Attorney</w:t>
            </w:r>
            <w:r w:rsidR="00721889" w:rsidRPr="001C25CA">
              <w:rPr>
                <w:rFonts w:ascii="Arial" w:hAnsi="Arial" w:cs="Arial"/>
                <w:sz w:val="24"/>
                <w:szCs w:val="24"/>
              </w:rPr>
              <w:t xml:space="preserve"> </w:t>
            </w:r>
          </w:p>
        </w:tc>
      </w:tr>
    </w:tbl>
    <w:p w:rsidR="00721889" w:rsidRPr="001C25CA" w:rsidRDefault="00721889" w:rsidP="00721889">
      <w:pPr>
        <w:pStyle w:val="NoSpacing"/>
        <w:jc w:val="both"/>
        <w:rPr>
          <w:rFonts w:ascii="Arial" w:hAnsi="Arial" w:cs="Arial"/>
          <w:sz w:val="24"/>
          <w:szCs w:val="24"/>
        </w:rPr>
      </w:pPr>
    </w:p>
    <w:sectPr w:rsidR="00721889" w:rsidRPr="001C25CA" w:rsidSect="00F255FF">
      <w:headerReference w:type="default" r:id="rId9"/>
      <w:pgSz w:w="11906" w:h="16838"/>
      <w:pgMar w:top="81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CA3" w:rsidRDefault="00083CA3" w:rsidP="00B5013F">
      <w:pPr>
        <w:spacing w:after="0" w:line="240" w:lineRule="auto"/>
      </w:pPr>
      <w:r>
        <w:separator/>
      </w:r>
    </w:p>
  </w:endnote>
  <w:endnote w:type="continuationSeparator" w:id="0">
    <w:p w:rsidR="00083CA3" w:rsidRDefault="00083CA3" w:rsidP="00B50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CA3" w:rsidRDefault="00083CA3" w:rsidP="00B5013F">
      <w:pPr>
        <w:spacing w:after="0" w:line="240" w:lineRule="auto"/>
      </w:pPr>
      <w:r>
        <w:separator/>
      </w:r>
    </w:p>
  </w:footnote>
  <w:footnote w:type="continuationSeparator" w:id="0">
    <w:p w:rsidR="00083CA3" w:rsidRDefault="00083CA3" w:rsidP="00B5013F">
      <w:pPr>
        <w:spacing w:after="0" w:line="240" w:lineRule="auto"/>
      </w:pPr>
      <w:r>
        <w:continuationSeparator/>
      </w:r>
    </w:p>
  </w:footnote>
  <w:footnote w:id="1">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In case 295/2013.</w:t>
      </w:r>
    </w:p>
  </w:footnote>
  <w:footnote w:id="2">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These regulation were replaced by the Land Valuation and Taxation Regulation in Government Notice 120 of 2007 in Government Gazette 3870, which came into force on 3 July 2007.</w:t>
      </w:r>
    </w:p>
  </w:footnote>
  <w:footnote w:id="3">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Case No A 21/2015.</w:t>
      </w:r>
    </w:p>
  </w:footnote>
  <w:footnote w:id="4">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Case No 197/2015.</w:t>
      </w:r>
    </w:p>
  </w:footnote>
  <w:footnote w:id="5">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Case No A 234/2015.</w:t>
      </w:r>
    </w:p>
  </w:footnote>
  <w:footnote w:id="6">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Case No A 158/2016.</w:t>
      </w:r>
    </w:p>
  </w:footnote>
  <w:footnote w:id="7">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2015 (3) NR 753 (SC).</w:t>
      </w:r>
    </w:p>
  </w:footnote>
  <w:footnote w:id="8">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At para 43.</w:t>
      </w:r>
    </w:p>
  </w:footnote>
  <w:footnote w:id="9">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 xml:space="preserve">Lameck &amp; another v President of the Republic of Namibia and others </w:t>
      </w:r>
      <w:r w:rsidRPr="00832B89">
        <w:rPr>
          <w:rFonts w:ascii="Arial" w:hAnsi="Arial" w:cs="Arial"/>
        </w:rPr>
        <w:t xml:space="preserve">2012 (1) NR 255 (HC) at para 58; </w:t>
      </w:r>
      <w:r w:rsidRPr="00832B89">
        <w:rPr>
          <w:rFonts w:ascii="Arial" w:hAnsi="Arial" w:cs="Arial"/>
          <w:i/>
        </w:rPr>
        <w:t xml:space="preserve">Prince v President, Cape Law Society and others </w:t>
      </w:r>
      <w:r w:rsidRPr="00832B89">
        <w:rPr>
          <w:rFonts w:ascii="Arial" w:hAnsi="Arial" w:cs="Arial"/>
        </w:rPr>
        <w:t>2001 (2) SA 388 (CC) at para 22.</w:t>
      </w:r>
    </w:p>
    <w:p w:rsidR="00251412" w:rsidRPr="00832B89" w:rsidRDefault="00251412" w:rsidP="00832B89">
      <w:pPr>
        <w:pStyle w:val="FootnoteText"/>
        <w:jc w:val="both"/>
        <w:rPr>
          <w:rFonts w:ascii="Arial" w:hAnsi="Arial" w:cs="Arial"/>
        </w:rPr>
      </w:pPr>
    </w:p>
  </w:footnote>
  <w:footnote w:id="10">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Kessl v Ministry of Land of Resettlement</w:t>
      </w:r>
      <w:r w:rsidRPr="00832B89">
        <w:rPr>
          <w:rFonts w:ascii="Arial" w:hAnsi="Arial" w:cs="Arial"/>
        </w:rPr>
        <w:t xml:space="preserve"> and two similar cases 2008 (1) NR 167 (HC) at para 7.</w:t>
      </w:r>
    </w:p>
  </w:footnote>
  <w:footnote w:id="11">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 xml:space="preserve">Denker v Ameib Rhino Sanctuary </w:t>
      </w:r>
      <w:r w:rsidRPr="00832B89">
        <w:rPr>
          <w:rFonts w:ascii="Arial" w:hAnsi="Arial" w:cs="Arial"/>
        </w:rPr>
        <w:t>2017 (4) NR 11273 (SC) at para 5.</w:t>
      </w:r>
    </w:p>
  </w:footnote>
  <w:footnote w:id="12">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Kessl</w:t>
      </w:r>
      <w:r w:rsidRPr="00832B89">
        <w:rPr>
          <w:rFonts w:ascii="Arial" w:hAnsi="Arial" w:cs="Arial"/>
        </w:rPr>
        <w:t xml:space="preserve"> at para 9.</w:t>
      </w:r>
    </w:p>
  </w:footnote>
  <w:footnote w:id="13">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Government Notice 193 of 2004, Gazette 3269 of 1 September 2004.</w:t>
      </w:r>
    </w:p>
  </w:footnote>
  <w:footnote w:id="14">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2012 (2) NR 643 (SC).</w:t>
      </w:r>
    </w:p>
  </w:footnote>
  <w:footnote w:id="15">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At para 8.</w:t>
      </w:r>
    </w:p>
  </w:footnote>
  <w:footnote w:id="16">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S 14 of the Act.</w:t>
      </w:r>
    </w:p>
  </w:footnote>
  <w:footnote w:id="17">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 xml:space="preserve">Schweiger v Müller </w:t>
      </w:r>
      <w:r w:rsidRPr="00832B89">
        <w:rPr>
          <w:rFonts w:ascii="Arial" w:hAnsi="Arial" w:cs="Arial"/>
        </w:rPr>
        <w:t>2013 (1) NR 87 (SC) at para 20.</w:t>
      </w:r>
    </w:p>
  </w:footnote>
  <w:footnote w:id="18">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Denker v Ameib Rhino Sanctuary (Pty) Ltd and others</w:t>
      </w:r>
      <w:r w:rsidRPr="00832B89">
        <w:rPr>
          <w:rFonts w:ascii="Arial" w:hAnsi="Arial" w:cs="Arial"/>
        </w:rPr>
        <w:t xml:space="preserve"> 2017 (4) 1173 (SC) at para 5.</w:t>
      </w:r>
    </w:p>
  </w:footnote>
  <w:footnote w:id="19">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Schweiger</w:t>
      </w:r>
      <w:r w:rsidRPr="00832B89">
        <w:rPr>
          <w:rFonts w:ascii="Arial" w:hAnsi="Arial" w:cs="Arial"/>
        </w:rPr>
        <w:t xml:space="preserve"> at para 20.</w:t>
      </w:r>
    </w:p>
  </w:footnote>
  <w:footnote w:id="20">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 xml:space="preserve">Kessl v Ministry of Lands Resettlement </w:t>
      </w:r>
      <w:r w:rsidRPr="00832B89">
        <w:rPr>
          <w:rFonts w:ascii="Arial" w:hAnsi="Arial" w:cs="Arial"/>
        </w:rPr>
        <w:t>and two similar cases 2008 (1) NR 167 (HC) at para 7.</w:t>
      </w:r>
    </w:p>
  </w:footnote>
  <w:footnote w:id="21">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De Villiers </w:t>
      </w:r>
      <w:r w:rsidRPr="00832B89">
        <w:rPr>
          <w:rFonts w:ascii="Arial" w:hAnsi="Arial" w:cs="Arial"/>
          <w:i/>
        </w:rPr>
        <w:t xml:space="preserve">Land reform: Issues and challenges – A comparative overview of experiences in Zimbabwe, Namibia, South Africa and Australia, </w:t>
      </w:r>
      <w:r w:rsidRPr="00832B89">
        <w:rPr>
          <w:rFonts w:ascii="Arial" w:hAnsi="Arial" w:cs="Arial"/>
        </w:rPr>
        <w:t>Konrad Adenauer Foundation Occasional Papers (Johannesburg 2003 at p 4).</w:t>
      </w:r>
    </w:p>
  </w:footnote>
  <w:footnote w:id="22">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 xml:space="preserve">Communications Regulatory Authority of Namibia (CRAN) v Telecom Namibia Ltd and others </w:t>
      </w:r>
      <w:r w:rsidRPr="00832B89">
        <w:rPr>
          <w:rFonts w:ascii="Arial" w:hAnsi="Arial" w:cs="Arial"/>
        </w:rPr>
        <w:t>Case No SA 62/2016 (11 June 2018).</w:t>
      </w:r>
    </w:p>
  </w:footnote>
  <w:footnote w:id="23">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CRAN</w:t>
      </w:r>
      <w:r w:rsidRPr="00832B89">
        <w:rPr>
          <w:rFonts w:ascii="Arial" w:hAnsi="Arial" w:cs="Arial"/>
        </w:rPr>
        <w:t xml:space="preserve"> at para 16. See also </w:t>
      </w:r>
      <w:r w:rsidRPr="00832B89">
        <w:rPr>
          <w:rFonts w:ascii="Arial" w:hAnsi="Arial" w:cs="Arial"/>
          <w:i/>
        </w:rPr>
        <w:t>Visser v Minister of Finance</w:t>
      </w:r>
      <w:r w:rsidRPr="00832B89">
        <w:rPr>
          <w:rFonts w:ascii="Arial" w:hAnsi="Arial" w:cs="Arial"/>
        </w:rPr>
        <w:t xml:space="preserve"> 2017 (2) NR 359 (SC), at para 13; </w:t>
      </w:r>
      <w:r w:rsidRPr="00832B89">
        <w:rPr>
          <w:rFonts w:ascii="Arial" w:hAnsi="Arial" w:cs="Arial"/>
          <w:i/>
        </w:rPr>
        <w:t>Medical Association of Namibia and another v Minister of Health and Social Services and others</w:t>
      </w:r>
      <w:r w:rsidRPr="00832B89">
        <w:rPr>
          <w:rFonts w:ascii="Arial" w:hAnsi="Arial" w:cs="Arial"/>
        </w:rPr>
        <w:t xml:space="preserve"> 2017 (2) NR 544 (SC) at para 63.</w:t>
      </w:r>
    </w:p>
  </w:footnote>
  <w:footnote w:id="24">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Visser</w:t>
      </w:r>
      <w:r w:rsidRPr="00832B89">
        <w:rPr>
          <w:rFonts w:ascii="Arial" w:hAnsi="Arial" w:cs="Arial"/>
        </w:rPr>
        <w:t xml:space="preserve"> at paras 13-14. </w:t>
      </w:r>
      <w:r w:rsidRPr="00832B89">
        <w:rPr>
          <w:rFonts w:ascii="Arial" w:hAnsi="Arial" w:cs="Arial"/>
          <w:i/>
        </w:rPr>
        <w:t>Medical Association</w:t>
      </w:r>
      <w:r w:rsidRPr="00832B89">
        <w:rPr>
          <w:rFonts w:ascii="Arial" w:hAnsi="Arial" w:cs="Arial"/>
        </w:rPr>
        <w:t xml:space="preserve"> at para 63. See Generally Wade &amp; Forsyth </w:t>
      </w:r>
      <w:r w:rsidRPr="00832B89">
        <w:rPr>
          <w:rFonts w:ascii="Arial" w:hAnsi="Arial" w:cs="Arial"/>
          <w:i/>
        </w:rPr>
        <w:t>Administrative Law</w:t>
      </w:r>
      <w:r w:rsidRPr="00832B89">
        <w:rPr>
          <w:rFonts w:ascii="Arial" w:hAnsi="Arial" w:cs="Arial"/>
        </w:rPr>
        <w:t xml:space="preserve"> (10ed, Oxford University Press) at 731-732.</w:t>
      </w:r>
    </w:p>
  </w:footnote>
  <w:footnote w:id="25">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1999 (1) SA 374 (CC) ft 52 at para 44.</w:t>
      </w:r>
    </w:p>
  </w:footnote>
  <w:footnote w:id="26">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2007 (1) NR 259 (HC).</w:t>
      </w:r>
    </w:p>
  </w:footnote>
  <w:footnote w:id="27">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Du Toit v Voorsitter, Nasionale Vervoerkommissie</w:t>
      </w:r>
      <w:r w:rsidRPr="00832B89">
        <w:rPr>
          <w:rFonts w:ascii="Arial" w:hAnsi="Arial" w:cs="Arial"/>
        </w:rPr>
        <w:t xml:space="preserve"> 1985 (3) SA 56 (SWA).</w:t>
      </w:r>
    </w:p>
  </w:footnote>
  <w:footnote w:id="28">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Minister of Agricultural Economics v Virginia Cheese and Fruit Co 1941 (Pty) Ltd</w:t>
      </w:r>
      <w:r w:rsidRPr="00832B89">
        <w:rPr>
          <w:rFonts w:ascii="Arial" w:hAnsi="Arial" w:cs="Arial"/>
        </w:rPr>
        <w:t xml:space="preserve"> 1961 (4) 415 (T) at 422. </w:t>
      </w:r>
      <w:r w:rsidRPr="00832B89">
        <w:rPr>
          <w:rFonts w:ascii="Arial" w:hAnsi="Arial" w:cs="Arial"/>
          <w:i/>
        </w:rPr>
        <w:t>Nasionale Vervoerkommissie v Sonnex (Edms) Bpk</w:t>
      </w:r>
      <w:r w:rsidRPr="00832B89">
        <w:rPr>
          <w:rFonts w:ascii="Arial" w:hAnsi="Arial" w:cs="Arial"/>
        </w:rPr>
        <w:t xml:space="preserve"> 1986 (3) SA 70 (A) at 83E-H.</w:t>
      </w:r>
    </w:p>
  </w:footnote>
  <w:footnote w:id="29">
    <w:p w:rsidR="00251412" w:rsidRPr="00832B89" w:rsidRDefault="00251412" w:rsidP="00832B89">
      <w:pPr>
        <w:pStyle w:val="FootnoteText"/>
        <w:tabs>
          <w:tab w:val="left" w:pos="1995"/>
        </w:tabs>
        <w:jc w:val="both"/>
        <w:rPr>
          <w:rFonts w:ascii="Arial" w:hAnsi="Arial" w:cs="Arial"/>
        </w:rPr>
      </w:pPr>
      <w:r w:rsidRPr="00832B89">
        <w:rPr>
          <w:rStyle w:val="FootnoteReference"/>
          <w:rFonts w:ascii="Arial" w:hAnsi="Arial" w:cs="Arial"/>
        </w:rPr>
        <w:footnoteRef/>
      </w:r>
      <w:r w:rsidRPr="00832B89">
        <w:rPr>
          <w:rFonts w:ascii="Arial" w:hAnsi="Arial" w:cs="Arial"/>
        </w:rPr>
        <w:t xml:space="preserve"> Act 6 of 1992.</w:t>
      </w:r>
      <w:r w:rsidRPr="00832B89">
        <w:rPr>
          <w:rFonts w:ascii="Arial" w:hAnsi="Arial" w:cs="Arial"/>
        </w:rPr>
        <w:tab/>
      </w:r>
    </w:p>
  </w:footnote>
  <w:footnote w:id="30">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Published in Government Notice No 262 of 2008 in Gazette 4151 of 31 October 2008.</w:t>
      </w:r>
    </w:p>
  </w:footnote>
  <w:footnote w:id="31">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(10</w:t>
      </w:r>
      <w:r w:rsidRPr="00832B89">
        <w:rPr>
          <w:rFonts w:ascii="Arial" w:hAnsi="Arial" w:cs="Arial"/>
          <w:vertAlign w:val="superscript"/>
        </w:rPr>
        <w:t>th</w:t>
      </w:r>
      <w:r w:rsidRPr="00832B89">
        <w:rPr>
          <w:rFonts w:ascii="Arial" w:hAnsi="Arial" w:cs="Arial"/>
        </w:rPr>
        <w:t xml:space="preserve"> ed) Oxford University Press, p 774.</w:t>
      </w:r>
    </w:p>
  </w:footnote>
  <w:footnote w:id="32">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2016 (2) NR 554 (SC).</w:t>
      </w:r>
    </w:p>
  </w:footnote>
  <w:footnote w:id="33">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Section 89(1) of Act 11 of 2007.</w:t>
      </w:r>
    </w:p>
  </w:footnote>
  <w:footnote w:id="34">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At para 42.</w:t>
      </w:r>
    </w:p>
  </w:footnote>
  <w:footnote w:id="35">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At para 44.</w:t>
      </w:r>
    </w:p>
  </w:footnote>
  <w:footnote w:id="36">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Metcash Trading Ltd v Commissioner, SA Revenue Service</w:t>
      </w:r>
      <w:r w:rsidRPr="00832B89">
        <w:rPr>
          <w:rFonts w:ascii="Arial" w:hAnsi="Arial" w:cs="Arial"/>
        </w:rPr>
        <w:t xml:space="preserve"> 2001 (1) SA 1109 (CC) at paras 35-36.</w:t>
      </w:r>
    </w:p>
  </w:footnote>
  <w:footnote w:id="37">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In </w:t>
      </w:r>
      <w:r w:rsidRPr="00832B89">
        <w:rPr>
          <w:rFonts w:ascii="Arial" w:hAnsi="Arial" w:cs="Arial"/>
          <w:i/>
        </w:rPr>
        <w:t>Mugimu v Minister of Finance and others</w:t>
      </w:r>
      <w:r w:rsidRPr="00832B89">
        <w:rPr>
          <w:rFonts w:ascii="Arial" w:hAnsi="Arial" w:cs="Arial"/>
        </w:rPr>
        <w:t xml:space="preserve"> 2017 (3) 670 (HC) at para 77-80.</w:t>
      </w:r>
    </w:p>
  </w:footnote>
  <w:footnote w:id="38">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Section 78 of the Income Tact Act, 24 of 1981.</w:t>
      </w:r>
    </w:p>
  </w:footnote>
  <w:footnote w:id="39">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At para 80.</w:t>
      </w:r>
    </w:p>
  </w:footnote>
  <w:footnote w:id="40">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In Government Gazette No 3269 on 1 September 2004.</w:t>
      </w:r>
    </w:p>
  </w:footnote>
  <w:footnote w:id="41">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Baxter Administrative Law (Juta, 1984) at 718.</w:t>
      </w:r>
    </w:p>
  </w:footnote>
  <w:footnote w:id="42">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 xml:space="preserve">Torbitt and others v International University of Management </w:t>
      </w:r>
      <w:r w:rsidRPr="00832B89">
        <w:rPr>
          <w:rFonts w:ascii="Arial" w:hAnsi="Arial" w:cs="Arial"/>
        </w:rPr>
        <w:t>Case No SA 16/2014 (28 March 2017).</w:t>
      </w:r>
    </w:p>
  </w:footnote>
  <w:footnote w:id="43">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1946 RPD 486 at 490. The approach in </w:t>
      </w:r>
      <w:r w:rsidRPr="00832B89">
        <w:rPr>
          <w:rFonts w:ascii="Arial" w:hAnsi="Arial" w:cs="Arial"/>
          <w:i/>
        </w:rPr>
        <w:t>Volschenk</w:t>
      </w:r>
      <w:r w:rsidRPr="00832B89">
        <w:rPr>
          <w:rFonts w:ascii="Arial" w:hAnsi="Arial" w:cs="Arial"/>
        </w:rPr>
        <w:t xml:space="preserve"> was also approved in this </w:t>
      </w:r>
      <w:r w:rsidRPr="00832B89">
        <w:rPr>
          <w:rFonts w:ascii="Arial" w:hAnsi="Arial" w:cs="Arial"/>
          <w:i/>
        </w:rPr>
        <w:t>Court in Rally for Democracy and Progress v Electoral Commission of Namibia</w:t>
      </w:r>
      <w:r w:rsidRPr="00832B89">
        <w:rPr>
          <w:rFonts w:ascii="Arial" w:hAnsi="Arial" w:cs="Arial"/>
        </w:rPr>
        <w:t xml:space="preserve"> 2010 (2) NR 487 (SC) at para 32.</w:t>
      </w:r>
    </w:p>
  </w:footnote>
  <w:footnote w:id="44">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(Juta, 1984) at p 718.</w:t>
      </w:r>
    </w:p>
  </w:footnote>
  <w:footnote w:id="45">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See </w:t>
      </w:r>
      <w:r w:rsidRPr="00832B89">
        <w:rPr>
          <w:rFonts w:ascii="Arial" w:hAnsi="Arial" w:cs="Arial"/>
          <w:i/>
        </w:rPr>
        <w:t>Baxter</w:t>
      </w:r>
      <w:r w:rsidRPr="00832B89">
        <w:rPr>
          <w:rFonts w:ascii="Arial" w:hAnsi="Arial" w:cs="Arial"/>
        </w:rPr>
        <w:t xml:space="preserve"> at 718 and the authorities collected there.</w:t>
      </w:r>
    </w:p>
  </w:footnote>
  <w:footnote w:id="46">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As he then was, in Case no A 295/2013 on 11 and 18 September 2013.</w:t>
      </w:r>
    </w:p>
  </w:footnote>
  <w:footnote w:id="47">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2009 (6) SA 232 (CC).</w:t>
      </w:r>
    </w:p>
  </w:footnote>
  <w:footnote w:id="48">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 xml:space="preserve">Affordable Medicines Trust and others v Minister of Health and others </w:t>
      </w:r>
      <w:r w:rsidRPr="00832B89">
        <w:rPr>
          <w:rFonts w:ascii="Arial" w:hAnsi="Arial" w:cs="Arial"/>
        </w:rPr>
        <w:t>2006 (3) SA 247 (CC).</w:t>
      </w:r>
    </w:p>
  </w:footnote>
  <w:footnote w:id="49">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At para 24.</w:t>
      </w:r>
    </w:p>
  </w:footnote>
  <w:footnote w:id="50">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w:t>
      </w:r>
      <w:r w:rsidRPr="00832B89">
        <w:rPr>
          <w:rFonts w:ascii="Arial" w:hAnsi="Arial" w:cs="Arial"/>
          <w:i/>
        </w:rPr>
        <w:t>Biowatch</w:t>
      </w:r>
      <w:r w:rsidRPr="00832B89">
        <w:rPr>
          <w:rFonts w:ascii="Arial" w:hAnsi="Arial" w:cs="Arial"/>
        </w:rPr>
        <w:t xml:space="preserve"> at paras 20, 23 -24, </w:t>
      </w:r>
      <w:r w:rsidRPr="00832B89">
        <w:rPr>
          <w:rFonts w:ascii="Arial" w:hAnsi="Arial" w:cs="Arial"/>
          <w:i/>
        </w:rPr>
        <w:t>Lawyers of Human Rights v Minister in the Presidency</w:t>
      </w:r>
      <w:r w:rsidRPr="00832B89">
        <w:rPr>
          <w:rFonts w:ascii="Arial" w:hAnsi="Arial" w:cs="Arial"/>
        </w:rPr>
        <w:t xml:space="preserve"> 2017 (1) SA 645 (CC) at paras 17-18. See also </w:t>
      </w:r>
      <w:r w:rsidRPr="00832B89">
        <w:rPr>
          <w:rFonts w:ascii="Arial" w:hAnsi="Arial" w:cs="Arial"/>
          <w:i/>
        </w:rPr>
        <w:t>Helen Suzman Foundation v President of the Republic of South Africa and others</w:t>
      </w:r>
      <w:r w:rsidRPr="00832B89">
        <w:rPr>
          <w:rFonts w:ascii="Arial" w:hAnsi="Arial" w:cs="Arial"/>
        </w:rPr>
        <w:t>, 2015 (2) SA 1 (CC) at paras 36 to 38.</w:t>
      </w:r>
    </w:p>
  </w:footnote>
  <w:footnote w:id="51">
    <w:p w:rsidR="00251412" w:rsidRPr="00832B89" w:rsidRDefault="00251412" w:rsidP="00832B89">
      <w:pPr>
        <w:pStyle w:val="FootnoteText"/>
        <w:jc w:val="both"/>
        <w:rPr>
          <w:rFonts w:ascii="Arial" w:hAnsi="Arial" w:cs="Arial"/>
        </w:rPr>
      </w:pPr>
      <w:r w:rsidRPr="00832B89">
        <w:rPr>
          <w:rStyle w:val="FootnoteReference"/>
          <w:rFonts w:ascii="Arial" w:hAnsi="Arial" w:cs="Arial"/>
        </w:rPr>
        <w:footnoteRef/>
      </w:r>
      <w:r w:rsidRPr="00832B89">
        <w:rPr>
          <w:rFonts w:ascii="Arial" w:hAnsi="Arial" w:cs="Arial"/>
        </w:rPr>
        <w:t xml:space="preserve"> 1997 NR 112 (SC) at 117-119.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782206"/>
      <w:docPartObj>
        <w:docPartGallery w:val="Page Numbers (Top of Page)"/>
        <w:docPartUnique/>
      </w:docPartObj>
    </w:sdtPr>
    <w:sdtEndPr>
      <w:rPr>
        <w:rFonts w:ascii="Arial" w:hAnsi="Arial" w:cs="Arial"/>
        <w:noProof/>
        <w:sz w:val="24"/>
        <w:szCs w:val="24"/>
      </w:rPr>
    </w:sdtEndPr>
    <w:sdtContent>
      <w:p w:rsidR="00251412" w:rsidRPr="00ED46B6" w:rsidRDefault="00251412">
        <w:pPr>
          <w:pStyle w:val="Header"/>
          <w:jc w:val="right"/>
          <w:rPr>
            <w:rFonts w:ascii="Arial" w:hAnsi="Arial" w:cs="Arial"/>
            <w:sz w:val="24"/>
            <w:szCs w:val="24"/>
          </w:rPr>
        </w:pPr>
        <w:r w:rsidRPr="00ED46B6">
          <w:rPr>
            <w:rFonts w:ascii="Arial" w:hAnsi="Arial" w:cs="Arial"/>
            <w:sz w:val="24"/>
            <w:szCs w:val="24"/>
          </w:rPr>
          <w:fldChar w:fldCharType="begin"/>
        </w:r>
        <w:r w:rsidRPr="00ED46B6">
          <w:rPr>
            <w:rFonts w:ascii="Arial" w:hAnsi="Arial" w:cs="Arial"/>
            <w:sz w:val="24"/>
            <w:szCs w:val="24"/>
          </w:rPr>
          <w:instrText xml:space="preserve"> PAGE   \* MERGEFORMAT </w:instrText>
        </w:r>
        <w:r w:rsidRPr="00ED46B6">
          <w:rPr>
            <w:rFonts w:ascii="Arial" w:hAnsi="Arial" w:cs="Arial"/>
            <w:sz w:val="24"/>
            <w:szCs w:val="24"/>
          </w:rPr>
          <w:fldChar w:fldCharType="separate"/>
        </w:r>
        <w:r w:rsidR="00516B05">
          <w:rPr>
            <w:rFonts w:ascii="Arial" w:hAnsi="Arial" w:cs="Arial"/>
            <w:noProof/>
            <w:sz w:val="24"/>
            <w:szCs w:val="24"/>
          </w:rPr>
          <w:t>20</w:t>
        </w:r>
        <w:r w:rsidRPr="00ED46B6">
          <w:rPr>
            <w:rFonts w:ascii="Arial" w:hAnsi="Arial" w:cs="Arial"/>
            <w:noProof/>
            <w:sz w:val="24"/>
            <w:szCs w:val="24"/>
          </w:rPr>
          <w:fldChar w:fldCharType="end"/>
        </w:r>
      </w:p>
    </w:sdtContent>
  </w:sdt>
  <w:p w:rsidR="00251412" w:rsidRDefault="002514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E6816"/>
    <w:multiLevelType w:val="hybridMultilevel"/>
    <w:tmpl w:val="3ECA1742"/>
    <w:lvl w:ilvl="0" w:tplc="BF22F0D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E922944"/>
    <w:multiLevelType w:val="hybridMultilevel"/>
    <w:tmpl w:val="AD7ABE08"/>
    <w:lvl w:ilvl="0" w:tplc="E7E60FE2">
      <w:start w:val="1"/>
      <w:numFmt w:val="lowerRoman"/>
      <w:lvlText w:val="(%1)"/>
      <w:lvlJc w:val="left"/>
      <w:pPr>
        <w:ind w:left="2565" w:hanging="720"/>
      </w:pPr>
      <w:rPr>
        <w:rFonts w:hint="default"/>
      </w:rPr>
    </w:lvl>
    <w:lvl w:ilvl="1" w:tplc="1C090019" w:tentative="1">
      <w:start w:val="1"/>
      <w:numFmt w:val="lowerLetter"/>
      <w:lvlText w:val="%2."/>
      <w:lvlJc w:val="left"/>
      <w:pPr>
        <w:ind w:left="2925" w:hanging="360"/>
      </w:pPr>
    </w:lvl>
    <w:lvl w:ilvl="2" w:tplc="1C09001B" w:tentative="1">
      <w:start w:val="1"/>
      <w:numFmt w:val="lowerRoman"/>
      <w:lvlText w:val="%3."/>
      <w:lvlJc w:val="right"/>
      <w:pPr>
        <w:ind w:left="3645" w:hanging="180"/>
      </w:pPr>
    </w:lvl>
    <w:lvl w:ilvl="3" w:tplc="1C09000F" w:tentative="1">
      <w:start w:val="1"/>
      <w:numFmt w:val="decimal"/>
      <w:lvlText w:val="%4."/>
      <w:lvlJc w:val="left"/>
      <w:pPr>
        <w:ind w:left="4365" w:hanging="360"/>
      </w:pPr>
    </w:lvl>
    <w:lvl w:ilvl="4" w:tplc="1C090019" w:tentative="1">
      <w:start w:val="1"/>
      <w:numFmt w:val="lowerLetter"/>
      <w:lvlText w:val="%5."/>
      <w:lvlJc w:val="left"/>
      <w:pPr>
        <w:ind w:left="5085" w:hanging="360"/>
      </w:pPr>
    </w:lvl>
    <w:lvl w:ilvl="5" w:tplc="1C09001B" w:tentative="1">
      <w:start w:val="1"/>
      <w:numFmt w:val="lowerRoman"/>
      <w:lvlText w:val="%6."/>
      <w:lvlJc w:val="right"/>
      <w:pPr>
        <w:ind w:left="5805" w:hanging="180"/>
      </w:pPr>
    </w:lvl>
    <w:lvl w:ilvl="6" w:tplc="1C09000F" w:tentative="1">
      <w:start w:val="1"/>
      <w:numFmt w:val="decimal"/>
      <w:lvlText w:val="%7."/>
      <w:lvlJc w:val="left"/>
      <w:pPr>
        <w:ind w:left="6525" w:hanging="360"/>
      </w:pPr>
    </w:lvl>
    <w:lvl w:ilvl="7" w:tplc="1C090019" w:tentative="1">
      <w:start w:val="1"/>
      <w:numFmt w:val="lowerLetter"/>
      <w:lvlText w:val="%8."/>
      <w:lvlJc w:val="left"/>
      <w:pPr>
        <w:ind w:left="7245" w:hanging="360"/>
      </w:pPr>
    </w:lvl>
    <w:lvl w:ilvl="8" w:tplc="1C09001B" w:tentative="1">
      <w:start w:val="1"/>
      <w:numFmt w:val="lowerRoman"/>
      <w:lvlText w:val="%9."/>
      <w:lvlJc w:val="right"/>
      <w:pPr>
        <w:ind w:left="7965" w:hanging="180"/>
      </w:pPr>
    </w:lvl>
  </w:abstractNum>
  <w:abstractNum w:abstractNumId="2" w15:restartNumberingAfterBreak="0">
    <w:nsid w:val="1CAF215E"/>
    <w:multiLevelType w:val="hybridMultilevel"/>
    <w:tmpl w:val="7E6ED998"/>
    <w:lvl w:ilvl="0" w:tplc="BA54A03A">
      <w:start w:val="1"/>
      <w:numFmt w:val="lowerLetter"/>
      <w:lvlText w:val="(%1)"/>
      <w:lvlJc w:val="left"/>
      <w:pPr>
        <w:ind w:left="1845" w:hanging="405"/>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 w15:restartNumberingAfterBreak="0">
    <w:nsid w:val="22B955BA"/>
    <w:multiLevelType w:val="hybridMultilevel"/>
    <w:tmpl w:val="F50C60B8"/>
    <w:lvl w:ilvl="0" w:tplc="B32E96EA">
      <w:start w:val="9"/>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24503766"/>
    <w:multiLevelType w:val="hybridMultilevel"/>
    <w:tmpl w:val="E73C8B68"/>
    <w:lvl w:ilvl="0" w:tplc="B9BE3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B47773"/>
    <w:multiLevelType w:val="hybridMultilevel"/>
    <w:tmpl w:val="32CAC00A"/>
    <w:lvl w:ilvl="0" w:tplc="CF94D642">
      <w:start w:val="1"/>
      <w:numFmt w:val="lowerLetter"/>
      <w:lvlText w:val="(%1)"/>
      <w:lvlJc w:val="left"/>
      <w:pPr>
        <w:ind w:left="1800" w:hanging="360"/>
      </w:pPr>
      <w:rPr>
        <w:rFonts w:asciiTheme="minorHAnsi" w:hAnsiTheme="minorHAnsi" w:cstheme="minorBidi" w:hint="default"/>
        <w:sz w:val="22"/>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6" w15:restartNumberingAfterBreak="0">
    <w:nsid w:val="32036104"/>
    <w:multiLevelType w:val="hybridMultilevel"/>
    <w:tmpl w:val="0B7255D0"/>
    <w:lvl w:ilvl="0" w:tplc="9EE429CE">
      <w:start w:val="1"/>
      <w:numFmt w:val="lowerLetter"/>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7" w15:restartNumberingAfterBreak="0">
    <w:nsid w:val="336E440D"/>
    <w:multiLevelType w:val="hybridMultilevel"/>
    <w:tmpl w:val="5A583AAA"/>
    <w:lvl w:ilvl="0" w:tplc="679E9010">
      <w:start w:val="1"/>
      <w:numFmt w:val="lowerLetter"/>
      <w:lvlText w:val="(%1)"/>
      <w:lvlJc w:val="left"/>
      <w:pPr>
        <w:ind w:left="1800" w:hanging="360"/>
      </w:pPr>
      <w:rPr>
        <w:rFonts w:asciiTheme="minorHAnsi" w:hAnsiTheme="minorHAnsi" w:cstheme="minorBidi" w:hint="default"/>
        <w:sz w:val="22"/>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8" w15:restartNumberingAfterBreak="0">
    <w:nsid w:val="3EE3447A"/>
    <w:multiLevelType w:val="hybridMultilevel"/>
    <w:tmpl w:val="13F0622A"/>
    <w:lvl w:ilvl="0" w:tplc="22546C1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9" w15:restartNumberingAfterBreak="0">
    <w:nsid w:val="445B134E"/>
    <w:multiLevelType w:val="hybridMultilevel"/>
    <w:tmpl w:val="F2043A2C"/>
    <w:lvl w:ilvl="0" w:tplc="710C72B6">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8727573"/>
    <w:multiLevelType w:val="hybridMultilevel"/>
    <w:tmpl w:val="101C6218"/>
    <w:lvl w:ilvl="0" w:tplc="F1586070">
      <w:start w:val="1"/>
      <w:numFmt w:val="lowerRoman"/>
      <w:lvlText w:val="(%1)"/>
      <w:lvlJc w:val="left"/>
      <w:pPr>
        <w:ind w:left="2520" w:hanging="720"/>
      </w:pPr>
      <w:rPr>
        <w:rFonts w:asciiTheme="minorHAnsi" w:hAnsiTheme="minorHAnsi" w:cstheme="minorBidi" w:hint="default"/>
        <w:sz w:val="22"/>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1" w15:restartNumberingAfterBreak="0">
    <w:nsid w:val="51AB5722"/>
    <w:multiLevelType w:val="hybridMultilevel"/>
    <w:tmpl w:val="5AB06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31444C"/>
    <w:multiLevelType w:val="multilevel"/>
    <w:tmpl w:val="9AECF188"/>
    <w:lvl w:ilvl="0">
      <w:start w:val="1"/>
      <w:numFmt w:val="decimal"/>
      <w:lvlText w:val="%1."/>
      <w:lvlJc w:val="left"/>
      <w:pPr>
        <w:ind w:left="1080" w:hanging="360"/>
      </w:pPr>
      <w:rPr>
        <w:rFonts w:hint="default"/>
      </w:rPr>
    </w:lvl>
    <w:lvl w:ilvl="1">
      <w:start w:val="1"/>
      <w:numFmt w:val="decimal"/>
      <w:isLgl/>
      <w:lvlText w:val="%1.%2"/>
      <w:lvlJc w:val="left"/>
      <w:pPr>
        <w:ind w:left="1689" w:hanging="555"/>
      </w:pPr>
      <w:rPr>
        <w:rFonts w:hint="default"/>
      </w:rPr>
    </w:lvl>
    <w:lvl w:ilvl="2">
      <w:start w:val="1"/>
      <w:numFmt w:val="decimal"/>
      <w:isLgl/>
      <w:lvlText w:val="%1.%2.%3"/>
      <w:lvlJc w:val="left"/>
      <w:pPr>
        <w:ind w:left="2268" w:hanging="720"/>
      </w:pPr>
      <w:rPr>
        <w:rFonts w:hint="default"/>
      </w:rPr>
    </w:lvl>
    <w:lvl w:ilvl="3">
      <w:start w:val="1"/>
      <w:numFmt w:val="decimal"/>
      <w:isLgl/>
      <w:lvlText w:val="%1.%2.%3.%4"/>
      <w:lvlJc w:val="left"/>
      <w:pPr>
        <w:ind w:left="3042" w:hanging="1080"/>
      </w:pPr>
      <w:rPr>
        <w:rFonts w:hint="default"/>
      </w:rPr>
    </w:lvl>
    <w:lvl w:ilvl="4">
      <w:start w:val="1"/>
      <w:numFmt w:val="decimal"/>
      <w:isLgl/>
      <w:lvlText w:val="%1.%2.%3.%4.%5"/>
      <w:lvlJc w:val="left"/>
      <w:pPr>
        <w:ind w:left="3456" w:hanging="1080"/>
      </w:pPr>
      <w:rPr>
        <w:rFonts w:hint="default"/>
      </w:rPr>
    </w:lvl>
    <w:lvl w:ilvl="5">
      <w:start w:val="1"/>
      <w:numFmt w:val="decimal"/>
      <w:isLgl/>
      <w:lvlText w:val="%1.%2.%3.%4.%5.%6"/>
      <w:lvlJc w:val="left"/>
      <w:pPr>
        <w:ind w:left="4230" w:hanging="1440"/>
      </w:pPr>
      <w:rPr>
        <w:rFonts w:hint="default"/>
      </w:rPr>
    </w:lvl>
    <w:lvl w:ilvl="6">
      <w:start w:val="1"/>
      <w:numFmt w:val="decimal"/>
      <w:isLgl/>
      <w:lvlText w:val="%1.%2.%3.%4.%5.%6.%7"/>
      <w:lvlJc w:val="left"/>
      <w:pPr>
        <w:ind w:left="4644" w:hanging="1440"/>
      </w:pPr>
      <w:rPr>
        <w:rFonts w:hint="default"/>
      </w:rPr>
    </w:lvl>
    <w:lvl w:ilvl="7">
      <w:start w:val="1"/>
      <w:numFmt w:val="decimal"/>
      <w:isLgl/>
      <w:lvlText w:val="%1.%2.%3.%4.%5.%6.%7.%8"/>
      <w:lvlJc w:val="left"/>
      <w:pPr>
        <w:ind w:left="5418" w:hanging="1800"/>
      </w:pPr>
      <w:rPr>
        <w:rFonts w:hint="default"/>
      </w:rPr>
    </w:lvl>
    <w:lvl w:ilvl="8">
      <w:start w:val="1"/>
      <w:numFmt w:val="decimal"/>
      <w:isLgl/>
      <w:lvlText w:val="%1.%2.%3.%4.%5.%6.%7.%8.%9"/>
      <w:lvlJc w:val="left"/>
      <w:pPr>
        <w:ind w:left="5832" w:hanging="1800"/>
      </w:pPr>
      <w:rPr>
        <w:rFonts w:hint="default"/>
      </w:rPr>
    </w:lvl>
  </w:abstractNum>
  <w:abstractNum w:abstractNumId="13" w15:restartNumberingAfterBreak="0">
    <w:nsid w:val="5C2963F0"/>
    <w:multiLevelType w:val="hybridMultilevel"/>
    <w:tmpl w:val="7AF0D6B0"/>
    <w:lvl w:ilvl="0" w:tplc="EC529DC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4" w15:restartNumberingAfterBreak="0">
    <w:nsid w:val="5F0A4C0F"/>
    <w:multiLevelType w:val="hybridMultilevel"/>
    <w:tmpl w:val="B810B52C"/>
    <w:lvl w:ilvl="0" w:tplc="CDD87D3A">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69DC7DC3"/>
    <w:multiLevelType w:val="hybridMultilevel"/>
    <w:tmpl w:val="C344B2B6"/>
    <w:lvl w:ilvl="0" w:tplc="5470C9C2">
      <w:start w:val="1"/>
      <w:numFmt w:val="lowerRoman"/>
      <w:lvlText w:val="(%1)"/>
      <w:lvlJc w:val="left"/>
      <w:pPr>
        <w:ind w:left="180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15:restartNumberingAfterBreak="0">
    <w:nsid w:val="6CA70BCD"/>
    <w:multiLevelType w:val="hybridMultilevel"/>
    <w:tmpl w:val="6DD2998E"/>
    <w:lvl w:ilvl="0" w:tplc="7B1A0D0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6FA55DD9"/>
    <w:multiLevelType w:val="hybridMultilevel"/>
    <w:tmpl w:val="0F163FE8"/>
    <w:lvl w:ilvl="0" w:tplc="1A3818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1"/>
  </w:num>
  <w:num w:numId="3">
    <w:abstractNumId w:val="17"/>
  </w:num>
  <w:num w:numId="4">
    <w:abstractNumId w:val="9"/>
  </w:num>
  <w:num w:numId="5">
    <w:abstractNumId w:val="12"/>
  </w:num>
  <w:num w:numId="6">
    <w:abstractNumId w:val="0"/>
  </w:num>
  <w:num w:numId="7">
    <w:abstractNumId w:val="14"/>
  </w:num>
  <w:num w:numId="8">
    <w:abstractNumId w:val="3"/>
  </w:num>
  <w:num w:numId="9">
    <w:abstractNumId w:val="15"/>
  </w:num>
  <w:num w:numId="10">
    <w:abstractNumId w:val="8"/>
  </w:num>
  <w:num w:numId="11">
    <w:abstractNumId w:val="2"/>
  </w:num>
  <w:num w:numId="12">
    <w:abstractNumId w:val="1"/>
  </w:num>
  <w:num w:numId="13">
    <w:abstractNumId w:val="5"/>
  </w:num>
  <w:num w:numId="14">
    <w:abstractNumId w:val="10"/>
  </w:num>
  <w:num w:numId="15">
    <w:abstractNumId w:val="7"/>
  </w:num>
  <w:num w:numId="16">
    <w:abstractNumId w:val="6"/>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90"/>
    <w:rsid w:val="0000045D"/>
    <w:rsid w:val="0000225F"/>
    <w:rsid w:val="00012D59"/>
    <w:rsid w:val="00020736"/>
    <w:rsid w:val="00021ECC"/>
    <w:rsid w:val="00022452"/>
    <w:rsid w:val="00022644"/>
    <w:rsid w:val="00026DD5"/>
    <w:rsid w:val="0002744F"/>
    <w:rsid w:val="000276F0"/>
    <w:rsid w:val="00033256"/>
    <w:rsid w:val="000400C4"/>
    <w:rsid w:val="00052B8A"/>
    <w:rsid w:val="00055805"/>
    <w:rsid w:val="00057B7B"/>
    <w:rsid w:val="000610A3"/>
    <w:rsid w:val="000626CC"/>
    <w:rsid w:val="000643B5"/>
    <w:rsid w:val="00065459"/>
    <w:rsid w:val="00066723"/>
    <w:rsid w:val="00073046"/>
    <w:rsid w:val="00076790"/>
    <w:rsid w:val="00076931"/>
    <w:rsid w:val="00076F53"/>
    <w:rsid w:val="00077B52"/>
    <w:rsid w:val="0008009C"/>
    <w:rsid w:val="00083CA3"/>
    <w:rsid w:val="000840CA"/>
    <w:rsid w:val="00084121"/>
    <w:rsid w:val="00090B47"/>
    <w:rsid w:val="00094C79"/>
    <w:rsid w:val="000A3C68"/>
    <w:rsid w:val="000A3CA0"/>
    <w:rsid w:val="000A3F6B"/>
    <w:rsid w:val="000A4DEC"/>
    <w:rsid w:val="000B06C9"/>
    <w:rsid w:val="000B0A11"/>
    <w:rsid w:val="000C2A58"/>
    <w:rsid w:val="000D1ADC"/>
    <w:rsid w:val="000D2762"/>
    <w:rsid w:val="000E008B"/>
    <w:rsid w:val="000E0BFC"/>
    <w:rsid w:val="000E3DF0"/>
    <w:rsid w:val="000F1A59"/>
    <w:rsid w:val="000F61A4"/>
    <w:rsid w:val="000F7D77"/>
    <w:rsid w:val="00101FDB"/>
    <w:rsid w:val="0010254D"/>
    <w:rsid w:val="00107552"/>
    <w:rsid w:val="00112DA2"/>
    <w:rsid w:val="00114682"/>
    <w:rsid w:val="00121972"/>
    <w:rsid w:val="001227DB"/>
    <w:rsid w:val="0012439B"/>
    <w:rsid w:val="00132216"/>
    <w:rsid w:val="001327CE"/>
    <w:rsid w:val="0013608D"/>
    <w:rsid w:val="001423E7"/>
    <w:rsid w:val="00151FFA"/>
    <w:rsid w:val="0017081A"/>
    <w:rsid w:val="00180CE0"/>
    <w:rsid w:val="001838C9"/>
    <w:rsid w:val="00190F70"/>
    <w:rsid w:val="00193825"/>
    <w:rsid w:val="00194D51"/>
    <w:rsid w:val="001957EE"/>
    <w:rsid w:val="001A0E25"/>
    <w:rsid w:val="001A2B18"/>
    <w:rsid w:val="001A4A99"/>
    <w:rsid w:val="001A666A"/>
    <w:rsid w:val="001C25CA"/>
    <w:rsid w:val="001C558D"/>
    <w:rsid w:val="001C7DF6"/>
    <w:rsid w:val="001D08D7"/>
    <w:rsid w:val="001D4856"/>
    <w:rsid w:val="001D4EB4"/>
    <w:rsid w:val="001D58BA"/>
    <w:rsid w:val="001E299E"/>
    <w:rsid w:val="001E3888"/>
    <w:rsid w:val="001E44D9"/>
    <w:rsid w:val="001E4C77"/>
    <w:rsid w:val="001F7942"/>
    <w:rsid w:val="0020312C"/>
    <w:rsid w:val="00207960"/>
    <w:rsid w:val="00207D05"/>
    <w:rsid w:val="00215D8F"/>
    <w:rsid w:val="002212AD"/>
    <w:rsid w:val="00224757"/>
    <w:rsid w:val="002337F7"/>
    <w:rsid w:val="00235E57"/>
    <w:rsid w:val="002441F9"/>
    <w:rsid w:val="002457A4"/>
    <w:rsid w:val="00251412"/>
    <w:rsid w:val="00262874"/>
    <w:rsid w:val="00263481"/>
    <w:rsid w:val="002658ED"/>
    <w:rsid w:val="002662E3"/>
    <w:rsid w:val="00266E2B"/>
    <w:rsid w:val="00273EE9"/>
    <w:rsid w:val="00274F4E"/>
    <w:rsid w:val="00286029"/>
    <w:rsid w:val="002A2B5C"/>
    <w:rsid w:val="002A4C01"/>
    <w:rsid w:val="002B0CAC"/>
    <w:rsid w:val="002B1CE3"/>
    <w:rsid w:val="002C0FC3"/>
    <w:rsid w:val="002C568C"/>
    <w:rsid w:val="002D1B71"/>
    <w:rsid w:val="002D1E38"/>
    <w:rsid w:val="002D1F1E"/>
    <w:rsid w:val="002E426A"/>
    <w:rsid w:val="002E4E6A"/>
    <w:rsid w:val="002E708E"/>
    <w:rsid w:val="003039EF"/>
    <w:rsid w:val="00305FE9"/>
    <w:rsid w:val="00306CA5"/>
    <w:rsid w:val="0030702B"/>
    <w:rsid w:val="0030737F"/>
    <w:rsid w:val="0030775E"/>
    <w:rsid w:val="00310940"/>
    <w:rsid w:val="00317522"/>
    <w:rsid w:val="003212CE"/>
    <w:rsid w:val="00321ED1"/>
    <w:rsid w:val="00324725"/>
    <w:rsid w:val="00333E58"/>
    <w:rsid w:val="0033772A"/>
    <w:rsid w:val="00337BE9"/>
    <w:rsid w:val="00346C25"/>
    <w:rsid w:val="00352985"/>
    <w:rsid w:val="003551AC"/>
    <w:rsid w:val="00357C85"/>
    <w:rsid w:val="00370025"/>
    <w:rsid w:val="003745AA"/>
    <w:rsid w:val="003801E5"/>
    <w:rsid w:val="00381349"/>
    <w:rsid w:val="00395B99"/>
    <w:rsid w:val="003A1DAC"/>
    <w:rsid w:val="003A2101"/>
    <w:rsid w:val="003A31DE"/>
    <w:rsid w:val="003A78BA"/>
    <w:rsid w:val="003B0665"/>
    <w:rsid w:val="003B7CB7"/>
    <w:rsid w:val="003C231E"/>
    <w:rsid w:val="003C4C67"/>
    <w:rsid w:val="003D4A07"/>
    <w:rsid w:val="003D6A9C"/>
    <w:rsid w:val="003D7216"/>
    <w:rsid w:val="003E1056"/>
    <w:rsid w:val="003E289D"/>
    <w:rsid w:val="003E77F5"/>
    <w:rsid w:val="003E7F28"/>
    <w:rsid w:val="003F5965"/>
    <w:rsid w:val="004023CC"/>
    <w:rsid w:val="00406D6A"/>
    <w:rsid w:val="004107D3"/>
    <w:rsid w:val="00413FB2"/>
    <w:rsid w:val="00414C3B"/>
    <w:rsid w:val="004154C8"/>
    <w:rsid w:val="0041592B"/>
    <w:rsid w:val="00417BF1"/>
    <w:rsid w:val="004215C2"/>
    <w:rsid w:val="00427400"/>
    <w:rsid w:val="00431601"/>
    <w:rsid w:val="00436AEB"/>
    <w:rsid w:val="00450915"/>
    <w:rsid w:val="00451609"/>
    <w:rsid w:val="00456D8B"/>
    <w:rsid w:val="00457F24"/>
    <w:rsid w:val="00461B37"/>
    <w:rsid w:val="004738B5"/>
    <w:rsid w:val="00475114"/>
    <w:rsid w:val="00485805"/>
    <w:rsid w:val="00485BB6"/>
    <w:rsid w:val="00492B12"/>
    <w:rsid w:val="00497D6A"/>
    <w:rsid w:val="00497DB0"/>
    <w:rsid w:val="004A5FD0"/>
    <w:rsid w:val="004A60BA"/>
    <w:rsid w:val="004B2A80"/>
    <w:rsid w:val="004B4AEE"/>
    <w:rsid w:val="004B584B"/>
    <w:rsid w:val="004B6477"/>
    <w:rsid w:val="004C0E0B"/>
    <w:rsid w:val="004C4D6B"/>
    <w:rsid w:val="004D1969"/>
    <w:rsid w:val="004E0F45"/>
    <w:rsid w:val="004E2834"/>
    <w:rsid w:val="004E2A24"/>
    <w:rsid w:val="004F0B37"/>
    <w:rsid w:val="004F0C0D"/>
    <w:rsid w:val="004F15DB"/>
    <w:rsid w:val="004F2F0E"/>
    <w:rsid w:val="004F41EF"/>
    <w:rsid w:val="00503269"/>
    <w:rsid w:val="00510B8B"/>
    <w:rsid w:val="00511905"/>
    <w:rsid w:val="00512CAD"/>
    <w:rsid w:val="005157B4"/>
    <w:rsid w:val="005168D5"/>
    <w:rsid w:val="00516B05"/>
    <w:rsid w:val="00516EBB"/>
    <w:rsid w:val="00517EF4"/>
    <w:rsid w:val="00525868"/>
    <w:rsid w:val="0053087E"/>
    <w:rsid w:val="00532C17"/>
    <w:rsid w:val="0055044E"/>
    <w:rsid w:val="00551CFA"/>
    <w:rsid w:val="00552F70"/>
    <w:rsid w:val="005653A5"/>
    <w:rsid w:val="005717E1"/>
    <w:rsid w:val="00571EB3"/>
    <w:rsid w:val="00573289"/>
    <w:rsid w:val="00573E12"/>
    <w:rsid w:val="00576598"/>
    <w:rsid w:val="005821BB"/>
    <w:rsid w:val="00582D9F"/>
    <w:rsid w:val="00584213"/>
    <w:rsid w:val="00584D15"/>
    <w:rsid w:val="0059472F"/>
    <w:rsid w:val="00594EA3"/>
    <w:rsid w:val="005A0E6E"/>
    <w:rsid w:val="005A531E"/>
    <w:rsid w:val="005A73A9"/>
    <w:rsid w:val="005B483F"/>
    <w:rsid w:val="005C0BAB"/>
    <w:rsid w:val="005C38CD"/>
    <w:rsid w:val="005C5B26"/>
    <w:rsid w:val="005D1CBE"/>
    <w:rsid w:val="005D3137"/>
    <w:rsid w:val="005D54CF"/>
    <w:rsid w:val="005D6CA4"/>
    <w:rsid w:val="005D6E01"/>
    <w:rsid w:val="005E22D2"/>
    <w:rsid w:val="005E3190"/>
    <w:rsid w:val="005F2A59"/>
    <w:rsid w:val="006105DE"/>
    <w:rsid w:val="00643C33"/>
    <w:rsid w:val="00644C54"/>
    <w:rsid w:val="006515A9"/>
    <w:rsid w:val="00653E17"/>
    <w:rsid w:val="00662CAC"/>
    <w:rsid w:val="00662F25"/>
    <w:rsid w:val="00670783"/>
    <w:rsid w:val="00673B76"/>
    <w:rsid w:val="00675D54"/>
    <w:rsid w:val="00682C7E"/>
    <w:rsid w:val="00684CD4"/>
    <w:rsid w:val="00692548"/>
    <w:rsid w:val="0069532C"/>
    <w:rsid w:val="006A06DE"/>
    <w:rsid w:val="006A29CE"/>
    <w:rsid w:val="006A368C"/>
    <w:rsid w:val="006A7919"/>
    <w:rsid w:val="006B30C3"/>
    <w:rsid w:val="006B79FA"/>
    <w:rsid w:val="006C367B"/>
    <w:rsid w:val="006C50CB"/>
    <w:rsid w:val="006C7E78"/>
    <w:rsid w:val="006D094B"/>
    <w:rsid w:val="006D7412"/>
    <w:rsid w:val="006F1A08"/>
    <w:rsid w:val="006F4B7D"/>
    <w:rsid w:val="00703AD3"/>
    <w:rsid w:val="00710062"/>
    <w:rsid w:val="007104EF"/>
    <w:rsid w:val="00711D32"/>
    <w:rsid w:val="00712D3F"/>
    <w:rsid w:val="007217AA"/>
    <w:rsid w:val="00721889"/>
    <w:rsid w:val="007233CE"/>
    <w:rsid w:val="00726AAE"/>
    <w:rsid w:val="00730DB7"/>
    <w:rsid w:val="0073324C"/>
    <w:rsid w:val="007402BF"/>
    <w:rsid w:val="00742D5B"/>
    <w:rsid w:val="00745BF5"/>
    <w:rsid w:val="007531D6"/>
    <w:rsid w:val="007545D2"/>
    <w:rsid w:val="00765464"/>
    <w:rsid w:val="00770A11"/>
    <w:rsid w:val="00770A4B"/>
    <w:rsid w:val="00771623"/>
    <w:rsid w:val="0077206A"/>
    <w:rsid w:val="007807B5"/>
    <w:rsid w:val="007841FA"/>
    <w:rsid w:val="0078589B"/>
    <w:rsid w:val="00786153"/>
    <w:rsid w:val="007973FE"/>
    <w:rsid w:val="007A0174"/>
    <w:rsid w:val="007B02CA"/>
    <w:rsid w:val="007B28AB"/>
    <w:rsid w:val="007B65BB"/>
    <w:rsid w:val="007C732D"/>
    <w:rsid w:val="007D5428"/>
    <w:rsid w:val="007E349A"/>
    <w:rsid w:val="007E4BD8"/>
    <w:rsid w:val="007E5D66"/>
    <w:rsid w:val="007F632F"/>
    <w:rsid w:val="007F6CEC"/>
    <w:rsid w:val="007F7AA0"/>
    <w:rsid w:val="00811FDA"/>
    <w:rsid w:val="008150CF"/>
    <w:rsid w:val="00817BE0"/>
    <w:rsid w:val="0082655F"/>
    <w:rsid w:val="00826CA7"/>
    <w:rsid w:val="008301A4"/>
    <w:rsid w:val="00832B89"/>
    <w:rsid w:val="00844974"/>
    <w:rsid w:val="00852FF1"/>
    <w:rsid w:val="00854DD1"/>
    <w:rsid w:val="00856376"/>
    <w:rsid w:val="0086095A"/>
    <w:rsid w:val="00860CDF"/>
    <w:rsid w:val="00860DA9"/>
    <w:rsid w:val="00864712"/>
    <w:rsid w:val="0086653F"/>
    <w:rsid w:val="008730E4"/>
    <w:rsid w:val="00874C97"/>
    <w:rsid w:val="0088149D"/>
    <w:rsid w:val="00894EF0"/>
    <w:rsid w:val="008A1028"/>
    <w:rsid w:val="008A1B3F"/>
    <w:rsid w:val="008A3ADD"/>
    <w:rsid w:val="008A55C8"/>
    <w:rsid w:val="008A6323"/>
    <w:rsid w:val="008B2795"/>
    <w:rsid w:val="008B65FB"/>
    <w:rsid w:val="008C024E"/>
    <w:rsid w:val="008C1A41"/>
    <w:rsid w:val="008C3367"/>
    <w:rsid w:val="008C3CCB"/>
    <w:rsid w:val="008E6FF0"/>
    <w:rsid w:val="008F3E78"/>
    <w:rsid w:val="008F45CA"/>
    <w:rsid w:val="009019E9"/>
    <w:rsid w:val="009021BA"/>
    <w:rsid w:val="00906CCA"/>
    <w:rsid w:val="00915E6F"/>
    <w:rsid w:val="00922881"/>
    <w:rsid w:val="00923375"/>
    <w:rsid w:val="00924775"/>
    <w:rsid w:val="00934B73"/>
    <w:rsid w:val="009435D3"/>
    <w:rsid w:val="00945FA9"/>
    <w:rsid w:val="009509F3"/>
    <w:rsid w:val="009510CB"/>
    <w:rsid w:val="00951A76"/>
    <w:rsid w:val="00960DA5"/>
    <w:rsid w:val="00963EDF"/>
    <w:rsid w:val="009667A6"/>
    <w:rsid w:val="00971638"/>
    <w:rsid w:val="00975830"/>
    <w:rsid w:val="009845A3"/>
    <w:rsid w:val="00985510"/>
    <w:rsid w:val="00985768"/>
    <w:rsid w:val="00986AA9"/>
    <w:rsid w:val="00990236"/>
    <w:rsid w:val="0099048E"/>
    <w:rsid w:val="00991729"/>
    <w:rsid w:val="00997979"/>
    <w:rsid w:val="009A41F4"/>
    <w:rsid w:val="009A5DA5"/>
    <w:rsid w:val="009B3D7F"/>
    <w:rsid w:val="009B6CF2"/>
    <w:rsid w:val="009B712C"/>
    <w:rsid w:val="009C0964"/>
    <w:rsid w:val="009C51C5"/>
    <w:rsid w:val="009C70E6"/>
    <w:rsid w:val="009D0357"/>
    <w:rsid w:val="009E7CF0"/>
    <w:rsid w:val="009F02EB"/>
    <w:rsid w:val="009F7D37"/>
    <w:rsid w:val="00A001B5"/>
    <w:rsid w:val="00A066DB"/>
    <w:rsid w:val="00A106B4"/>
    <w:rsid w:val="00A14789"/>
    <w:rsid w:val="00A20498"/>
    <w:rsid w:val="00A25AFC"/>
    <w:rsid w:val="00A26B21"/>
    <w:rsid w:val="00A44318"/>
    <w:rsid w:val="00A528F9"/>
    <w:rsid w:val="00A5797F"/>
    <w:rsid w:val="00A63522"/>
    <w:rsid w:val="00A6519D"/>
    <w:rsid w:val="00A66719"/>
    <w:rsid w:val="00A8275B"/>
    <w:rsid w:val="00A92144"/>
    <w:rsid w:val="00A94967"/>
    <w:rsid w:val="00AA341C"/>
    <w:rsid w:val="00AA4F7E"/>
    <w:rsid w:val="00AA7AAB"/>
    <w:rsid w:val="00AA7B0A"/>
    <w:rsid w:val="00AB3F69"/>
    <w:rsid w:val="00AB4D39"/>
    <w:rsid w:val="00AC0134"/>
    <w:rsid w:val="00AD6D9C"/>
    <w:rsid w:val="00AD7F23"/>
    <w:rsid w:val="00AE3877"/>
    <w:rsid w:val="00AE4FE7"/>
    <w:rsid w:val="00AE6161"/>
    <w:rsid w:val="00AF2889"/>
    <w:rsid w:val="00AF7B6D"/>
    <w:rsid w:val="00B02B85"/>
    <w:rsid w:val="00B02CAE"/>
    <w:rsid w:val="00B032CF"/>
    <w:rsid w:val="00B040F4"/>
    <w:rsid w:val="00B06B54"/>
    <w:rsid w:val="00B06BAE"/>
    <w:rsid w:val="00B13B3A"/>
    <w:rsid w:val="00B231CE"/>
    <w:rsid w:val="00B26C68"/>
    <w:rsid w:val="00B30010"/>
    <w:rsid w:val="00B30288"/>
    <w:rsid w:val="00B32436"/>
    <w:rsid w:val="00B40CD3"/>
    <w:rsid w:val="00B41390"/>
    <w:rsid w:val="00B44617"/>
    <w:rsid w:val="00B45E78"/>
    <w:rsid w:val="00B5013F"/>
    <w:rsid w:val="00B501DF"/>
    <w:rsid w:val="00B51071"/>
    <w:rsid w:val="00B539E3"/>
    <w:rsid w:val="00B53ED8"/>
    <w:rsid w:val="00B551E3"/>
    <w:rsid w:val="00B55A60"/>
    <w:rsid w:val="00B56B94"/>
    <w:rsid w:val="00B56F30"/>
    <w:rsid w:val="00B57A5E"/>
    <w:rsid w:val="00B65AAF"/>
    <w:rsid w:val="00B665DC"/>
    <w:rsid w:val="00B756B8"/>
    <w:rsid w:val="00B76AE2"/>
    <w:rsid w:val="00B85752"/>
    <w:rsid w:val="00B863A6"/>
    <w:rsid w:val="00B94BF9"/>
    <w:rsid w:val="00B95F70"/>
    <w:rsid w:val="00BA09F8"/>
    <w:rsid w:val="00BA5821"/>
    <w:rsid w:val="00BA6518"/>
    <w:rsid w:val="00BB108F"/>
    <w:rsid w:val="00BC05AF"/>
    <w:rsid w:val="00BD0CB3"/>
    <w:rsid w:val="00BD1121"/>
    <w:rsid w:val="00BD1685"/>
    <w:rsid w:val="00BD516C"/>
    <w:rsid w:val="00BE3CC2"/>
    <w:rsid w:val="00BF0146"/>
    <w:rsid w:val="00BF17E1"/>
    <w:rsid w:val="00BF3B10"/>
    <w:rsid w:val="00BF42DD"/>
    <w:rsid w:val="00C01777"/>
    <w:rsid w:val="00C03DC2"/>
    <w:rsid w:val="00C15776"/>
    <w:rsid w:val="00C17592"/>
    <w:rsid w:val="00C21C41"/>
    <w:rsid w:val="00C25ACC"/>
    <w:rsid w:val="00C27B12"/>
    <w:rsid w:val="00C31EDE"/>
    <w:rsid w:val="00C3277B"/>
    <w:rsid w:val="00C40889"/>
    <w:rsid w:val="00C50740"/>
    <w:rsid w:val="00C522BA"/>
    <w:rsid w:val="00C53D6F"/>
    <w:rsid w:val="00C543B6"/>
    <w:rsid w:val="00C54BFE"/>
    <w:rsid w:val="00C55F13"/>
    <w:rsid w:val="00C5715F"/>
    <w:rsid w:val="00C57BF0"/>
    <w:rsid w:val="00C65A0E"/>
    <w:rsid w:val="00C720A8"/>
    <w:rsid w:val="00C726FE"/>
    <w:rsid w:val="00C7748D"/>
    <w:rsid w:val="00C8032B"/>
    <w:rsid w:val="00C82509"/>
    <w:rsid w:val="00C85199"/>
    <w:rsid w:val="00C87343"/>
    <w:rsid w:val="00CA1800"/>
    <w:rsid w:val="00CA3D0A"/>
    <w:rsid w:val="00CB32A7"/>
    <w:rsid w:val="00CB754A"/>
    <w:rsid w:val="00CC108A"/>
    <w:rsid w:val="00CC7A02"/>
    <w:rsid w:val="00CD1D09"/>
    <w:rsid w:val="00CE3A02"/>
    <w:rsid w:val="00CE6404"/>
    <w:rsid w:val="00D01CF5"/>
    <w:rsid w:val="00D03039"/>
    <w:rsid w:val="00D05BB6"/>
    <w:rsid w:val="00D07A51"/>
    <w:rsid w:val="00D11E3A"/>
    <w:rsid w:val="00D16EC4"/>
    <w:rsid w:val="00D20E1D"/>
    <w:rsid w:val="00D301B6"/>
    <w:rsid w:val="00D3451B"/>
    <w:rsid w:val="00D36DE1"/>
    <w:rsid w:val="00D644FB"/>
    <w:rsid w:val="00D65D0E"/>
    <w:rsid w:val="00D8490D"/>
    <w:rsid w:val="00D84BAC"/>
    <w:rsid w:val="00D85432"/>
    <w:rsid w:val="00D864C0"/>
    <w:rsid w:val="00D86876"/>
    <w:rsid w:val="00D916AA"/>
    <w:rsid w:val="00D95C1E"/>
    <w:rsid w:val="00DA7694"/>
    <w:rsid w:val="00DB39B3"/>
    <w:rsid w:val="00DB77E5"/>
    <w:rsid w:val="00DC0068"/>
    <w:rsid w:val="00DC016F"/>
    <w:rsid w:val="00DC594F"/>
    <w:rsid w:val="00DD7541"/>
    <w:rsid w:val="00DD756E"/>
    <w:rsid w:val="00DE039D"/>
    <w:rsid w:val="00DE1A54"/>
    <w:rsid w:val="00DE4719"/>
    <w:rsid w:val="00DF1F9C"/>
    <w:rsid w:val="00DF2594"/>
    <w:rsid w:val="00E02EDF"/>
    <w:rsid w:val="00E0755A"/>
    <w:rsid w:val="00E10EEA"/>
    <w:rsid w:val="00E16776"/>
    <w:rsid w:val="00E1692E"/>
    <w:rsid w:val="00E1729A"/>
    <w:rsid w:val="00E17E65"/>
    <w:rsid w:val="00E2050D"/>
    <w:rsid w:val="00E3218C"/>
    <w:rsid w:val="00E34535"/>
    <w:rsid w:val="00E350CD"/>
    <w:rsid w:val="00E42454"/>
    <w:rsid w:val="00E454C2"/>
    <w:rsid w:val="00E46EBC"/>
    <w:rsid w:val="00E50E95"/>
    <w:rsid w:val="00E52942"/>
    <w:rsid w:val="00E54957"/>
    <w:rsid w:val="00E62AEF"/>
    <w:rsid w:val="00E63D3D"/>
    <w:rsid w:val="00E65443"/>
    <w:rsid w:val="00E71546"/>
    <w:rsid w:val="00E7527A"/>
    <w:rsid w:val="00E75B15"/>
    <w:rsid w:val="00E76268"/>
    <w:rsid w:val="00E76B62"/>
    <w:rsid w:val="00E76EE1"/>
    <w:rsid w:val="00E770D7"/>
    <w:rsid w:val="00E84B55"/>
    <w:rsid w:val="00EA0987"/>
    <w:rsid w:val="00EA5644"/>
    <w:rsid w:val="00EB403B"/>
    <w:rsid w:val="00EB4AB3"/>
    <w:rsid w:val="00EC48CC"/>
    <w:rsid w:val="00EC5C7D"/>
    <w:rsid w:val="00EC7850"/>
    <w:rsid w:val="00ED04F8"/>
    <w:rsid w:val="00ED46B6"/>
    <w:rsid w:val="00EE7401"/>
    <w:rsid w:val="00EF4407"/>
    <w:rsid w:val="00EF68AC"/>
    <w:rsid w:val="00EF6EF1"/>
    <w:rsid w:val="00F01D36"/>
    <w:rsid w:val="00F03ABF"/>
    <w:rsid w:val="00F221DC"/>
    <w:rsid w:val="00F255FF"/>
    <w:rsid w:val="00F2608D"/>
    <w:rsid w:val="00F35ACA"/>
    <w:rsid w:val="00F36521"/>
    <w:rsid w:val="00F36C83"/>
    <w:rsid w:val="00F41D83"/>
    <w:rsid w:val="00F468F2"/>
    <w:rsid w:val="00F50379"/>
    <w:rsid w:val="00F507DB"/>
    <w:rsid w:val="00F5582B"/>
    <w:rsid w:val="00F560A6"/>
    <w:rsid w:val="00F653DE"/>
    <w:rsid w:val="00F7039E"/>
    <w:rsid w:val="00F7134F"/>
    <w:rsid w:val="00F713EC"/>
    <w:rsid w:val="00F732B8"/>
    <w:rsid w:val="00F741A7"/>
    <w:rsid w:val="00F9698D"/>
    <w:rsid w:val="00F96BC1"/>
    <w:rsid w:val="00FA0DDF"/>
    <w:rsid w:val="00FA147E"/>
    <w:rsid w:val="00FA2A00"/>
    <w:rsid w:val="00FA4B55"/>
    <w:rsid w:val="00FB1B6F"/>
    <w:rsid w:val="00FB31DF"/>
    <w:rsid w:val="00FB5BE0"/>
    <w:rsid w:val="00FC060D"/>
    <w:rsid w:val="00FC4AEE"/>
    <w:rsid w:val="00FC672E"/>
    <w:rsid w:val="00FC6CE4"/>
    <w:rsid w:val="00FC7A6B"/>
    <w:rsid w:val="00FD1E6B"/>
    <w:rsid w:val="00FD247C"/>
    <w:rsid w:val="00FD2C12"/>
    <w:rsid w:val="00FD2E1C"/>
    <w:rsid w:val="00FE5E27"/>
    <w:rsid w:val="00FE5E3B"/>
    <w:rsid w:val="00FE7278"/>
    <w:rsid w:val="00FF3ADC"/>
    <w:rsid w:val="00FF41DA"/>
    <w:rsid w:val="00FF45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FF0FD-89C9-453B-98E9-8FC4B6BF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C7E"/>
    <w:pPr>
      <w:spacing w:after="0" w:line="240" w:lineRule="auto"/>
    </w:pPr>
  </w:style>
  <w:style w:type="paragraph" w:styleId="FootnoteText">
    <w:name w:val="footnote text"/>
    <w:basedOn w:val="Normal"/>
    <w:link w:val="FootnoteTextChar"/>
    <w:uiPriority w:val="99"/>
    <w:semiHidden/>
    <w:unhideWhenUsed/>
    <w:rsid w:val="00B501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013F"/>
    <w:rPr>
      <w:sz w:val="20"/>
      <w:szCs w:val="20"/>
    </w:rPr>
  </w:style>
  <w:style w:type="character" w:styleId="FootnoteReference">
    <w:name w:val="footnote reference"/>
    <w:basedOn w:val="DefaultParagraphFont"/>
    <w:uiPriority w:val="99"/>
    <w:semiHidden/>
    <w:unhideWhenUsed/>
    <w:rsid w:val="00B5013F"/>
    <w:rPr>
      <w:vertAlign w:val="superscript"/>
    </w:rPr>
  </w:style>
  <w:style w:type="paragraph" w:styleId="ListParagraph">
    <w:name w:val="List Paragraph"/>
    <w:basedOn w:val="Normal"/>
    <w:uiPriority w:val="34"/>
    <w:qFormat/>
    <w:rsid w:val="00207D05"/>
    <w:pPr>
      <w:ind w:left="720"/>
      <w:contextualSpacing/>
    </w:pPr>
  </w:style>
  <w:style w:type="character" w:customStyle="1" w:styleId="apple-converted-space">
    <w:name w:val="apple-converted-space"/>
    <w:basedOn w:val="DefaultParagraphFont"/>
    <w:rsid w:val="00DB39B3"/>
  </w:style>
  <w:style w:type="paragraph" w:customStyle="1" w:styleId="jugmentnumbered">
    <w:name w:val="jugmentnumbered"/>
    <w:basedOn w:val="Normal"/>
    <w:rsid w:val="00711D3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nhideWhenUsed/>
    <w:rsid w:val="00F255FF"/>
    <w:pPr>
      <w:tabs>
        <w:tab w:val="center" w:pos="4513"/>
        <w:tab w:val="right" w:pos="9026"/>
      </w:tabs>
      <w:spacing w:after="0" w:line="240" w:lineRule="auto"/>
    </w:pPr>
  </w:style>
  <w:style w:type="character" w:customStyle="1" w:styleId="HeaderChar">
    <w:name w:val="Header Char"/>
    <w:basedOn w:val="DefaultParagraphFont"/>
    <w:link w:val="Header"/>
    <w:rsid w:val="00F255FF"/>
  </w:style>
  <w:style w:type="paragraph" w:styleId="Footer">
    <w:name w:val="footer"/>
    <w:basedOn w:val="Normal"/>
    <w:link w:val="FooterChar"/>
    <w:uiPriority w:val="99"/>
    <w:unhideWhenUsed/>
    <w:rsid w:val="00F25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5FF"/>
  </w:style>
  <w:style w:type="paragraph" w:styleId="BalloonText">
    <w:name w:val="Balloon Text"/>
    <w:basedOn w:val="Normal"/>
    <w:link w:val="BalloonTextChar"/>
    <w:uiPriority w:val="99"/>
    <w:semiHidden/>
    <w:unhideWhenUsed/>
    <w:rsid w:val="00C720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0A8"/>
    <w:rPr>
      <w:rFonts w:ascii="Segoe UI" w:hAnsi="Segoe UI" w:cs="Segoe UI"/>
      <w:sz w:val="18"/>
      <w:szCs w:val="18"/>
    </w:rPr>
  </w:style>
  <w:style w:type="character" w:styleId="CommentReference">
    <w:name w:val="annotation reference"/>
    <w:basedOn w:val="DefaultParagraphFont"/>
    <w:uiPriority w:val="99"/>
    <w:semiHidden/>
    <w:unhideWhenUsed/>
    <w:rsid w:val="00985510"/>
    <w:rPr>
      <w:sz w:val="18"/>
      <w:szCs w:val="18"/>
    </w:rPr>
  </w:style>
  <w:style w:type="paragraph" w:styleId="CommentText">
    <w:name w:val="annotation text"/>
    <w:basedOn w:val="Normal"/>
    <w:link w:val="CommentTextChar"/>
    <w:uiPriority w:val="99"/>
    <w:semiHidden/>
    <w:unhideWhenUsed/>
    <w:rsid w:val="00985510"/>
    <w:pPr>
      <w:spacing w:line="240" w:lineRule="auto"/>
    </w:pPr>
    <w:rPr>
      <w:sz w:val="24"/>
      <w:szCs w:val="24"/>
    </w:rPr>
  </w:style>
  <w:style w:type="character" w:customStyle="1" w:styleId="CommentTextChar">
    <w:name w:val="Comment Text Char"/>
    <w:basedOn w:val="DefaultParagraphFont"/>
    <w:link w:val="CommentText"/>
    <w:uiPriority w:val="99"/>
    <w:semiHidden/>
    <w:rsid w:val="00985510"/>
    <w:rPr>
      <w:sz w:val="24"/>
      <w:szCs w:val="24"/>
    </w:rPr>
  </w:style>
  <w:style w:type="paragraph" w:styleId="CommentSubject">
    <w:name w:val="annotation subject"/>
    <w:basedOn w:val="CommentText"/>
    <w:next w:val="CommentText"/>
    <w:link w:val="CommentSubjectChar"/>
    <w:uiPriority w:val="99"/>
    <w:semiHidden/>
    <w:unhideWhenUsed/>
    <w:rsid w:val="00985510"/>
    <w:rPr>
      <w:b/>
      <w:bCs/>
      <w:sz w:val="20"/>
      <w:szCs w:val="20"/>
    </w:rPr>
  </w:style>
  <w:style w:type="character" w:customStyle="1" w:styleId="CommentSubjectChar">
    <w:name w:val="Comment Subject Char"/>
    <w:basedOn w:val="CommentTextChar"/>
    <w:link w:val="CommentSubject"/>
    <w:uiPriority w:val="99"/>
    <w:semiHidden/>
    <w:rsid w:val="00985510"/>
    <w:rPr>
      <w:b/>
      <w:bCs/>
      <w:sz w:val="20"/>
      <w:szCs w:val="20"/>
    </w:rPr>
  </w:style>
  <w:style w:type="character" w:styleId="Emphasis">
    <w:name w:val="Emphasis"/>
    <w:basedOn w:val="DefaultParagraphFont"/>
    <w:uiPriority w:val="20"/>
    <w:qFormat/>
    <w:rsid w:val="001C25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582FC-6015-42C1-95E9-16ACA30E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50</Pages>
  <Words>11386</Words>
  <Characters>64905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Neliswa Tjahikika</cp:lastModifiedBy>
  <cp:revision>2</cp:revision>
  <cp:lastPrinted>2018-07-26T08:44:00Z</cp:lastPrinted>
  <dcterms:created xsi:type="dcterms:W3CDTF">2018-07-27T09:37:00Z</dcterms:created>
  <dcterms:modified xsi:type="dcterms:W3CDTF">2018-07-27T09:37:00Z</dcterms:modified>
</cp:coreProperties>
</file>