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Probe</w:t>
      </w:r>
    </w:p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</w:tcPr>
          <w:p>
            <w:pPr/>
            <w:r>
              <w:t xml:space="preserve">Left cell</w:t>
            </w:r>
          </w:p>
        </w:tc>
        <w:tc>
          <w:tcPr>
            <w:tcW w:w="4680" w:type="dxa"/>
          </w:tcPr>
          <w:p>
            <w:pPr/>
            <w:r>
              <w:t xml:space="preserve">Right cell</w:t>
            </w:r>
          </w:p>
        </w:tc>
      </w:tr>
    </w:tbl>
    <w:p>
      <w:pPr/>
      <w:r>
        <w:t xml:space="preserve">Below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</w:style>
  <w:style w:type="paragraph" w:styleId="Caption">
    <w:name w:val="caption"/>
    <w:basedOn w:val="Normal"/>
  </w:style>
  <w:style w:type="table" w:default="1" w:styleId="ImportedDefault">
    <w:name w:val="Grid Probe"/>
    <w:tblPr>
      <w:tblCellMar>
        <w:top w:w="2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