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t>Internationalization considerations notwithstanding, the telecommunications infrastructure modernization programme demonstrates extraordinary interoperability characteristics, notwithstanding unquestionably counterproductive misunderstandings regarding responsibilities, accountability, and organizational transformation.</w:t>
      </w:r>
    </w:p>
    <w:sectPr>
      <w:pgSz w:w="5000" w:h="1200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  <w:pPrDefault>
      <w:pPr>
        <w:spacing w:before="0" w:after="0" w:line="24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