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12pt empty mark</w:t>
      </w:r>
    </w:p>
    <w:p>
      <w:pPr>
        <w:rPr>
          <w:rFonts w:ascii="Arial" w:hAnsi="Arial"/>
          <w:sz w:val="24"/>
        </w:rPr>
      </w:pPr>
    </w:p>
    <w:p>
      <w:r>
        <w:t>After 12pt empty mark</w:t>
      </w:r>
    </w:p>
    <w:p>
      <w:r>
        <w:t>Before 20pt empty mark</w:t>
      </w:r>
    </w:p>
    <w:p>
      <w:pPr>
        <w:rPr>
          <w:rFonts w:ascii="Arial" w:hAnsi="Arial"/>
          <w:sz w:val="40"/>
        </w:rPr>
      </w:pPr>
    </w:p>
    <w:p>
      <w:r>
        <w:t>After 20pt empty mark</w:t>
      </w:r>
    </w:p>
    <w:sectPr>
      <w:pgSz w:w="7000" w:h="12000"/>
      <w:pgMar w:top="720" w:right="720" w:bottom="720" w:left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