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revenue and operating expenses</w:t>
      </w:r>
    </w:p>
    <w:p>
      <w:r>
        <w:t>International documentation and collaboration</w:t>
      </w:r>
    </w:p>
    <w:p>
      <w:r>
        <w:t>Narrow type keeps this longer line inside the available text width.</w:t>
      </w:r>
    </w:p>
    <w:sectPr>
      <w:pgSz w:w="8000" w:h="12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autoHyphenation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 Narrow" w:hAnsi="Aptos Narrow"/>
        <w:sz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