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A44"/>
          <w:sz w:val="64"/>
          <w:szCs w:val="64"/>
        </w:rPr>
        <w:t xml:space="preserve">SIGNALFORGE AI</w:t>
      </w:r>
    </w:p>
    <w:p>
      <w:pPr>
        <w:spacing w:after="100" w:before="200"/>
        <w:jc w:val="center"/>
      </w:pPr>
      <w:r>
        <w:rPr>
          <w:b/>
          <w:bCs/>
          <w:color w:val="2F5597"/>
          <w:sz w:val="30"/>
          <w:szCs w:val="30"/>
        </w:rPr>
        <w:t xml:space="preserve">Enterprise Trading Intelligence Platform</w:t>
      </w:r>
    </w:p>
    <w:p>
      <w:pPr>
        <w:spacing w:after="1600"/>
        <w:jc w:val="center"/>
      </w:pPr>
      <w:r>
        <w:rPr>
          <w:i/>
          <w:iCs/>
          <w:color w:val="5A5A5A"/>
          <w:sz w:val="22"/>
          <w:szCs w:val="22"/>
        </w:rPr>
        <w:t xml:space="preserve">Complete System Architecture &amp; Technical Design Documentation</w:t>
      </w:r>
    </w:p>
    <w:p>
      <w:pPr>
        <w:spacing w:after="40"/>
        <w:jc w:val="center"/>
      </w:pPr>
      <w:r>
        <w:rPr>
          <w:b/>
          <w:bCs/>
          <w:color w:val="1F2A44"/>
          <w:sz w:val="20"/>
          <w:szCs w:val="20"/>
        </w:rPr>
        <w:t xml:space="preserve">Version 1.0  –  Final</w:t>
      </w:r>
    </w:p>
    <w:p>
      <w:pPr>
        <w:spacing w:after="40"/>
        <w:jc w:val="center"/>
      </w:pPr>
      <w:r>
        <w:rPr>
          <w:color w:val="5A5A5A"/>
          <w:sz w:val="20"/>
          <w:szCs w:val="20"/>
        </w:rPr>
        <w:t xml:space="preserve">Prepared: August 2026</w:t>
      </w:r>
    </w:p>
    <w:p>
      <w:pPr>
        <w:spacing w:after="40"/>
        <w:jc w:val="center"/>
      </w:pPr>
      <w:r>
        <w:rPr>
          <w:color w:val="5A5A5A"/>
          <w:sz w:val="20"/>
          <w:szCs w:val="20"/>
        </w:rPr>
        <w:t xml:space="preserve">Classification: Internal – Engineering &amp; Product</w:t>
      </w:r>
    </w:p>
    <w:p>
      <w:r>
        <w:br w:type="page"/>
      </w:r>
    </w:p>
    <w:p>
      <w:pPr>
        <w:pStyle w:val="Heading1"/>
        <w:pBdr>
          <w:bottom w:val="single" w:color="2F5597" w:sz="6" w:space="4"/>
        </w:pBdr>
        <w:spacing w:after="200" w:before="480"/>
      </w:pPr>
      <w:r>
        <w:rPr>
          <w:b/>
          <w:bCs/>
          <w:color w:val="1F2A44"/>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F5597" w:val="clear"/>
            <w:tcMar>
              <w:top w:type="dxa" w:w="80"/>
              <w:left w:type="dxa" w:w="120"/>
              <w:bottom w:type="dxa" w:w="80"/>
              <w:right w:type="dxa" w:w="120"/>
            </w:tcMar>
            <w:vAlign w:val="center"/>
          </w:tcPr>
          <w:p>
            <w:r>
              <w:rPr>
                <w:b/>
                <w:bCs/>
                <w:color w:val="FFFFFF"/>
                <w:sz w:val="20"/>
                <w:szCs w:val="20"/>
              </w:rPr>
              <w:t xml:space="preserve">Document Title</w:t>
            </w:r>
          </w:p>
        </w:tc>
        <w:tc>
          <w:tcPr>
            <w:tcW w:type="dxa" w:w="7000"/>
            <w:shd w:fill="2F5597" w:val="clear"/>
            <w:tcMar>
              <w:top w:type="dxa" w:w="80"/>
              <w:left w:type="dxa" w:w="120"/>
              <w:bottom w:type="dxa" w:w="80"/>
              <w:right w:type="dxa" w:w="120"/>
            </w:tcMar>
            <w:vAlign w:val="center"/>
          </w:tcPr>
          <w:p>
            <w:r>
              <w:rPr>
                <w:b/>
                <w:bCs/>
                <w:color w:val="FFFFFF"/>
                <w:sz w:val="20"/>
                <w:szCs w:val="20"/>
              </w:rPr>
              <w:t xml:space="preserve">SignalForge AI – Complete Platform Architecture</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Version</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1.0 (Final)</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Status</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Approved for Engineering Use</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Owner</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Product &amp; Engineering Architecture</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Scope</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Full-platform design: signal ingestion, AI intelligence, execution, risk, copy trading, referrals, KYC, database, and scalability architecture</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Audience</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Engineering, Product, Compliance, Infrastructure, QA</w:t>
            </w:r>
          </w:p>
        </w:tc>
      </w:tr>
    </w:tbl>
    <w:p>
      <w:pPr>
        <w:spacing w:after="100"/>
      </w:pPr>
    </w:p>
    <w:p>
      <w:pPr>
        <w:pStyle w:val="Heading2"/>
        <w:spacing w:after="140" w:before="320"/>
      </w:pPr>
      <w:r>
        <w:rPr>
          <w:b/>
          <w:bCs/>
          <w:color w:val="2F5597"/>
          <w:sz w:val="24"/>
          <w:szCs w:val="24"/>
        </w:rPr>
        <w:t xml:space="preserve">Revision Notes</w:t>
      </w:r>
    </w:p>
    <w:p>
      <w:pPr>
        <w:spacing w:after="140" w:line="276"/>
      </w:pPr>
      <w:r>
        <w:rPr>
          <w:color w:val="222222"/>
          <w:sz w:val="21"/>
          <w:szCs w:val="21"/>
        </w:rPr>
        <w:t xml:space="preserve">This document consolidates the SignalForge working architecture notes into a single authoritative specification. It incorporates all core system designs together with the recommended enhancements identified during design review: the Signal Classification Engine, Trade Matching Engine, Provider Sandbox, and the platform-wide Event Bus.</w:t>
      </w:r>
    </w:p>
    <w:p>
      <w:r>
        <w:br w:type="page"/>
      </w:r>
    </w:p>
    <w:p>
      <w:pPr>
        <w:pStyle w:val="Heading1"/>
        <w:pBdr>
          <w:bottom w:val="single" w:color="2F5597" w:sz="6" w:space="4"/>
        </w:pBdr>
        <w:spacing w:after="200" w:before="480"/>
      </w:pPr>
      <w:r>
        <w:rPr>
          <w:b/>
          <w:bCs/>
          <w:color w:val="1F2A4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F5597" w:sz="6" w:space="4"/>
        </w:pBdr>
        <w:spacing w:after="200" w:before="480"/>
      </w:pPr>
      <w:r>
        <w:rPr>
          <w:b/>
          <w:bCs/>
          <w:color w:val="1F2A44"/>
          <w:sz w:val="30"/>
          <w:szCs w:val="30"/>
        </w:rPr>
        <w:t xml:space="preserve">1. Executive Summary</w:t>
      </w:r>
    </w:p>
    <w:p>
      <w:pPr>
        <w:spacing w:after="140" w:line="276"/>
      </w:pPr>
      <w:r>
        <w:rPr>
          <w:color w:val="222222"/>
          <w:sz w:val="21"/>
          <w:szCs w:val="21"/>
        </w:rPr>
        <w:t xml:space="preserve">SignalForge AI is an enterprise-grade trading intelligence platform that ingests trading signals from multiple messaging and market sources, uses AI to understand and standardize them regardless of writing style, applies configurable risk and automation rules, and executes trades on connected brokerage accounts via a cloud execution layer — with no expert advisor, VPS, or local terminal required.</w:t>
      </w:r>
    </w:p>
    <w:p>
      <w:pPr>
        <w:spacing w:after="140" w:line="276"/>
      </w:pPr>
      <w:r>
        <w:rPr>
          <w:color w:val="222222"/>
          <w:sz w:val="21"/>
          <w:szCs w:val="21"/>
        </w:rPr>
        <w:t xml:space="preserve">Beyond signal automation, the platform provides a full business layer: a provider and trader marketplace, subscription billing, a performance-based referral program, mandatory identity verification (KYC), and enterprise analytics. The system is designed from the ground up for horizontal scale — supporting thousands of concurrent signal sources and hundreds of thousands of subscriber-specific trade executions per event.</w:t>
      </w:r>
    </w:p>
    <w:p>
      <w:pPr>
        <w:pStyle w:val="Heading2"/>
        <w:spacing w:after="140" w:before="320"/>
      </w:pPr>
      <w:r>
        <w:rPr>
          <w:b/>
          <w:bCs/>
          <w:color w:val="2F5597"/>
          <w:sz w:val="24"/>
          <w:szCs w:val="24"/>
        </w:rPr>
        <w:t xml:space="preserve">1.1 Core Design Principles</w:t>
      </w:r>
    </w:p>
    <w:p>
      <w:pPr>
        <w:pStyle w:val="ListParagraph"/>
        <w:numPr>
          <w:ilvl w:val="0"/>
          <w:numId w:val="2"/>
        </w:numPr>
        <w:spacing w:after="80"/>
      </w:pPr>
      <w:r>
        <w:rPr>
          <w:sz w:val="21"/>
          <w:szCs w:val="21"/>
        </w:rPr>
        <w:t xml:space="preserve">Event-driven throughout — every meaningful action (signal received, risk approved, trade executed, subscription paid) is an event that downstream services subscribe to independently.</w:t>
      </w:r>
    </w:p>
    <w:p>
      <w:pPr>
        <w:pStyle w:val="ListParagraph"/>
        <w:numPr>
          <w:ilvl w:val="0"/>
          <w:numId w:val="2"/>
        </w:numPr>
        <w:spacing w:after="80"/>
      </w:pPr>
      <w:r>
        <w:rPr>
          <w:sz w:val="21"/>
          <w:szCs w:val="21"/>
        </w:rPr>
        <w:t xml:space="preserve">Separation of concerns — signal understanding, risk decisioning, automation, and execution are distinct services connected by a standardized signal object.</w:t>
      </w:r>
    </w:p>
    <w:p>
      <w:pPr>
        <w:pStyle w:val="ListParagraph"/>
        <w:numPr>
          <w:ilvl w:val="0"/>
          <w:numId w:val="2"/>
        </w:numPr>
        <w:spacing w:after="80"/>
      </w:pPr>
      <w:r>
        <w:rPr>
          <w:sz w:val="21"/>
          <w:szCs w:val="21"/>
        </w:rPr>
        <w:t xml:space="preserve">SignalForge owns the data — MetaApi (or any future broker gateway) is treated purely as an execution gateway; positions, history, and analytics live in SignalForge's own database so the execution provider can be replaced without rebuilding the platform.</w:t>
      </w:r>
    </w:p>
    <w:p>
      <w:pPr>
        <w:pStyle w:val="ListParagraph"/>
        <w:numPr>
          <w:ilvl w:val="0"/>
          <w:numId w:val="2"/>
        </w:numPr>
        <w:spacing w:after="80"/>
      </w:pPr>
      <w:r>
        <w:rPr>
          <w:sz w:val="21"/>
          <w:szCs w:val="21"/>
        </w:rPr>
        <w:t xml:space="preserve">Nothing executes until it is understood, approved, and authorized — raw messages are always persisted first; AI classification, risk checks, and KYC status gate every financial action.</w:t>
      </w:r>
    </w:p>
    <w:p>
      <w:pPr>
        <w:pStyle w:val="ListParagraph"/>
        <w:numPr>
          <w:ilvl w:val="0"/>
          <w:numId w:val="2"/>
        </w:numPr>
        <w:spacing w:after="80"/>
      </w:pPr>
      <w:r>
        <w:rPr>
          <w:sz w:val="21"/>
          <w:szCs w:val="21"/>
        </w:rPr>
        <w:t xml:space="preserve">One signal, many personalized orders — a provider signal is processed once and fanned out to thousands of subscribers, each with independent risk, account, and lot-sizing configuration.</w:t>
      </w:r>
    </w:p>
    <w:p>
      <w:pPr>
        <w:pStyle w:val="ListParagraph"/>
        <w:numPr>
          <w:ilvl w:val="0"/>
          <w:numId w:val="2"/>
        </w:numPr>
        <w:spacing w:after="80"/>
      </w:pPr>
      <w:r>
        <w:rPr>
          <w:sz w:val="21"/>
          <w:szCs w:val="21"/>
        </w:rPr>
        <w:t xml:space="preserve">Full auditability — every trade, KYC decision, and referral reward is backed by an explicit event/ledger trail; balances are never mutated directly.</w:t>
      </w:r>
    </w:p>
    <w:p>
      <w:pPr>
        <w:pStyle w:val="Heading1"/>
        <w:pBdr>
          <w:bottom w:val="single" w:color="2F5597" w:sz="6" w:space="4"/>
        </w:pBdr>
        <w:spacing w:after="200" w:before="480"/>
      </w:pPr>
      <w:r>
        <w:rPr>
          <w:b/>
          <w:bCs/>
          <w:color w:val="1F2A44"/>
          <w:sz w:val="30"/>
          <w:szCs w:val="30"/>
        </w:rPr>
        <w:t xml:space="preserve">2. System Overview &amp; High-Level Architecture</w:t>
      </w:r>
    </w:p>
    <w:p>
      <w:pPr>
        <w:spacing w:after="140" w:line="276"/>
      </w:pPr>
      <w:r>
        <w:rPr>
          <w:color w:val="222222"/>
          <w:sz w:val="21"/>
          <w:szCs w:val="21"/>
        </w:rPr>
        <w:t xml:space="preserve">SignalForge is organized as six major systems that data flows through in sequence, from raw signal capture to executed, tracked, and monetized trades.</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 Sources   →   Signal Collection Layer   →   AI Understanding Engine   →   Provider DNA Engine   →   Standardized Signal Object   →   Risk Decision Engine   →   Automation Decision Engine   →   Execution Service (MetaApi)   →   MT4/MT5 Brokers   →   Analytics + Marketplace</w:t>
      </w:r>
    </w:p>
    <w:p>
      <w:pPr>
        <w:pStyle w:val="Heading2"/>
        <w:spacing w:after="140" w:before="320"/>
      </w:pPr>
      <w:r>
        <w:rPr>
          <w:b/>
          <w:bCs/>
          <w:color w:val="2F5597"/>
          <w:sz w:val="24"/>
          <w:szCs w:val="24"/>
        </w:rPr>
        <w:t xml:space="preserve">2.1 Signal Sources</w:t>
      </w:r>
    </w:p>
    <w:p>
      <w:pPr>
        <w:spacing w:after="140" w:line="276"/>
      </w:pPr>
      <w:r>
        <w:rPr>
          <w:color w:val="222222"/>
          <w:sz w:val="21"/>
          <w:szCs w:val="21"/>
        </w:rPr>
        <w:t xml:space="preserve">The platform ingests from six source types, each normalized into a common event before any processing occurs:</w:t>
      </w:r>
    </w:p>
    <w:p>
      <w:pPr>
        <w:pStyle w:val="ListParagraph"/>
        <w:numPr>
          <w:ilvl w:val="0"/>
          <w:numId w:val="2"/>
        </w:numPr>
        <w:spacing w:after="80"/>
      </w:pPr>
      <w:r>
        <w:rPr>
          <w:sz w:val="21"/>
          <w:szCs w:val="21"/>
        </w:rPr>
        <w:t xml:space="preserve">Telegram</w:t>
      </w:r>
    </w:p>
    <w:p>
      <w:pPr>
        <w:pStyle w:val="ListParagraph"/>
        <w:numPr>
          <w:ilvl w:val="0"/>
          <w:numId w:val="2"/>
        </w:numPr>
        <w:spacing w:after="80"/>
      </w:pPr>
      <w:r>
        <w:rPr>
          <w:sz w:val="21"/>
          <w:szCs w:val="21"/>
        </w:rPr>
        <w:t xml:space="preserve">Discord</w:t>
      </w:r>
    </w:p>
    <w:p>
      <w:pPr>
        <w:pStyle w:val="ListParagraph"/>
        <w:numPr>
          <w:ilvl w:val="0"/>
          <w:numId w:val="2"/>
        </w:numPr>
        <w:spacing w:after="80"/>
      </w:pPr>
      <w:r>
        <w:rPr>
          <w:sz w:val="21"/>
          <w:szCs w:val="21"/>
        </w:rPr>
        <w:t xml:space="preserve">WhatsApp</w:t>
      </w:r>
    </w:p>
    <w:p>
      <w:pPr>
        <w:pStyle w:val="ListParagraph"/>
        <w:numPr>
          <w:ilvl w:val="0"/>
          <w:numId w:val="2"/>
        </w:numPr>
        <w:spacing w:after="80"/>
      </w:pPr>
      <w:r>
        <w:rPr>
          <w:sz w:val="21"/>
          <w:szCs w:val="21"/>
        </w:rPr>
        <w:t xml:space="preserve">TradingView (webhook)</w:t>
      </w:r>
    </w:p>
    <w:p>
      <w:pPr>
        <w:pStyle w:val="ListParagraph"/>
        <w:numPr>
          <w:ilvl w:val="0"/>
          <w:numId w:val="2"/>
        </w:numPr>
        <w:spacing w:after="80"/>
      </w:pPr>
      <w:r>
        <w:rPr>
          <w:sz w:val="21"/>
          <w:szCs w:val="21"/>
        </w:rPr>
        <w:t xml:space="preserve">REST API (direct provider integration)</w:t>
      </w:r>
    </w:p>
    <w:p>
      <w:pPr>
        <w:pStyle w:val="ListParagraph"/>
        <w:numPr>
          <w:ilvl w:val="0"/>
          <w:numId w:val="2"/>
        </w:numPr>
        <w:spacing w:after="80"/>
      </w:pPr>
      <w:r>
        <w:rPr>
          <w:sz w:val="21"/>
          <w:szCs w:val="21"/>
        </w:rPr>
        <w:t xml:space="preserve">Email (IMAP/SMTP)</w:t>
      </w:r>
    </w:p>
    <w:p>
      <w:pPr>
        <w:pStyle w:val="Heading2"/>
        <w:spacing w:after="140" w:before="320"/>
      </w:pPr>
      <w:r>
        <w:rPr>
          <w:b/>
          <w:bCs/>
          <w:color w:val="2F5597"/>
          <w:sz w:val="24"/>
          <w:szCs w:val="24"/>
        </w:rPr>
        <w:t xml:space="preserve">2.2 Platform Domains</w:t>
      </w:r>
    </w:p>
    <w:p>
      <w:pPr>
        <w:spacing w:after="140" w:line="276"/>
      </w:pPr>
      <w:r>
        <w:rPr>
          <w:color w:val="222222"/>
          <w:sz w:val="21"/>
          <w:szCs w:val="21"/>
        </w:rPr>
        <w:t xml:space="preserve">At the highest level the platform is composed of the following domains, each detailed in later 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F5597" w:val="clear"/>
            <w:tcMar>
              <w:top w:type="dxa" w:w="90"/>
              <w:left w:type="dxa" w:w="110"/>
              <w:bottom w:type="dxa" w:w="90"/>
              <w:right w:type="dxa" w:w="110"/>
            </w:tcMar>
            <w:vAlign w:val="center"/>
          </w:tcPr>
          <w:p>
            <w:r>
              <w:rPr>
                <w:b/>
                <w:bCs/>
                <w:color w:val="FFFFFF"/>
                <w:sz w:val="19"/>
                <w:szCs w:val="19"/>
              </w:rPr>
              <w:t xml:space="preserve">Domain</w:t>
            </w:r>
          </w:p>
        </w:tc>
        <w:tc>
          <w:tcPr>
            <w:tcW w:type="dxa" w:w="6200"/>
            <w:shd w:fill="2F5597" w:val="clear"/>
            <w:tcMar>
              <w:top w:type="dxa" w:w="90"/>
              <w:left w:type="dxa" w:w="110"/>
              <w:bottom w:type="dxa" w:w="90"/>
              <w:right w:type="dxa" w:w="110"/>
            </w:tcMar>
            <w:vAlign w:val="center"/>
          </w:tcPr>
          <w:p>
            <w:r>
              <w:rPr>
                <w:b/>
                <w:bCs/>
                <w:color w:val="FFFFFF"/>
                <w:sz w:val="19"/>
                <w:szCs w:val="19"/>
              </w:rPr>
              <w:t xml:space="preserve">Responsibility</w:t>
            </w:r>
          </w:p>
        </w:tc>
      </w:tr>
      <w:tr>
        <w:tc>
          <w:tcPr>
            <w:tcW w:type="dxa" w:w="3200"/>
            <w:shd w:fill="FFFFFF" w:val="clear"/>
            <w:tcMar>
              <w:top w:type="dxa" w:w="70"/>
              <w:left w:type="dxa" w:w="110"/>
              <w:bottom w:type="dxa" w:w="70"/>
              <w:right w:type="dxa" w:w="110"/>
            </w:tcMar>
            <w:vAlign w:val="center"/>
          </w:tcPr>
          <w:p>
            <w:r>
              <w:rPr>
                <w:sz w:val="19"/>
                <w:szCs w:val="19"/>
              </w:rPr>
              <w:t xml:space="preserve">Identity &amp; Access</w:t>
            </w:r>
          </w:p>
        </w:tc>
        <w:tc>
          <w:tcPr>
            <w:tcW w:type="dxa" w:w="6200"/>
            <w:shd w:fill="FFFFFF" w:val="clear"/>
            <w:tcMar>
              <w:top w:type="dxa" w:w="70"/>
              <w:left w:type="dxa" w:w="110"/>
              <w:bottom w:type="dxa" w:w="70"/>
              <w:right w:type="dxa" w:w="110"/>
            </w:tcMar>
            <w:vAlign w:val="center"/>
          </w:tcPr>
          <w:p>
            <w:r>
              <w:rPr>
                <w:sz w:val="19"/>
                <w:szCs w:val="19"/>
              </w:rPr>
              <w:t xml:space="preserve">Registration, authentication, RBAC, sessions, 2FA</w:t>
            </w:r>
          </w:p>
        </w:tc>
      </w:tr>
      <w:tr>
        <w:tc>
          <w:tcPr>
            <w:tcW w:type="dxa" w:w="3200"/>
            <w:shd w:fill="EEF2F8" w:val="clear"/>
            <w:tcMar>
              <w:top w:type="dxa" w:w="70"/>
              <w:left w:type="dxa" w:w="110"/>
              <w:bottom w:type="dxa" w:w="70"/>
              <w:right w:type="dxa" w:w="110"/>
            </w:tcMar>
            <w:vAlign w:val="center"/>
          </w:tcPr>
          <w:p>
            <w:r>
              <w:rPr>
                <w:sz w:val="19"/>
                <w:szCs w:val="19"/>
              </w:rPr>
              <w:t xml:space="preserve">KYC &amp; Compliance</w:t>
            </w:r>
          </w:p>
        </w:tc>
        <w:tc>
          <w:tcPr>
            <w:tcW w:type="dxa" w:w="6200"/>
            <w:shd w:fill="EEF2F8" w:val="clear"/>
            <w:tcMar>
              <w:top w:type="dxa" w:w="70"/>
              <w:left w:type="dxa" w:w="110"/>
              <w:bottom w:type="dxa" w:w="70"/>
              <w:right w:type="dxa" w:w="110"/>
            </w:tcMar>
            <w:vAlign w:val="center"/>
          </w:tcPr>
          <w:p>
            <w:r>
              <w:rPr>
                <w:sz w:val="19"/>
                <w:szCs w:val="19"/>
              </w:rPr>
              <w:t xml:space="preserve">Identity verification and feature-access enforcement</w:t>
            </w:r>
          </w:p>
        </w:tc>
      </w:tr>
      <w:tr>
        <w:tc>
          <w:tcPr>
            <w:tcW w:type="dxa" w:w="3200"/>
            <w:shd w:fill="FFFFFF" w:val="clear"/>
            <w:tcMar>
              <w:top w:type="dxa" w:w="70"/>
              <w:left w:type="dxa" w:w="110"/>
              <w:bottom w:type="dxa" w:w="70"/>
              <w:right w:type="dxa" w:w="110"/>
            </w:tcMar>
            <w:vAlign w:val="center"/>
          </w:tcPr>
          <w:p>
            <w:r>
              <w:rPr>
                <w:sz w:val="19"/>
                <w:szCs w:val="19"/>
              </w:rPr>
              <w:t xml:space="preserve">Signal Intelligence</w:t>
            </w:r>
          </w:p>
        </w:tc>
        <w:tc>
          <w:tcPr>
            <w:tcW w:type="dxa" w:w="6200"/>
            <w:shd w:fill="FFFFFF" w:val="clear"/>
            <w:tcMar>
              <w:top w:type="dxa" w:w="70"/>
              <w:left w:type="dxa" w:w="110"/>
              <w:bottom w:type="dxa" w:w="70"/>
              <w:right w:type="dxa" w:w="110"/>
            </w:tcMar>
            <w:vAlign w:val="center"/>
          </w:tcPr>
          <w:p>
            <w:r>
              <w:rPr>
                <w:sz w:val="19"/>
                <w:szCs w:val="19"/>
              </w:rPr>
              <w:t xml:space="preserve">Ingestion, classification, AI parsing, Provider DNA</w:t>
            </w:r>
          </w:p>
        </w:tc>
      </w:tr>
      <w:tr>
        <w:tc>
          <w:tcPr>
            <w:tcW w:type="dxa" w:w="3200"/>
            <w:shd w:fill="EEF2F8" w:val="clear"/>
            <w:tcMar>
              <w:top w:type="dxa" w:w="70"/>
              <w:left w:type="dxa" w:w="110"/>
              <w:bottom w:type="dxa" w:w="70"/>
              <w:right w:type="dxa" w:w="110"/>
            </w:tcMar>
            <w:vAlign w:val="center"/>
          </w:tcPr>
          <w:p>
            <w:r>
              <w:rPr>
                <w:sz w:val="19"/>
                <w:szCs w:val="19"/>
              </w:rPr>
              <w:t xml:space="preserve">Trading</w:t>
            </w:r>
          </w:p>
        </w:tc>
        <w:tc>
          <w:tcPr>
            <w:tcW w:type="dxa" w:w="6200"/>
            <w:shd w:fill="EEF2F8" w:val="clear"/>
            <w:tcMar>
              <w:top w:type="dxa" w:w="70"/>
              <w:left w:type="dxa" w:w="110"/>
              <w:bottom w:type="dxa" w:w="70"/>
              <w:right w:type="dxa" w:w="110"/>
            </w:tcMar>
            <w:vAlign w:val="center"/>
          </w:tcPr>
          <w:p>
            <w:r>
              <w:rPr>
                <w:sz w:val="19"/>
                <w:szCs w:val="19"/>
              </w:rPr>
              <w:t xml:space="preserve">Broker connections, risk, automation, execution, trade lifecycle</w:t>
            </w:r>
          </w:p>
        </w:tc>
      </w:tr>
      <w:tr>
        <w:tc>
          <w:tcPr>
            <w:tcW w:type="dxa" w:w="3200"/>
            <w:shd w:fill="FFFFFF" w:val="clear"/>
            <w:tcMar>
              <w:top w:type="dxa" w:w="70"/>
              <w:left w:type="dxa" w:w="110"/>
              <w:bottom w:type="dxa" w:w="70"/>
              <w:right w:type="dxa" w:w="110"/>
            </w:tcMar>
            <w:vAlign w:val="center"/>
          </w:tcPr>
          <w:p>
            <w:r>
              <w:rPr>
                <w:sz w:val="19"/>
                <w:szCs w:val="19"/>
              </w:rPr>
              <w:t xml:space="preserve">Performance</w:t>
            </w:r>
          </w:p>
        </w:tc>
        <w:tc>
          <w:tcPr>
            <w:tcW w:type="dxa" w:w="6200"/>
            <w:shd w:fill="FFFFFF" w:val="clear"/>
            <w:tcMar>
              <w:top w:type="dxa" w:w="70"/>
              <w:left w:type="dxa" w:w="110"/>
              <w:bottom w:type="dxa" w:w="70"/>
              <w:right w:type="dxa" w:w="110"/>
            </w:tcMar>
            <w:vAlign w:val="center"/>
          </w:tcPr>
          <w:p>
            <w:r>
              <w:rPr>
                <w:sz w:val="19"/>
                <w:szCs w:val="19"/>
              </w:rPr>
              <w:t xml:space="preserve">Performance ledgers, analytics, equity tracking</w:t>
            </w:r>
          </w:p>
        </w:tc>
      </w:tr>
      <w:tr>
        <w:tc>
          <w:tcPr>
            <w:tcW w:type="dxa" w:w="3200"/>
            <w:shd w:fill="EEF2F8" w:val="clear"/>
            <w:tcMar>
              <w:top w:type="dxa" w:w="70"/>
              <w:left w:type="dxa" w:w="110"/>
              <w:bottom w:type="dxa" w:w="70"/>
              <w:right w:type="dxa" w:w="110"/>
            </w:tcMar>
            <w:vAlign w:val="center"/>
          </w:tcPr>
          <w:p>
            <w:r>
              <w:rPr>
                <w:sz w:val="19"/>
                <w:szCs w:val="19"/>
              </w:rPr>
              <w:t xml:space="preserve">Referral &amp; Rewards</w:t>
            </w:r>
          </w:p>
        </w:tc>
        <w:tc>
          <w:tcPr>
            <w:tcW w:type="dxa" w:w="6200"/>
            <w:shd w:fill="EEF2F8" w:val="clear"/>
            <w:tcMar>
              <w:top w:type="dxa" w:w="70"/>
              <w:left w:type="dxa" w:w="110"/>
              <w:bottom w:type="dxa" w:w="70"/>
              <w:right w:type="dxa" w:w="110"/>
            </w:tcMar>
            <w:vAlign w:val="center"/>
          </w:tcPr>
          <w:p>
            <w:r>
              <w:rPr>
                <w:sz w:val="19"/>
                <w:szCs w:val="19"/>
              </w:rPr>
              <w:t xml:space="preserve">Performance-based referral program and payouts</w:t>
            </w:r>
          </w:p>
        </w:tc>
      </w:tr>
      <w:tr>
        <w:tc>
          <w:tcPr>
            <w:tcW w:type="dxa" w:w="3200"/>
            <w:shd w:fill="FFFFFF" w:val="clear"/>
            <w:tcMar>
              <w:top w:type="dxa" w:w="70"/>
              <w:left w:type="dxa" w:w="110"/>
              <w:bottom w:type="dxa" w:w="70"/>
              <w:right w:type="dxa" w:w="110"/>
            </w:tcMar>
            <w:vAlign w:val="center"/>
          </w:tcPr>
          <w:p>
            <w:r>
              <w:rPr>
                <w:sz w:val="19"/>
                <w:szCs w:val="19"/>
              </w:rPr>
              <w:t xml:space="preserve">Billing</w:t>
            </w:r>
          </w:p>
        </w:tc>
        <w:tc>
          <w:tcPr>
            <w:tcW w:type="dxa" w:w="6200"/>
            <w:shd w:fill="FFFFFF" w:val="clear"/>
            <w:tcMar>
              <w:top w:type="dxa" w:w="70"/>
              <w:left w:type="dxa" w:w="110"/>
              <w:bottom w:type="dxa" w:w="70"/>
              <w:right w:type="dxa" w:w="110"/>
            </w:tcMar>
            <w:vAlign w:val="center"/>
          </w:tcPr>
          <w:p>
            <w:r>
              <w:rPr>
                <w:sz w:val="19"/>
                <w:szCs w:val="19"/>
              </w:rPr>
              <w:t xml:space="preserve">Subscriptions, payments, wallet</w:t>
            </w:r>
          </w:p>
        </w:tc>
      </w:tr>
      <w:tr>
        <w:tc>
          <w:tcPr>
            <w:tcW w:type="dxa" w:w="3200"/>
            <w:shd w:fill="EEF2F8" w:val="clear"/>
            <w:tcMar>
              <w:top w:type="dxa" w:w="70"/>
              <w:left w:type="dxa" w:w="110"/>
              <w:bottom w:type="dxa" w:w="70"/>
              <w:right w:type="dxa" w:w="110"/>
            </w:tcMar>
            <w:vAlign w:val="center"/>
          </w:tcPr>
          <w:p>
            <w:r>
              <w:rPr>
                <w:sz w:val="19"/>
                <w:szCs w:val="19"/>
              </w:rPr>
              <w:t xml:space="preserve">Marketplace</w:t>
            </w:r>
          </w:p>
        </w:tc>
        <w:tc>
          <w:tcPr>
            <w:tcW w:type="dxa" w:w="6200"/>
            <w:shd w:fill="EEF2F8" w:val="clear"/>
            <w:tcMar>
              <w:top w:type="dxa" w:w="70"/>
              <w:left w:type="dxa" w:w="110"/>
              <w:bottom w:type="dxa" w:w="70"/>
              <w:right w:type="dxa" w:w="110"/>
            </w:tcMar>
            <w:vAlign w:val="center"/>
          </w:tcPr>
          <w:p>
            <w:r>
              <w:rPr>
                <w:sz w:val="19"/>
                <w:szCs w:val="19"/>
              </w:rPr>
              <w:t xml:space="preserve">Provider and trader marketplace, reviews, discovery</w:t>
            </w:r>
          </w:p>
        </w:tc>
      </w:tr>
      <w:tr>
        <w:tc>
          <w:tcPr>
            <w:tcW w:type="dxa" w:w="3200"/>
            <w:shd w:fill="FFFFFF" w:val="clear"/>
            <w:tcMar>
              <w:top w:type="dxa" w:w="70"/>
              <w:left w:type="dxa" w:w="110"/>
              <w:bottom w:type="dxa" w:w="70"/>
              <w:right w:type="dxa" w:w="110"/>
            </w:tcMar>
            <w:vAlign w:val="center"/>
          </w:tcPr>
          <w:p>
            <w:r>
              <w:rPr>
                <w:sz w:val="19"/>
                <w:szCs w:val="19"/>
              </w:rPr>
              <w:t xml:space="preserve">Provider Business Platform</w:t>
            </w:r>
          </w:p>
        </w:tc>
        <w:tc>
          <w:tcPr>
            <w:tcW w:type="dxa" w:w="6200"/>
            <w:shd w:fill="FFFFFF" w:val="clear"/>
            <w:tcMar>
              <w:top w:type="dxa" w:w="70"/>
              <w:left w:type="dxa" w:w="110"/>
              <w:bottom w:type="dxa" w:w="70"/>
              <w:right w:type="dxa" w:w="110"/>
            </w:tcMar>
            <w:vAlign w:val="center"/>
          </w:tcPr>
          <w:p>
            <w:r>
              <w:rPr>
                <w:sz w:val="19"/>
                <w:szCs w:val="19"/>
              </w:rPr>
              <w:t xml:space="preserve">Revenue dashboards, affiliates, IB tracking, white label</w:t>
            </w:r>
          </w:p>
        </w:tc>
      </w:tr>
      <w:tr>
        <w:tc>
          <w:tcPr>
            <w:tcW w:type="dxa" w:w="3200"/>
            <w:shd w:fill="EEF2F8" w:val="clear"/>
            <w:tcMar>
              <w:top w:type="dxa" w:w="70"/>
              <w:left w:type="dxa" w:w="110"/>
              <w:bottom w:type="dxa" w:w="70"/>
              <w:right w:type="dxa" w:w="110"/>
            </w:tcMar>
            <w:vAlign w:val="center"/>
          </w:tcPr>
          <w:p>
            <w:r>
              <w:rPr>
                <w:sz w:val="19"/>
                <w:szCs w:val="19"/>
              </w:rPr>
              <w:t xml:space="preserve">System</w:t>
            </w:r>
          </w:p>
        </w:tc>
        <w:tc>
          <w:tcPr>
            <w:tcW w:type="dxa" w:w="6200"/>
            <w:shd w:fill="EEF2F8" w:val="clear"/>
            <w:tcMar>
              <w:top w:type="dxa" w:w="70"/>
              <w:left w:type="dxa" w:w="110"/>
              <w:bottom w:type="dxa" w:w="70"/>
              <w:right w:type="dxa" w:w="110"/>
            </w:tcMar>
            <w:vAlign w:val="center"/>
          </w:tcPr>
          <w:p>
            <w:r>
              <w:rPr>
                <w:sz w:val="19"/>
                <w:szCs w:val="19"/>
              </w:rPr>
              <w:t xml:space="preserve">Notifications, jobs, settings, API keys, audit</w:t>
            </w:r>
          </w:p>
        </w:tc>
      </w:tr>
    </w:tbl>
    <w:p>
      <w:r>
        <w:br w:type="page"/>
      </w:r>
    </w:p>
    <w:p>
      <w:pPr>
        <w:pStyle w:val="Heading1"/>
        <w:pBdr>
          <w:bottom w:val="single" w:color="2F5597" w:sz="6" w:space="4"/>
        </w:pBdr>
        <w:spacing w:after="200" w:before="480"/>
      </w:pPr>
      <w:r>
        <w:rPr>
          <w:b/>
          <w:bCs/>
          <w:color w:val="1F2A44"/>
          <w:sz w:val="30"/>
          <w:szCs w:val="30"/>
        </w:rPr>
        <w:t xml:space="preserve">3. Broker Connectivity (MetaApi)</w:t>
      </w:r>
    </w:p>
    <w:p>
      <w:pPr>
        <w:spacing w:after="140" w:line="276"/>
      </w:pPr>
      <w:r>
        <w:rPr>
          <w:color w:val="222222"/>
          <w:sz w:val="21"/>
          <w:szCs w:val="21"/>
        </w:rPr>
        <w:t xml:space="preserve">SignalForge connects to MT4/MT5 brokerage accounts through MetaApi's cloud terminal layer. There is no expert advisor, VPS, or local PC required — MetaApi maintains a persistent cloud connection to the broker on the platform's behalf.</w:t>
      </w:r>
    </w:p>
    <w:p>
      <w:pPr>
        <w:pStyle w:val="Heading2"/>
        <w:spacing w:after="140" w:before="320"/>
      </w:pPr>
      <w:r>
        <w:rPr>
          <w:b/>
          <w:bCs/>
          <w:color w:val="2F5597"/>
          <w:sz w:val="24"/>
          <w:szCs w:val="24"/>
        </w:rPr>
        <w:t xml:space="preserve">3.1 Connection Flow</w:t>
      </w:r>
    </w:p>
    <w:p>
      <w:pPr>
        <w:spacing w:after="140" w:line="276"/>
      </w:pPr>
      <w:r>
        <w:rPr>
          <w:color w:val="222222"/>
          <w:sz w:val="21"/>
          <w:szCs w:val="21"/>
        </w:rPr>
        <w:t xml:space="preserve">A new user connects a broker account by supplying: Broker, Platform (MT4/MT5), Server, Login Number, Password, and an Account Nickname. Credentials are never sent from the frontend directly to MetaApi — they are proxied through the backend.</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Frontend   →   Laravel API   →   MetaApi API   →   Broker Server</w:t>
      </w:r>
    </w:p>
    <w:p>
      <w:pPr>
        <w:spacing w:after="140" w:line="276"/>
      </w:pPr>
      <w:r>
        <w:rPr>
          <w:color w:val="222222"/>
          <w:sz w:val="21"/>
          <w:szCs w:val="21"/>
        </w:rPr>
        <w:t xml:space="preserve">On connection, MetaApi validates credentials, starts a cloud terminal, logs into MT4/MT5, synchronizes the account, and begins streaming live updates.</w:t>
      </w:r>
    </w:p>
    <w:p>
      <w:pPr>
        <w:pStyle w:val="Heading2"/>
        <w:spacing w:after="140" w:before="320"/>
      </w:pPr>
      <w:r>
        <w:rPr>
          <w:b/>
          <w:bCs/>
          <w:color w:val="2F5597"/>
          <w:sz w:val="24"/>
          <w:szCs w:val="24"/>
        </w:rPr>
        <w:t xml:space="preserve">3.2 System of Record</w:t>
      </w:r>
    </w:p>
    <w:p>
      <w:pPr>
        <w:spacing w:after="140" w:line="276"/>
      </w:pPr>
      <w:r>
        <w:rPr>
          <w:color w:val="222222"/>
          <w:sz w:val="21"/>
          <w:szCs w:val="21"/>
        </w:rPr>
        <w:t xml:space="preserve">MetaApi is treated strictly as a gateway, never as the source of truth. SignalForge's own database owns positions, analytics, history, automation state, and AI outputs, which means the execution provider can be swapped in the future without rebuilding the platform.</w:t>
      </w:r>
    </w:p>
    <w:p>
      <w:pPr>
        <w:pStyle w:val="Heading2"/>
        <w:spacing w:after="140" w:before="320"/>
      </w:pPr>
      <w:r>
        <w:rPr>
          <w:b/>
          <w:bCs/>
          <w:color w:val="2F5597"/>
          <w:sz w:val="24"/>
          <w:szCs w:val="24"/>
        </w:rPr>
        <w:t xml:space="preserve">3.3 Live Synchronization</w:t>
      </w:r>
    </w:p>
    <w:p>
      <w:pPr>
        <w:spacing w:after="140" w:line="276"/>
      </w:pPr>
      <w:r>
        <w:rPr>
          <w:color w:val="222222"/>
          <w:sz w:val="21"/>
          <w:szCs w:val="21"/>
        </w:rPr>
        <w:t xml:space="preserve">Any account activity — including trades opened manually from a mobile terminal — streams back into SignalForge in real time: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MT5 Mobile   →   Broker   →   MetaApi   →   SignalForge</w:t>
      </w:r>
    </w:p>
    <w:p>
      <w:pPr>
        <w:spacing w:after="140" w:line="276"/>
      </w:pPr>
      <w:r>
        <w:rPr>
          <w:color w:val="222222"/>
          <w:sz w:val="21"/>
          <w:szCs w:val="21"/>
        </w:rPr>
        <w:t xml:space="preserve">Each event (Position Opened, with Symbol, Entry Price, Volume, Stop Loss, Take Profit, Magic Number, Ticket) is persisted, and Analytics, Risk, and Trade State update automatically.</w:t>
      </w:r>
    </w:p>
    <w:p>
      <w:r>
        <w:br w:type="page"/>
      </w:r>
    </w:p>
    <w:p>
      <w:pPr>
        <w:pStyle w:val="Heading1"/>
        <w:pBdr>
          <w:bottom w:val="single" w:color="2F5597" w:sz="6" w:space="4"/>
        </w:pBdr>
        <w:spacing w:after="200" w:before="480"/>
      </w:pPr>
      <w:r>
        <w:rPr>
          <w:b/>
          <w:bCs/>
          <w:color w:val="1F2A44"/>
          <w:sz w:val="30"/>
          <w:szCs w:val="30"/>
        </w:rPr>
        <w:t xml:space="preserve">4. Signal Ingestion Pipeline</w:t>
      </w:r>
    </w:p>
    <w:p>
      <w:pPr>
        <w:spacing w:after="140" w:line="276"/>
      </w:pPr>
      <w:r>
        <w:rPr>
          <w:color w:val="222222"/>
          <w:sz w:val="21"/>
          <w:szCs w:val="21"/>
        </w:rPr>
        <w:t xml:space="preserve">Every signal, regardless of source, enters the Signal Collection Layer and becomes a standard “New Signal Received” event before any trading logic runs. Nothing is executed at ingestion time — the platform always saves the raw message first.</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Telegram / Discord / WhatsApp / TradingView / REST API / Email   →   Signal Collector   →   Incoming Message (raw, unprocessed)</w:t>
      </w:r>
    </w:p>
    <w:p>
      <w:pPr>
        <w:pStyle w:val="Heading2"/>
        <w:spacing w:after="140" w:before="320"/>
      </w:pPr>
      <w:r>
        <w:rPr>
          <w:b/>
          <w:bCs/>
          <w:color w:val="2F5597"/>
          <w:sz w:val="24"/>
          <w:szCs w:val="24"/>
        </w:rPr>
        <w:t xml:space="preserve">4.1 Why Raw Messages Are Always Saved First</w:t>
      </w:r>
    </w:p>
    <w:p>
      <w:pPr>
        <w:spacing w:after="140" w:line="276"/>
      </w:pPr>
      <w:r>
        <w:rPr>
          <w:color w:val="222222"/>
          <w:sz w:val="21"/>
          <w:szCs w:val="21"/>
        </w:rPr>
        <w:t xml:space="preserve">AI parsing quality improves over time. Because every original message is stored unmodified, the platform can reprocess historical messages with improved AI models and an evolving Provider DNA, without losing any signal history.</w:t>
      </w:r>
    </w:p>
    <w:p>
      <w:pPr>
        <w:pStyle w:val="Heading2"/>
        <w:spacing w:after="140" w:before="320"/>
      </w:pPr>
      <w:r>
        <w:rPr>
          <w:b/>
          <w:bCs/>
          <w:color w:val="2F5597"/>
          <w:sz w:val="24"/>
          <w:szCs w:val="24"/>
        </w:rPr>
        <w:t xml:space="preserve">4.2 Telegram Integration (Primary Source)</w:t>
      </w:r>
    </w:p>
    <w:p>
      <w:pPr>
        <w:spacing w:after="140" w:line="276"/>
      </w:pPr>
      <w:r>
        <w:rPr>
          <w:color w:val="222222"/>
          <w:sz w:val="21"/>
          <w:szCs w:val="21"/>
        </w:rPr>
        <w:t xml:space="preserve">Telegram is the flagship integration and uses a User Session model rather than a bot, because most premium signal providers will never add a bot to their channel.</w:t>
      </w:r>
    </w:p>
    <w:p>
      <w:pPr>
        <w:pStyle w:val="Heading3"/>
        <w:spacing w:after="100" w:before="220"/>
      </w:pPr>
      <w:r>
        <w:rPr>
          <w:b/>
          <w:bCs/>
          <w:color w:val="1F2A44"/>
          <w:sz w:val="21"/>
          <w:szCs w:val="21"/>
        </w:rPr>
        <w:t xml:space="preserve">Connection Method Comparison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3200"/>
      </w:tblGrid>
      <w:tr>
        <w:trPr>
          <w:tblHeader/>
        </w:trPr>
        <w:tc>
          <w:tcPr>
            <w:tcW w:type="dxa" w:w="3000"/>
            <w:shd w:fill="2F5597" w:val="clear"/>
            <w:tcMar>
              <w:top w:type="dxa" w:w="90"/>
              <w:left w:type="dxa" w:w="110"/>
              <w:bottom w:type="dxa" w:w="90"/>
              <w:right w:type="dxa" w:w="110"/>
            </w:tcMar>
            <w:vAlign w:val="center"/>
          </w:tcPr>
          <w:p>
            <w:r>
              <w:rPr>
                <w:b/>
                <w:bCs/>
                <w:color w:val="FFFFFF"/>
                <w:sz w:val="19"/>
                <w:szCs w:val="19"/>
              </w:rPr>
              <w:t xml:space="preserve">Method</w:t>
            </w:r>
          </w:p>
        </w:tc>
        <w:tc>
          <w:tcPr>
            <w:tcW w:type="dxa" w:w="4200"/>
            <w:shd w:fill="2F5597" w:val="clear"/>
            <w:tcMar>
              <w:top w:type="dxa" w:w="90"/>
              <w:left w:type="dxa" w:w="110"/>
              <w:bottom w:type="dxa" w:w="90"/>
              <w:right w:type="dxa" w:w="110"/>
            </w:tcMar>
            <w:vAlign w:val="center"/>
          </w:tcPr>
          <w:p>
            <w:r>
              <w:rPr>
                <w:b/>
                <w:bCs/>
                <w:color w:val="FFFFFF"/>
                <w:sz w:val="19"/>
                <w:szCs w:val="19"/>
              </w:rPr>
              <w:t xml:space="preserve">Mechanism</w:t>
            </w:r>
          </w:p>
        </w:tc>
        <w:tc>
          <w:tcPr>
            <w:tcW w:type="dxa" w:w="3200"/>
            <w:shd w:fill="2F5597" w:val="clear"/>
            <w:tcMar>
              <w:top w:type="dxa" w:w="90"/>
              <w:left w:type="dxa" w:w="110"/>
              <w:bottom w:type="dxa" w:w="90"/>
              <w:right w:type="dxa" w:w="110"/>
            </w:tcMar>
            <w:vAlign w:val="center"/>
          </w:tcPr>
          <w:p>
            <w:r>
              <w:rPr>
                <w:b/>
                <w:bCs/>
                <w:color w:val="FFFFFF"/>
                <w:sz w:val="19"/>
                <w:szCs w:val="19"/>
              </w:rPr>
              <w:t xml:space="preserve">Verdict</w:t>
            </w:r>
          </w:p>
        </w:tc>
      </w:tr>
      <w:tr>
        <w:tc>
          <w:tcPr>
            <w:tcW w:type="dxa" w:w="3000"/>
            <w:shd w:fill="FFFFFF" w:val="clear"/>
            <w:tcMar>
              <w:top w:type="dxa" w:w="70"/>
              <w:left w:type="dxa" w:w="110"/>
              <w:bottom w:type="dxa" w:w="70"/>
              <w:right w:type="dxa" w:w="110"/>
            </w:tcMar>
            <w:vAlign w:val="center"/>
          </w:tcPr>
          <w:p>
            <w:r>
              <w:rPr>
                <w:sz w:val="19"/>
                <w:szCs w:val="19"/>
              </w:rPr>
              <w:t xml:space="preserve">Telegram Bot</w:t>
            </w:r>
          </w:p>
        </w:tc>
        <w:tc>
          <w:tcPr>
            <w:tcW w:type="dxa" w:w="4200"/>
            <w:shd w:fill="FFFFFF" w:val="clear"/>
            <w:tcMar>
              <w:top w:type="dxa" w:w="70"/>
              <w:left w:type="dxa" w:w="110"/>
              <w:bottom w:type="dxa" w:w="70"/>
              <w:right w:type="dxa" w:w="110"/>
            </w:tcMar>
            <w:vAlign w:val="center"/>
          </w:tcPr>
          <w:p>
            <w:r>
              <w:rPr>
                <w:sz w:val="19"/>
                <w:szCs w:val="19"/>
              </w:rPr>
              <w:t xml:space="preserve">Bot added to provider's group/channel with read permission</w:t>
            </w:r>
          </w:p>
        </w:tc>
        <w:tc>
          <w:tcPr>
            <w:tcW w:type="dxa" w:w="3200"/>
            <w:shd w:fill="FFFFFF" w:val="clear"/>
            <w:tcMar>
              <w:top w:type="dxa" w:w="70"/>
              <w:left w:type="dxa" w:w="110"/>
              <w:bottom w:type="dxa" w:w="70"/>
              <w:right w:type="dxa" w:w="110"/>
            </w:tcMar>
            <w:vAlign w:val="center"/>
          </w:tcPr>
          <w:p>
            <w:r>
              <w:rPr>
                <w:sz w:val="19"/>
                <w:szCs w:val="19"/>
              </w:rPr>
              <w:t xml:space="preserve">Not suitable — premium providers rarely allow bots</w:t>
            </w:r>
          </w:p>
        </w:tc>
      </w:tr>
      <w:tr>
        <w:tc>
          <w:tcPr>
            <w:tcW w:type="dxa" w:w="3000"/>
            <w:shd w:fill="EEF2F8" w:val="clear"/>
            <w:tcMar>
              <w:top w:type="dxa" w:w="70"/>
              <w:left w:type="dxa" w:w="110"/>
              <w:bottom w:type="dxa" w:w="70"/>
              <w:right w:type="dxa" w:w="110"/>
            </w:tcMar>
            <w:vAlign w:val="center"/>
          </w:tcPr>
          <w:p>
            <w:r>
              <w:rPr>
                <w:sz w:val="19"/>
                <w:szCs w:val="19"/>
              </w:rPr>
              <w:t xml:space="preserve">Telegram User Session (recommended)</w:t>
            </w:r>
          </w:p>
        </w:tc>
        <w:tc>
          <w:tcPr>
            <w:tcW w:type="dxa" w:w="4200"/>
            <w:shd w:fill="EEF2F8" w:val="clear"/>
            <w:tcMar>
              <w:top w:type="dxa" w:w="70"/>
              <w:left w:type="dxa" w:w="110"/>
              <w:bottom w:type="dxa" w:w="70"/>
              <w:right w:type="dxa" w:w="110"/>
            </w:tcMar>
            <w:vAlign w:val="center"/>
          </w:tcPr>
          <w:p>
            <w:r>
              <w:rPr>
                <w:sz w:val="19"/>
                <w:szCs w:val="19"/>
              </w:rPr>
              <w:t xml:space="preserve">Provider logs in with phone number + OTP; SignalForge stores an encrypted session and monitors every channel that account can see</w:t>
            </w:r>
          </w:p>
        </w:tc>
        <w:tc>
          <w:tcPr>
            <w:tcW w:type="dxa" w:w="3200"/>
            <w:shd w:fill="EEF2F8" w:val="clear"/>
            <w:tcMar>
              <w:top w:type="dxa" w:w="70"/>
              <w:left w:type="dxa" w:w="110"/>
              <w:bottom w:type="dxa" w:w="70"/>
              <w:right w:type="dxa" w:w="110"/>
            </w:tcMar>
            <w:vAlign w:val="center"/>
          </w:tcPr>
          <w:p>
            <w:r>
              <w:rPr>
                <w:sz w:val="19"/>
                <w:szCs w:val="19"/>
              </w:rPr>
              <w:t xml:space="preserve">Recommended — no bot required, works with any channel the user has joined</w:t>
            </w:r>
          </w:p>
        </w:tc>
      </w:tr>
    </w:tbl>
    <w:p>
      <w:pPr>
        <w:pStyle w:val="Heading3"/>
        <w:spacing w:after="100" w:before="220"/>
      </w:pPr>
      <w:r>
        <w:rPr>
          <w:b/>
          <w:bCs/>
          <w:color w:val="1F2A44"/>
          <w:sz w:val="21"/>
          <w:szCs w:val="21"/>
        </w:rPr>
        <w:t xml:space="preserve">Connection Steps</w:t>
      </w:r>
    </w:p>
    <w:p>
      <w:pPr>
        <w:pStyle w:val="ListParagraph"/>
        <w:numPr>
          <w:ilvl w:val="0"/>
          <w:numId w:val="3"/>
        </w:numPr>
        <w:spacing w:after="80"/>
      </w:pPr>
      <w:r>
        <w:rPr>
          <w:sz w:val="21"/>
          <w:szCs w:val="21"/>
        </w:rPr>
        <w:t xml:space="preserve">User goes to Settings → Connected Sources → Telegram → Connect.</w:t>
      </w:r>
    </w:p>
    <w:p>
      <w:pPr>
        <w:pStyle w:val="ListParagraph"/>
        <w:numPr>
          <w:ilvl w:val="0"/>
          <w:numId w:val="3"/>
        </w:numPr>
        <w:spacing w:after="80"/>
      </w:pPr>
      <w:r>
        <w:rPr>
          <w:sz w:val="21"/>
          <w:szCs w:val="21"/>
        </w:rPr>
        <w:t xml:space="preserve">User enters phone number and country.</w:t>
      </w:r>
    </w:p>
    <w:p>
      <w:pPr>
        <w:pStyle w:val="ListParagraph"/>
        <w:numPr>
          <w:ilvl w:val="0"/>
          <w:numId w:val="3"/>
        </w:numPr>
        <w:spacing w:after="80"/>
      </w:pPr>
      <w:r>
        <w:rPr>
          <w:sz w:val="21"/>
          <w:szCs w:val="21"/>
        </w:rPr>
        <w:t xml:space="preserve">Telegram sends an OTP to the user's Telegram app; the user enters it (and their 2-step password if enabled).</w:t>
      </w:r>
    </w:p>
    <w:p>
      <w:pPr>
        <w:pStyle w:val="ListParagraph"/>
        <w:numPr>
          <w:ilvl w:val="0"/>
          <w:numId w:val="3"/>
        </w:numPr>
        <w:spacing w:after="80"/>
      </w:pPr>
      <w:r>
        <w:rPr>
          <w:sz w:val="21"/>
          <w:szCs w:val="21"/>
        </w:rPr>
        <w:t xml:space="preserve">On success, the session token is encrypted and stored; SignalForge can reconnect without re-login unless the session expires or is revoked.</w:t>
      </w:r>
    </w:p>
    <w:p>
      <w:pPr>
        <w:pStyle w:val="Heading3"/>
        <w:spacing w:after="100" w:before="220"/>
      </w:pPr>
      <w:r>
        <w:rPr>
          <w:b/>
          <w:bCs/>
          <w:color w:val="1F2A44"/>
          <w:sz w:val="21"/>
          <w:szCs w:val="21"/>
        </w:rPr>
        <w:t xml:space="preserve">Channel Discovery &amp; Explicit Opt-In</w:t>
      </w:r>
    </w:p>
    <w:p>
      <w:pPr>
        <w:spacing w:after="140" w:line="276"/>
      </w:pPr>
      <w:r>
        <w:rPr>
          <w:color w:val="222222"/>
          <w:sz w:val="21"/>
          <w:szCs w:val="21"/>
        </w:rPr>
        <w:t xml:space="preserve">After login, SignalForge queries Telegram for the account's dialogs (Gold VIP, ICT Premium, Forex Kings, Announcements, Friends, etc.) and displays them for selection. Only explicitly checked channels are monitored — the platform never listens to every conversation by default.</w:t>
      </w:r>
    </w:p>
    <w:p>
      <w:pPr>
        <w:pStyle w:val="Heading3"/>
        <w:spacing w:after="100" w:before="220"/>
      </w:pPr>
      <w:r>
        <w:rPr>
          <w:b/>
          <w:bCs/>
          <w:color w:val="1F2A44"/>
          <w:sz w:val="21"/>
          <w:szCs w:val="21"/>
        </w:rPr>
        <w:t xml:space="preserve">Message Pipeline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Telegram   →   Message Listener   →   Message Queue   →   Raw Message Storage   →   Signal Classification Engine   →   AI Parser   →   Provider DNA   →   Trade Object</w:t>
      </w:r>
    </w:p>
    <w:p>
      <w:pPr>
        <w:spacing w:after="140" w:line="276"/>
      </w:pPr>
      <w:r>
        <w:rPr>
          <w:color w:val="222222"/>
          <w:sz w:val="21"/>
          <w:szCs w:val="21"/>
        </w:rPr>
        <w:t xml:space="preserve">The queue absorbs bursts — if 100 providers each post 20 signals in a minute, messages are processed without being dropped.</w:t>
      </w:r>
    </w:p>
    <w:p>
      <w:pPr>
        <w:pStyle w:val="Heading3"/>
        <w:spacing w:after="100" w:before="220"/>
      </w:pPr>
      <w:r>
        <w:rPr>
          <w:b/>
          <w:bCs/>
          <w:color w:val="1F2A44"/>
          <w:sz w:val="21"/>
          <w:szCs w:val="21"/>
        </w:rPr>
        <w:t xml:space="preserve">Raw Message Record</w:t>
      </w:r>
    </w:p>
    <w:p>
      <w:pPr>
        <w:pStyle w:val="ListParagraph"/>
        <w:numPr>
          <w:ilvl w:val="0"/>
          <w:numId w:val="2"/>
        </w:numPr>
        <w:spacing w:after="80"/>
      </w:pPr>
      <w:r>
        <w:rPr>
          <w:sz w:val="21"/>
          <w:szCs w:val="21"/>
        </w:rPr>
        <w:t xml:space="preserve">Message ID</w:t>
      </w:r>
    </w:p>
    <w:p>
      <w:pPr>
        <w:pStyle w:val="ListParagraph"/>
        <w:numPr>
          <w:ilvl w:val="0"/>
          <w:numId w:val="2"/>
        </w:numPr>
        <w:spacing w:after="80"/>
      </w:pPr>
      <w:r>
        <w:rPr>
          <w:sz w:val="21"/>
          <w:szCs w:val="21"/>
        </w:rPr>
        <w:t xml:space="preserve">Provider ID</w:t>
      </w:r>
    </w:p>
    <w:p>
      <w:pPr>
        <w:pStyle w:val="ListParagraph"/>
        <w:numPr>
          <w:ilvl w:val="0"/>
          <w:numId w:val="2"/>
        </w:numPr>
        <w:spacing w:after="80"/>
      </w:pPr>
      <w:r>
        <w:rPr>
          <w:sz w:val="21"/>
          <w:szCs w:val="21"/>
        </w:rPr>
        <w:t xml:space="preserve">Telegram Channel ID</w:t>
      </w:r>
    </w:p>
    <w:p>
      <w:pPr>
        <w:pStyle w:val="ListParagraph"/>
        <w:numPr>
          <w:ilvl w:val="0"/>
          <w:numId w:val="2"/>
        </w:numPr>
        <w:spacing w:after="80"/>
      </w:pPr>
      <w:r>
        <w:rPr>
          <w:sz w:val="21"/>
          <w:szCs w:val="21"/>
        </w:rPr>
        <w:t xml:space="preserve">Timestamp</w:t>
      </w:r>
    </w:p>
    <w:p>
      <w:pPr>
        <w:pStyle w:val="ListParagraph"/>
        <w:numPr>
          <w:ilvl w:val="0"/>
          <w:numId w:val="2"/>
        </w:numPr>
        <w:spacing w:after="80"/>
      </w:pPr>
      <w:r>
        <w:rPr>
          <w:sz w:val="21"/>
          <w:szCs w:val="21"/>
        </w:rPr>
        <w:t xml:space="preserve">Original Text</w:t>
      </w:r>
    </w:p>
    <w:p>
      <w:pPr>
        <w:pStyle w:val="ListParagraph"/>
        <w:numPr>
          <w:ilvl w:val="0"/>
          <w:numId w:val="2"/>
        </w:numPr>
        <w:spacing w:after="80"/>
      </w:pPr>
      <w:r>
        <w:rPr>
          <w:sz w:val="21"/>
          <w:szCs w:val="21"/>
        </w:rPr>
        <w:t xml:space="preserve">Media</w:t>
      </w:r>
    </w:p>
    <w:p>
      <w:pPr>
        <w:pStyle w:val="ListParagraph"/>
        <w:numPr>
          <w:ilvl w:val="0"/>
          <w:numId w:val="2"/>
        </w:numPr>
        <w:spacing w:after="80"/>
      </w:pPr>
      <w:r>
        <w:rPr>
          <w:sz w:val="21"/>
          <w:szCs w:val="21"/>
        </w:rPr>
        <w:t xml:space="preserve">Reply-To Reference</w:t>
      </w:r>
    </w:p>
    <w:p>
      <w:pPr>
        <w:pStyle w:val="ListParagraph"/>
        <w:numPr>
          <w:ilvl w:val="0"/>
          <w:numId w:val="2"/>
        </w:numPr>
        <w:spacing w:after="80"/>
      </w:pPr>
      <w:r>
        <w:rPr>
          <w:sz w:val="21"/>
          <w:szCs w:val="21"/>
        </w:rPr>
        <w:t xml:space="preserve">Edited flag</w:t>
      </w:r>
    </w:p>
    <w:p>
      <w:pPr>
        <w:pStyle w:val="ListParagraph"/>
        <w:numPr>
          <w:ilvl w:val="0"/>
          <w:numId w:val="2"/>
        </w:numPr>
        <w:spacing w:after="80"/>
      </w:pPr>
      <w:r>
        <w:rPr>
          <w:sz w:val="21"/>
          <w:szCs w:val="21"/>
        </w:rPr>
        <w:t xml:space="preserve">Deleted flag</w:t>
      </w:r>
    </w:p>
    <w:p>
      <w:pPr>
        <w:spacing w:after="140" w:line="276"/>
      </w:pPr>
      <w:r>
        <w:rPr>
          <w:color w:val="222222"/>
          <w:sz w:val="21"/>
          <w:szCs w:val="21"/>
        </w:rPr>
        <w:t xml:space="preserve">This becomes the permanent source of truth for audits, retraining, and replay.</w:t>
      </w:r>
    </w:p>
    <w:p>
      <w:pPr>
        <w:pStyle w:val="Heading3"/>
        <w:spacing w:after="100" w:before="220"/>
      </w:pPr>
      <w:r>
        <w:rPr>
          <w:b/>
          <w:bCs/>
          <w:color w:val="1F2A44"/>
          <w:sz w:val="21"/>
          <w:szCs w:val="21"/>
        </w:rPr>
        <w:t xml:space="preserve">Edited &amp; Deleted Messages</w:t>
      </w:r>
    </w:p>
    <w:p>
      <w:pPr>
        <w:spacing w:after="140" w:line="276"/>
      </w:pPr>
      <w:r>
        <w:rPr>
          <w:color w:val="222222"/>
          <w:sz w:val="21"/>
          <w:szCs w:val="21"/>
        </w:rPr>
        <w:t xml:space="preserve">An edited message never creates a new trade — it generates a “Signal Updated” event that revises the existing trade instructions. A deleted message generates a “Signal Deleted” event; history is preserved, never erased, so the audit trail always explains why a trade changed.</w:t>
      </w:r>
    </w:p>
    <w:p>
      <w:r>
        <w:br w:type="page"/>
      </w:r>
    </w:p>
    <w:p>
      <w:pPr>
        <w:pStyle w:val="Heading1"/>
        <w:pBdr>
          <w:bottom w:val="single" w:color="2F5597" w:sz="6" w:space="4"/>
        </w:pBdr>
        <w:spacing w:after="200" w:before="480"/>
      </w:pPr>
      <w:r>
        <w:rPr>
          <w:b/>
          <w:bCs/>
          <w:color w:val="1F2A44"/>
          <w:sz w:val="30"/>
          <w:szCs w:val="30"/>
        </w:rPr>
        <w:t xml:space="preserve">5. AI Signal Intelligence</w:t>
      </w:r>
    </w:p>
    <w:p>
      <w:pPr>
        <w:pStyle w:val="Heading2"/>
        <w:spacing w:after="140" w:before="320"/>
      </w:pPr>
      <w:r>
        <w:rPr>
          <w:b/>
          <w:bCs/>
          <w:color w:val="2F5597"/>
          <w:sz w:val="24"/>
          <w:szCs w:val="24"/>
        </w:rPr>
        <w:t xml:space="preserve">5.1 Signal Classification Engine</w:t>
      </w:r>
    </w:p>
    <w:p>
      <w:pPr>
        <w:spacing w:after="140" w:line="276"/>
      </w:pPr>
      <w:r>
        <w:rPr>
          <w:color w:val="222222"/>
          <w:sz w:val="21"/>
          <w:szCs w:val="21"/>
        </w:rPr>
        <w:t xml:space="preserve">Not every message is a trading signal. Before any AI parsing happens, an incoming message is first classified so that market commentary, news, and chit-chat never reach the trading pipeline.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Incoming Message   →   Classifier   →   New Trade / Trade Management / Market Analysis / News / Education / Advertisement / Conversation / Unknown</w:t>
      </w:r>
    </w:p>
    <w:p>
      <w:pPr>
        <w:spacing w:after="140" w:line="276"/>
      </w:pPr>
      <w:r>
        <w:rPr>
          <w:color w:val="222222"/>
          <w:sz w:val="21"/>
          <w:szCs w:val="21"/>
        </w:rPr>
        <w:t xml:space="preserve">Only New Trade and Trade Management outputs continue into the trading pipeline; everything else is archived but never executed. This reduces unnecessary AI cost, prevents commentary from being mistaken for an executable trade, and keeps Provider DNA training data clean.</w:t>
      </w:r>
    </w:p>
    <w:p>
      <w:pPr>
        <w:pStyle w:val="Heading2"/>
        <w:spacing w:after="140" w:before="320"/>
      </w:pPr>
      <w:r>
        <w:rPr>
          <w:b/>
          <w:bCs/>
          <w:color w:val="2F5597"/>
          <w:sz w:val="24"/>
          <w:szCs w:val="24"/>
        </w:rPr>
        <w:t xml:space="preserve">5.2 AI Understanding / Parsing Engine</w:t>
      </w:r>
    </w:p>
    <w:p>
      <w:pPr>
        <w:spacing w:after="140" w:line="276"/>
      </w:pPr>
      <w:r>
        <w:rPr>
          <w:color w:val="222222"/>
          <w:sz w:val="21"/>
          <w:szCs w:val="21"/>
        </w:rPr>
        <w:t xml:space="preserve">The AI converts free-form provider language into one standardized trade object, regardless of phrasing. For example, “Buy Gold,” “Long XAU,” “Gold Buy Now,” and “Let's buy Gold” all resolve to the same structured output:</w:t>
      </w:r>
    </w:p>
    <w:p>
      <w:pPr>
        <w:shd w:fill="F4F4F4" w:val="clear"/>
        <w:spacing w:after="200"/>
      </w:pPr>
      <w:r>
        <w:rPr>
          <w:rFonts w:ascii="Consolas" w:cs="Consolas" w:eastAsia="Consolas" w:hAnsi="Consolas"/>
          <w:color w:val="222222"/>
          <w:sz w:val="19"/>
          <w:szCs w:val="19"/>
        </w:rPr>
        <w:t xml:space="preserve">{ "action": "BUY", "symbol": "XAUUSD", "entry_type": "MARKET", "stop_loss": 3350, "take_profits": [3360, 3375] }</w:t>
      </w:r>
    </w:p>
    <w:p>
      <w:pPr>
        <w:spacing w:after="140" w:line="276"/>
      </w:pPr>
      <w:r>
        <w:rPr>
          <w:color w:val="222222"/>
          <w:sz w:val="21"/>
          <w:szCs w:val="21"/>
        </w:rPr>
        <w:t xml:space="preserve">AI responsibilities include: intent detection, symbol detection, trade type and order type, entry/stop-loss/take-profit extraction, risk extraction, language translation, context understanding, abbreviation resolution, confidence scoring, and structured output generation.</w:t>
      </w:r>
    </w:p>
    <w:p>
      <w:pPr>
        <w:pStyle w:val="Heading2"/>
        <w:spacing w:after="140" w:before="320"/>
      </w:pPr>
      <w:r>
        <w:rPr>
          <w:b/>
          <w:bCs/>
          <w:color w:val="2F5597"/>
          <w:sz w:val="24"/>
          <w:szCs w:val="24"/>
        </w:rPr>
        <w:t xml:space="preserve">5.3 Provider DNA Engine</w:t>
      </w:r>
    </w:p>
    <w:p>
      <w:pPr>
        <w:spacing w:after="140" w:line="276"/>
      </w:pPr>
      <w:r>
        <w:rPr>
          <w:color w:val="222222"/>
          <w:sz w:val="21"/>
          <w:szCs w:val="21"/>
        </w:rPr>
        <w:t xml:space="preserve">When a provider joins, the platform does not trust AI inference indefinitely. It imports 300–1,000 historical signals and studies language, grammar, abbreviations, risk style, trade management habits, and preferred symbols to build a Provider DNA profile.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Message   →   Regex   →   Provider DNA   →   Trade</w:t>
      </w:r>
    </w:p>
    <w:p>
      <w:pPr>
        <w:spacing w:after="140" w:line="276"/>
      </w:pPr>
      <w:r>
        <w:rPr>
          <w:color w:val="222222"/>
          <w:sz w:val="21"/>
          <w:szCs w:val="21"/>
        </w:rPr>
        <w:t xml:space="preserve">Only unusual or unrecognized messages fall back to full AI inference (the Learning Path), which in turn improves the Provider DNA without delaying execution for known patterns (the Fast Path). For example, Provider A's “Secure Profit” is learned to mean “Move Stop Loss to Break Even”; Provider B's “Close Some” means “Close 50%.”</w:t>
      </w:r>
    </w:p>
    <w:p>
      <w:pPr>
        <w:pStyle w:val="Heading2"/>
        <w:spacing w:after="140" w:before="320"/>
      </w:pPr>
      <w:r>
        <w:rPr>
          <w:b/>
          <w:bCs/>
          <w:color w:val="2F5597"/>
          <w:sz w:val="24"/>
          <w:szCs w:val="24"/>
        </w:rPr>
        <w:t xml:space="preserve">5.4 Confidence Scoring</w:t>
      </w:r>
    </w:p>
    <w:p>
      <w:pPr>
        <w:spacing w:after="140" w:line="276"/>
      </w:pPr>
      <w:r>
        <w:rPr>
          <w:color w:val="222222"/>
          <w:sz w:val="21"/>
          <w:szCs w:val="21"/>
        </w:rPr>
        <w:t xml:space="preserve">Every parsed message returns a confidence score alongside its classification (e.g. Detected Signal – 99.6%, Detected Trade Management – 98%, Unknown Message – 42%). Messages below a configurable threshold (e.g. 80%) are flagged for manual review or routed through fallback rules rather than executed automatically.</w:t>
      </w:r>
    </w:p>
    <w:p>
      <w:pPr>
        <w:pStyle w:val="Heading2"/>
        <w:spacing w:after="140" w:before="320"/>
      </w:pPr>
      <w:r>
        <w:rPr>
          <w:b/>
          <w:bCs/>
          <w:color w:val="2F5597"/>
          <w:sz w:val="24"/>
          <w:szCs w:val="24"/>
        </w:rPr>
        <w:t xml:space="preserve">5.5 Trade Matching Engine</w:t>
      </w:r>
    </w:p>
    <w:p>
      <w:pPr>
        <w:spacing w:after="140" w:line="276"/>
      </w:pPr>
      <w:r>
        <w:rPr>
          <w:color w:val="222222"/>
          <w:sz w:val="21"/>
          <w:szCs w:val="21"/>
        </w:rPr>
        <w:t xml:space="preserve">When a provider later sends a management instruction (“Close Half,” “Move SL to Entry”), the system must determine which open trade it applies to. The Trade Matching Engine resolves this using provider, symbol, time, currently open positions, ticket mapping, and message relationships — without it, trade management instructions would be unreliable.</w:t>
      </w:r>
    </w:p>
    <w:p>
      <w:pPr>
        <w:pStyle w:val="Heading2"/>
        <w:spacing w:after="140" w:before="320"/>
      </w:pPr>
      <w:r>
        <w:rPr>
          <w:b/>
          <w:bCs/>
          <w:color w:val="2F5597"/>
          <w:sz w:val="24"/>
          <w:szCs w:val="24"/>
        </w:rPr>
        <w:t xml:space="preserve">5.6 Multi-Provider Consensus Engine</w:t>
      </w:r>
    </w:p>
    <w:p>
      <w:pPr>
        <w:spacing w:after="140" w:line="276"/>
      </w:pPr>
      <w:r>
        <w:rPr>
          <w:color w:val="222222"/>
          <w:sz w:val="21"/>
          <w:szCs w:val="21"/>
        </w:rPr>
        <w:t xml:space="preserve">When multiple providers signal the same symbol, the Consensus Engine compares their direction, computes agreement and confidence scores, and produces a single voted decision — supporting strategies that only trade when independent providers agree.</w:t>
      </w:r>
    </w:p>
    <w:p>
      <w:r>
        <w:br w:type="page"/>
      </w:r>
    </w:p>
    <w:p>
      <w:pPr>
        <w:pStyle w:val="Heading1"/>
        <w:pBdr>
          <w:bottom w:val="single" w:color="2F5597" w:sz="6" w:space="4"/>
        </w:pBdr>
        <w:spacing w:after="200" w:before="480"/>
      </w:pPr>
      <w:r>
        <w:rPr>
          <w:b/>
          <w:bCs/>
          <w:color w:val="1F2A44"/>
          <w:sz w:val="30"/>
          <w:szCs w:val="30"/>
        </w:rPr>
        <w:t xml:space="preserve">6. Risk &amp; Automation Engines</w:t>
      </w:r>
    </w:p>
    <w:p>
      <w:pPr>
        <w:pStyle w:val="Heading2"/>
        <w:spacing w:after="140" w:before="320"/>
      </w:pPr>
      <w:r>
        <w:rPr>
          <w:b/>
          <w:bCs/>
          <w:color w:val="2F5597"/>
          <w:sz w:val="24"/>
          <w:szCs w:val="24"/>
        </w:rPr>
        <w:t xml:space="preserve">6.1 Risk Decision Engine</w:t>
      </w:r>
    </w:p>
    <w:p>
      <w:pPr>
        <w:spacing w:after="140" w:line="276"/>
      </w:pPr>
      <w:r>
        <w:rPr>
          <w:color w:val="222222"/>
          <w:sz w:val="21"/>
          <w:szCs w:val="21"/>
        </w:rPr>
        <w:t xml:space="preserve">Even once AI understands a signal, it cannot trade until the Risk Engine approves it. Checks include:</w:t>
      </w:r>
    </w:p>
    <w:p>
      <w:pPr>
        <w:pStyle w:val="ListParagraph"/>
        <w:numPr>
          <w:ilvl w:val="0"/>
          <w:numId w:val="2"/>
        </w:numPr>
        <w:spacing w:after="80"/>
      </w:pPr>
      <w:r>
        <w:rPr>
          <w:sz w:val="21"/>
          <w:szCs w:val="21"/>
        </w:rPr>
        <w:t xml:space="preserve">Maximum Daily Loss</w:t>
      </w:r>
    </w:p>
    <w:p>
      <w:pPr>
        <w:pStyle w:val="ListParagraph"/>
        <w:numPr>
          <w:ilvl w:val="0"/>
          <w:numId w:val="2"/>
        </w:numPr>
        <w:spacing w:after="80"/>
      </w:pPr>
      <w:r>
        <w:rPr>
          <w:sz w:val="21"/>
          <w:szCs w:val="21"/>
        </w:rPr>
        <w:t xml:space="preserve">Maximum Drawdown</w:t>
      </w:r>
    </w:p>
    <w:p>
      <w:pPr>
        <w:pStyle w:val="ListParagraph"/>
        <w:numPr>
          <w:ilvl w:val="0"/>
          <w:numId w:val="2"/>
        </w:numPr>
        <w:spacing w:after="80"/>
      </w:pPr>
      <w:r>
        <w:rPr>
          <w:sz w:val="21"/>
          <w:szCs w:val="21"/>
        </w:rPr>
        <w:t xml:space="preserve">Trading Session restrictions</w:t>
      </w:r>
    </w:p>
    <w:p>
      <w:pPr>
        <w:pStyle w:val="ListParagraph"/>
        <w:numPr>
          <w:ilvl w:val="0"/>
          <w:numId w:val="2"/>
        </w:numPr>
        <w:spacing w:after="80"/>
      </w:pPr>
      <w:r>
        <w:rPr>
          <w:sz w:val="21"/>
          <w:szCs w:val="21"/>
        </w:rPr>
        <w:t xml:space="preserve">News Filter</w:t>
      </w:r>
    </w:p>
    <w:p>
      <w:pPr>
        <w:pStyle w:val="ListParagraph"/>
        <w:numPr>
          <w:ilvl w:val="0"/>
          <w:numId w:val="2"/>
        </w:numPr>
        <w:spacing w:after="80"/>
      </w:pPr>
      <w:r>
        <w:rPr>
          <w:sz w:val="21"/>
          <w:szCs w:val="21"/>
        </w:rPr>
        <w:t xml:space="preserve">Maximum Open Trades</w:t>
      </w:r>
    </w:p>
    <w:p>
      <w:pPr>
        <w:pStyle w:val="ListParagraph"/>
        <w:numPr>
          <w:ilvl w:val="0"/>
          <w:numId w:val="2"/>
        </w:numPr>
        <w:spacing w:after="80"/>
      </w:pPr>
      <w:r>
        <w:rPr>
          <w:sz w:val="21"/>
          <w:szCs w:val="21"/>
        </w:rPr>
        <w:t xml:space="preserve">Lot Size limits</w:t>
      </w:r>
    </w:p>
    <w:p>
      <w:pPr>
        <w:pStyle w:val="ListParagraph"/>
        <w:numPr>
          <w:ilvl w:val="0"/>
          <w:numId w:val="2"/>
        </w:numPr>
        <w:spacing w:after="80"/>
      </w:pPr>
      <w:r>
        <w:rPr>
          <w:sz w:val="21"/>
          <w:szCs w:val="21"/>
        </w:rPr>
        <w:t xml:space="preserve">Duplicate Trade detection</w:t>
      </w:r>
    </w:p>
    <w:p>
      <w:pPr>
        <w:pStyle w:val="ListParagraph"/>
        <w:numPr>
          <w:ilvl w:val="0"/>
          <w:numId w:val="2"/>
        </w:numPr>
        <w:spacing w:after="80"/>
      </w:pPr>
      <w:r>
        <w:rPr>
          <w:sz w:val="21"/>
          <w:szCs w:val="21"/>
        </w:rPr>
        <w:t xml:space="preserve">Already Closed check</w:t>
      </w:r>
    </w:p>
    <w:p>
      <w:pPr>
        <w:pStyle w:val="ListParagraph"/>
        <w:numPr>
          <w:ilvl w:val="0"/>
          <w:numId w:val="2"/>
        </w:numPr>
        <w:spacing w:after="80"/>
      </w:pPr>
      <w:r>
        <w:rPr>
          <w:sz w:val="21"/>
          <w:szCs w:val="21"/>
        </w:rPr>
        <w:t xml:space="preserve">User-disabled Provider check</w:t>
      </w:r>
    </w:p>
    <w:p>
      <w:pPr>
        <w:pStyle w:val="ListParagraph"/>
        <w:numPr>
          <w:ilvl w:val="0"/>
          <w:numId w:val="2"/>
        </w:numPr>
        <w:spacing w:after="80"/>
      </w:pPr>
      <w:r>
        <w:rPr>
          <w:sz w:val="21"/>
          <w:szCs w:val="21"/>
        </w:rPr>
        <w:t xml:space="preserve">Correlation exposure</w:t>
      </w:r>
    </w:p>
    <w:p>
      <w:pPr>
        <w:pStyle w:val="ListParagraph"/>
        <w:numPr>
          <w:ilvl w:val="0"/>
          <w:numId w:val="2"/>
        </w:numPr>
        <w:spacing w:after="80"/>
      </w:pPr>
      <w:r>
        <w:rPr>
          <w:sz w:val="21"/>
          <w:szCs w:val="21"/>
        </w:rPr>
        <w:t xml:space="preserve">Margin and Spread checks</w:t>
      </w:r>
    </w:p>
    <w:p>
      <w:pPr>
        <w:pStyle w:val="ListParagraph"/>
        <w:numPr>
          <w:ilvl w:val="0"/>
          <w:numId w:val="2"/>
        </w:numPr>
        <w:spacing w:after="80"/>
      </w:pPr>
      <w:r>
        <w:rPr>
          <w:sz w:val="21"/>
          <w:szCs w:val="21"/>
        </w:rPr>
        <w:t xml:space="preserve">Slippage checks</w:t>
      </w:r>
    </w:p>
    <w:p>
      <w:pPr>
        <w:spacing w:after="140" w:line="276"/>
      </w:pPr>
      <w:r>
        <w:rPr>
          <w:color w:val="222222"/>
          <w:sz w:val="21"/>
          <w:szCs w:val="21"/>
        </w:rPr>
        <w:t xml:space="preserve">Every signal produces an explicit Approved or Rejected outcome.</w:t>
      </w:r>
    </w:p>
    <w:p>
      <w:pPr>
        <w:pStyle w:val="Heading2"/>
        <w:spacing w:after="140" w:before="320"/>
      </w:pPr>
      <w:r>
        <w:rPr>
          <w:b/>
          <w:bCs/>
          <w:color w:val="2F5597"/>
          <w:sz w:val="24"/>
          <w:szCs w:val="24"/>
        </w:rPr>
        <w:t xml:space="preserve">6.2 Automation Rules Engine</w:t>
      </w:r>
    </w:p>
    <w:p>
      <w:pPr>
        <w:spacing w:after="140" w:line="276"/>
      </w:pPr>
      <w:r>
        <w:rPr>
          <w:color w:val="222222"/>
          <w:sz w:val="21"/>
          <w:szCs w:val="21"/>
        </w:rPr>
        <w:t xml:space="preserve">Automation rules run after risk approval and before execution, expressed as configurable IF/THEN logic, e.g.:</w:t>
      </w:r>
    </w:p>
    <w:p>
      <w:pPr>
        <w:pStyle w:val="ListParagraph"/>
        <w:numPr>
          <w:ilvl w:val="0"/>
          <w:numId w:val="2"/>
        </w:numPr>
        <w:spacing w:after="80"/>
      </w:pPr>
      <w:r>
        <w:rPr>
          <w:sz w:val="21"/>
          <w:szCs w:val="21"/>
        </w:rPr>
        <w:t xml:space="preserve">IF Profit &gt; $10 THEN Move Stop Loss to Break Even</w:t>
      </w:r>
    </w:p>
    <w:p>
      <w:pPr>
        <w:pStyle w:val="ListParagraph"/>
        <w:numPr>
          <w:ilvl w:val="0"/>
          <w:numId w:val="2"/>
        </w:numPr>
        <w:spacing w:after="80"/>
      </w:pPr>
      <w:r>
        <w:rPr>
          <w:sz w:val="21"/>
          <w:szCs w:val="21"/>
        </w:rPr>
        <w:t xml:space="preserve">IF Provider Closes THEN Ignore</w:t>
      </w:r>
    </w:p>
    <w:p>
      <w:pPr>
        <w:pStyle w:val="ListParagraph"/>
        <w:numPr>
          <w:ilvl w:val="0"/>
          <w:numId w:val="2"/>
        </w:numPr>
        <w:spacing w:after="80"/>
      </w:pPr>
      <w:r>
        <w:rPr>
          <w:sz w:val="21"/>
          <w:szCs w:val="21"/>
        </w:rPr>
        <w:t xml:space="preserve">IF Confidence ≥ 80% THEN Execute</w:t>
      </w:r>
    </w:p>
    <w:p>
      <w:pPr>
        <w:spacing w:after="140" w:line="276"/>
      </w:pPr>
      <w:r>
        <w:rPr>
          <w:color w:val="222222"/>
          <w:sz w:val="21"/>
          <w:szCs w:val="21"/>
        </w:rPr>
        <w:t xml:space="preserve">Supported rule types include profit-based rules, trailing, break-even, time-based rules, and provider-, symbol-, or risk-specific rules.</w:t>
      </w:r>
    </w:p>
    <w:p>
      <w:r>
        <w:br w:type="page"/>
      </w:r>
    </w:p>
    <w:p>
      <w:pPr>
        <w:pStyle w:val="Heading1"/>
        <w:pBdr>
          <w:bottom w:val="single" w:color="2F5597" w:sz="6" w:space="4"/>
        </w:pBdr>
        <w:spacing w:after="200" w:before="480"/>
      </w:pPr>
      <w:r>
        <w:rPr>
          <w:b/>
          <w:bCs/>
          <w:color w:val="1F2A44"/>
          <w:sz w:val="30"/>
          <w:szCs w:val="30"/>
        </w:rPr>
        <w:t xml:space="preserve">7. Execution &amp; Trade Lifecycle</w:t>
      </w:r>
    </w:p>
    <w:p>
      <w:pPr>
        <w:pStyle w:val="Heading2"/>
        <w:spacing w:after="140" w:before="320"/>
      </w:pPr>
      <w:r>
        <w:rPr>
          <w:b/>
          <w:bCs/>
          <w:color w:val="2F5597"/>
          <w:sz w:val="24"/>
          <w:szCs w:val="24"/>
        </w:rPr>
        <w:t xml:space="preserve">7.1 Execution Service</w:t>
      </w:r>
    </w:p>
    <w:p>
      <w:pPr>
        <w:spacing w:after="140" w:line="276"/>
      </w:pPr>
      <w:r>
        <w:rPr>
          <w:color w:val="222222"/>
          <w:sz w:val="21"/>
          <w:szCs w:val="21"/>
        </w:rPr>
        <w:t xml:space="preserve">The Execution Service is the only component permitted to communicate with MetaApi.</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Trade Object   →   Execution Service   →   MetaApi   →   Broker   →   MT5</w:t>
      </w:r>
    </w:p>
    <w:p>
      <w:pPr>
        <w:spacing w:after="140" w:line="276"/>
      </w:pPr>
      <w:r>
        <w:rPr>
          <w:color w:val="222222"/>
          <w:sz w:val="21"/>
          <w:szCs w:val="21"/>
        </w:rPr>
        <w:t xml:space="preserve">Responsibilities: account connection, trade execution, trade modification and closing, pending orders, partial close, synchronization, retry logic, execution logging, and broker response handling. If the broker rejects an order, SignalForge records the rejection reason, broker response, retry attempts, and raises an alert. Future adapters are planned for a native MT5 bridge, cTrader, DXTrade, Interactive Brokers, and OANDA.</w:t>
      </w:r>
    </w:p>
    <w:p>
      <w:pPr>
        <w:pStyle w:val="Heading2"/>
        <w:spacing w:after="140" w:before="320"/>
      </w:pPr>
      <w:r>
        <w:rPr>
          <w:b/>
          <w:bCs/>
          <w:color w:val="2F5597"/>
          <w:sz w:val="24"/>
          <w:szCs w:val="24"/>
        </w:rPr>
        <w:t xml:space="preserve">7.2 Trade State Engine</w:t>
      </w:r>
    </w:p>
    <w:p>
      <w:pPr>
        <w:spacing w:after="140" w:line="276"/>
      </w:pPr>
      <w:r>
        <w:rPr>
          <w:color w:val="222222"/>
          <w:sz w:val="21"/>
          <w:szCs w:val="21"/>
        </w:rPr>
        <w:t xml:space="preserve">After execution, the Trade State Engine owns the complete trade lifecycle and records every transition along with who caused it (system, provider, user, automation, or broker), forming the platform's audit trail.</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 Received   →   Parsed   →   Approved   →   Executed   →   Break Even   →   Trailing Stop   →   Partial Close   →   Closed   →   Archived</w:t>
      </w:r>
    </w:p>
    <w:p>
      <w:pPr>
        <w:pStyle w:val="Heading2"/>
        <w:spacing w:after="140" w:before="320"/>
      </w:pPr>
      <w:r>
        <w:rPr>
          <w:b/>
          <w:bCs/>
          <w:color w:val="2F5597"/>
          <w:sz w:val="24"/>
          <w:szCs w:val="24"/>
        </w:rPr>
        <w:t xml:space="preserve">7.3 Trade Shadow Engine</w:t>
      </w:r>
    </w:p>
    <w:p>
      <w:pPr>
        <w:spacing w:after="140" w:line="276"/>
      </w:pPr>
      <w:r>
        <w:rPr>
          <w:color w:val="222222"/>
          <w:sz w:val="21"/>
          <w:szCs w:val="21"/>
        </w:rPr>
        <w:t xml:space="preserve">When a user manually exits a trade differently from the provider's own management, the Trade Shadow Engine tracks the original provider trade against the user's actual trade to surface missed profit, better exits, and behavioral feedback.</w:t>
      </w:r>
    </w:p>
    <w:p>
      <w:pPr>
        <w:pStyle w:val="Heading2"/>
        <w:spacing w:after="140" w:before="320"/>
      </w:pPr>
      <w:r>
        <w:rPr>
          <w:b/>
          <w:bCs/>
          <w:color w:val="2F5597"/>
          <w:sz w:val="24"/>
          <w:szCs w:val="24"/>
        </w:rPr>
        <w:t xml:space="preserve">7.4 Provider Sandbox (Recommended Enhancement)</w:t>
      </w:r>
    </w:p>
    <w:p>
      <w:pPr>
        <w:spacing w:after="140" w:line="276"/>
      </w:pPr>
      <w:r>
        <w:rPr>
          <w:color w:val="222222"/>
          <w:sz w:val="21"/>
          <w:szCs w:val="21"/>
        </w:rPr>
        <w:t xml:space="preserve">Before a provider goes live, SignalForge can replay their historical messages through the full pipeline (AI Parser → Provider DNA → Trade Matching → Validation) and produce an accuracy report, e.g. 500 messages processed, 492 signals detected, 98.6% parsing accuracy, 97.9% trade-management accuracy, with a live-trading recommendation. This validates the entire pipeline, not just parsing accuracy, before a provider is certified.</w:t>
      </w:r>
    </w:p>
    <w:p>
      <w:r>
        <w:br w:type="page"/>
      </w:r>
    </w:p>
    <w:p>
      <w:pPr>
        <w:pStyle w:val="Heading1"/>
        <w:pBdr>
          <w:bottom w:val="single" w:color="2F5597" w:sz="6" w:space="4"/>
        </w:pBdr>
        <w:spacing w:after="200" w:before="480"/>
      </w:pPr>
      <w:r>
        <w:rPr>
          <w:b/>
          <w:bCs/>
          <w:color w:val="1F2A44"/>
          <w:sz w:val="30"/>
          <w:szCs w:val="30"/>
        </w:rPr>
        <w:t xml:space="preserve">8. Scalability &amp; Copy-Trading Architecture</w:t>
      </w:r>
    </w:p>
    <w:p>
      <w:pPr>
        <w:spacing w:after="140" w:line="276"/>
      </w:pPr>
      <w:r>
        <w:rPr>
          <w:color w:val="222222"/>
          <w:sz w:val="21"/>
          <w:szCs w:val="21"/>
        </w:rPr>
        <w:t xml:space="preserve">Five architectural questions drove this section of the design; each is addressed below and mapped to a concrete architecture pattern.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500"/>
      </w:tblGrid>
      <w:tr>
        <w:trPr>
          <w:tblHeader/>
        </w:trPr>
        <w:tc>
          <w:tcPr>
            <w:tcW w:type="dxa" w:w="700"/>
            <w:shd w:fill="2F5597" w:val="clear"/>
            <w:tcMar>
              <w:top w:type="dxa" w:w="90"/>
              <w:left w:type="dxa" w:w="110"/>
              <w:bottom w:type="dxa" w:w="90"/>
              <w:right w:type="dxa" w:w="110"/>
            </w:tcMar>
            <w:vAlign w:val="center"/>
          </w:tcPr>
          <w:p>
            <w:r>
              <w:rPr>
                <w:b/>
                <w:bCs/>
                <w:color w:val="FFFFFF"/>
                <w:sz w:val="19"/>
                <w:szCs w:val="19"/>
              </w:rPr>
              <w:t xml:space="preserve">#</w:t>
            </w:r>
          </w:p>
        </w:tc>
        <w:tc>
          <w:tcPr>
            <w:tcW w:type="dxa" w:w="4200"/>
            <w:shd w:fill="2F5597" w:val="clear"/>
            <w:tcMar>
              <w:top w:type="dxa" w:w="90"/>
              <w:left w:type="dxa" w:w="110"/>
              <w:bottom w:type="dxa" w:w="90"/>
              <w:right w:type="dxa" w:w="110"/>
            </w:tcMar>
            <w:vAlign w:val="center"/>
          </w:tcPr>
          <w:p>
            <w:r>
              <w:rPr>
                <w:b/>
                <w:bCs/>
                <w:color w:val="FFFFFF"/>
                <w:sz w:val="19"/>
                <w:szCs w:val="19"/>
              </w:rPr>
              <w:t xml:space="preserve">Requirement</w:t>
            </w:r>
          </w:p>
        </w:tc>
        <w:tc>
          <w:tcPr>
            <w:tcW w:type="dxa" w:w="4500"/>
            <w:shd w:fill="2F5597" w:val="clear"/>
            <w:tcMar>
              <w:top w:type="dxa" w:w="90"/>
              <w:left w:type="dxa" w:w="110"/>
              <w:bottom w:type="dxa" w:w="90"/>
              <w:right w:type="dxa" w:w="110"/>
            </w:tcMar>
            <w:vAlign w:val="center"/>
          </w:tcPr>
          <w:p>
            <w:r>
              <w:rPr>
                <w:b/>
                <w:bCs/>
                <w:color w:val="FFFFFF"/>
                <w:sz w:val="19"/>
                <w:szCs w:val="19"/>
              </w:rPr>
              <w:t xml:space="preserve">Architecture Pattern</w:t>
            </w:r>
          </w:p>
        </w:tc>
      </w:tr>
      <w:tr>
        <w:tc>
          <w:tcPr>
            <w:tcW w:type="dxa" w:w="700"/>
            <w:shd w:fill="FFFFFF" w:val="clear"/>
            <w:tcMar>
              <w:top w:type="dxa" w:w="70"/>
              <w:left w:type="dxa" w:w="110"/>
              <w:bottom w:type="dxa" w:w="70"/>
              <w:right w:type="dxa" w:w="110"/>
            </w:tcMar>
            <w:vAlign w:val="center"/>
          </w:tcPr>
          <w:p>
            <w:r>
              <w:rPr>
                <w:sz w:val="19"/>
                <w:szCs w:val="19"/>
              </w:rPr>
              <w:t xml:space="preserve">1</w:t>
            </w:r>
          </w:p>
        </w:tc>
        <w:tc>
          <w:tcPr>
            <w:tcW w:type="dxa" w:w="4200"/>
            <w:shd w:fill="FFFFFF" w:val="clear"/>
            <w:tcMar>
              <w:top w:type="dxa" w:w="70"/>
              <w:left w:type="dxa" w:w="110"/>
              <w:bottom w:type="dxa" w:w="70"/>
              <w:right w:type="dxa" w:w="110"/>
            </w:tcMar>
            <w:vAlign w:val="center"/>
          </w:tcPr>
          <w:p>
            <w:r>
              <w:rPr>
                <w:sz w:val="19"/>
                <w:szCs w:val="19"/>
              </w:rPr>
              <w:t xml:space="preserve">Multiple sources per user</w:t>
            </w:r>
          </w:p>
        </w:tc>
        <w:tc>
          <w:tcPr>
            <w:tcW w:type="dxa" w:w="4500"/>
            <w:shd w:fill="FFFFFF" w:val="clear"/>
            <w:tcMar>
              <w:top w:type="dxa" w:w="70"/>
              <w:left w:type="dxa" w:w="110"/>
              <w:bottom w:type="dxa" w:w="70"/>
              <w:right w:type="dxa" w:w="110"/>
            </w:tcMar>
            <w:vAlign w:val="center"/>
          </w:tcPr>
          <w:p>
            <w:r>
              <w:rPr>
                <w:sz w:val="19"/>
                <w:szCs w:val="19"/>
              </w:rPr>
              <w:t xml:space="preserve">Connected Source Architecture</w:t>
            </w:r>
          </w:p>
        </w:tc>
      </w:tr>
      <w:tr>
        <w:tc>
          <w:tcPr>
            <w:tcW w:type="dxa" w:w="700"/>
            <w:shd w:fill="EEF2F8" w:val="clear"/>
            <w:tcMar>
              <w:top w:type="dxa" w:w="70"/>
              <w:left w:type="dxa" w:w="110"/>
              <w:bottom w:type="dxa" w:w="70"/>
              <w:right w:type="dxa" w:w="110"/>
            </w:tcMar>
            <w:vAlign w:val="center"/>
          </w:tcPr>
          <w:p>
            <w:r>
              <w:rPr>
                <w:sz w:val="19"/>
                <w:szCs w:val="19"/>
              </w:rPr>
              <w:t xml:space="preserve">2</w:t>
            </w:r>
          </w:p>
        </w:tc>
        <w:tc>
          <w:tcPr>
            <w:tcW w:type="dxa" w:w="4200"/>
            <w:shd w:fill="EEF2F8" w:val="clear"/>
            <w:tcMar>
              <w:top w:type="dxa" w:w="70"/>
              <w:left w:type="dxa" w:w="110"/>
              <w:bottom w:type="dxa" w:w="70"/>
              <w:right w:type="dxa" w:w="110"/>
            </w:tcMar>
            <w:vAlign w:val="center"/>
          </w:tcPr>
          <w:p>
            <w:r>
              <w:rPr>
                <w:sz w:val="19"/>
                <w:szCs w:val="19"/>
              </w:rPr>
              <w:t xml:space="preserve">Concurrent signal arrivals</w:t>
            </w:r>
          </w:p>
        </w:tc>
        <w:tc>
          <w:tcPr>
            <w:tcW w:type="dxa" w:w="4500"/>
            <w:shd w:fill="EEF2F8" w:val="clear"/>
            <w:tcMar>
              <w:top w:type="dxa" w:w="70"/>
              <w:left w:type="dxa" w:w="110"/>
              <w:bottom w:type="dxa" w:w="70"/>
              <w:right w:type="dxa" w:w="110"/>
            </w:tcMar>
            <w:vAlign w:val="center"/>
          </w:tcPr>
          <w:p>
            <w:r>
              <w:rPr>
                <w:sz w:val="19"/>
                <w:szCs w:val="19"/>
              </w:rPr>
              <w:t xml:space="preserve">Event Bus + Queues + Workers</w:t>
            </w:r>
          </w:p>
        </w:tc>
      </w:tr>
      <w:tr>
        <w:tc>
          <w:tcPr>
            <w:tcW w:type="dxa" w:w="700"/>
            <w:shd w:fill="FFFFFF" w:val="clear"/>
            <w:tcMar>
              <w:top w:type="dxa" w:w="70"/>
              <w:left w:type="dxa" w:w="110"/>
              <w:bottom w:type="dxa" w:w="70"/>
              <w:right w:type="dxa" w:w="110"/>
            </w:tcMar>
            <w:vAlign w:val="center"/>
          </w:tcPr>
          <w:p>
            <w:r>
              <w:rPr>
                <w:sz w:val="19"/>
                <w:szCs w:val="19"/>
              </w:rPr>
              <w:t xml:space="preserve">3</w:t>
            </w:r>
          </w:p>
        </w:tc>
        <w:tc>
          <w:tcPr>
            <w:tcW w:type="dxa" w:w="4200"/>
            <w:shd w:fill="FFFFFF" w:val="clear"/>
            <w:tcMar>
              <w:top w:type="dxa" w:w="70"/>
              <w:left w:type="dxa" w:w="110"/>
              <w:bottom w:type="dxa" w:w="70"/>
              <w:right w:type="dxa" w:w="110"/>
            </w:tcMar>
            <w:vAlign w:val="center"/>
          </w:tcPr>
          <w:p>
            <w:r>
              <w:rPr>
                <w:sz w:val="19"/>
                <w:szCs w:val="19"/>
              </w:rPr>
              <w:t xml:space="preserve">Demo vs. Real accounts</w:t>
            </w:r>
          </w:p>
        </w:tc>
        <w:tc>
          <w:tcPr>
            <w:tcW w:type="dxa" w:w="4500"/>
            <w:shd w:fill="FFFFFF" w:val="clear"/>
            <w:tcMar>
              <w:top w:type="dxa" w:w="70"/>
              <w:left w:type="dxa" w:w="110"/>
              <w:bottom w:type="dxa" w:w="70"/>
              <w:right w:type="dxa" w:w="110"/>
            </w:tcMar>
            <w:vAlign w:val="center"/>
          </w:tcPr>
          <w:p>
            <w:r>
              <w:rPr>
                <w:sz w:val="19"/>
                <w:szCs w:val="19"/>
              </w:rPr>
              <w:t xml:space="preserve">Multi-Trading-Account Architecture</w:t>
            </w:r>
          </w:p>
        </w:tc>
      </w:tr>
      <w:tr>
        <w:tc>
          <w:tcPr>
            <w:tcW w:type="dxa" w:w="700"/>
            <w:shd w:fill="EEF2F8" w:val="clear"/>
            <w:tcMar>
              <w:top w:type="dxa" w:w="70"/>
              <w:left w:type="dxa" w:w="110"/>
              <w:bottom w:type="dxa" w:w="70"/>
              <w:right w:type="dxa" w:w="110"/>
            </w:tcMar>
            <w:vAlign w:val="center"/>
          </w:tcPr>
          <w:p>
            <w:r>
              <w:rPr>
                <w:sz w:val="19"/>
                <w:szCs w:val="19"/>
              </w:rPr>
              <w:t xml:space="preserve">4</w:t>
            </w:r>
          </w:p>
        </w:tc>
        <w:tc>
          <w:tcPr>
            <w:tcW w:type="dxa" w:w="4200"/>
            <w:shd w:fill="EEF2F8" w:val="clear"/>
            <w:tcMar>
              <w:top w:type="dxa" w:w="70"/>
              <w:left w:type="dxa" w:w="110"/>
              <w:bottom w:type="dxa" w:w="70"/>
              <w:right w:type="dxa" w:w="110"/>
            </w:tcMar>
            <w:vAlign w:val="center"/>
          </w:tcPr>
          <w:p>
            <w:r>
              <w:rPr>
                <w:sz w:val="19"/>
                <w:szCs w:val="19"/>
              </w:rPr>
              <w:t xml:space="preserve">Monthly/Yearly subscriptions</w:t>
            </w:r>
          </w:p>
        </w:tc>
        <w:tc>
          <w:tcPr>
            <w:tcW w:type="dxa" w:w="4500"/>
            <w:shd w:fill="EEF2F8" w:val="clear"/>
            <w:tcMar>
              <w:top w:type="dxa" w:w="70"/>
              <w:left w:type="dxa" w:w="110"/>
              <w:bottom w:type="dxa" w:w="70"/>
              <w:right w:type="dxa" w:w="110"/>
            </w:tcMar>
            <w:vAlign w:val="center"/>
          </w:tcPr>
          <w:p>
            <w:r>
              <w:rPr>
                <w:sz w:val="19"/>
                <w:szCs w:val="19"/>
              </w:rPr>
              <w:t xml:space="preserve">Billing + Subscription Service</w:t>
            </w:r>
          </w:p>
        </w:tc>
      </w:tr>
      <w:tr>
        <w:tc>
          <w:tcPr>
            <w:tcW w:type="dxa" w:w="700"/>
            <w:shd w:fill="FFFFFF" w:val="clear"/>
            <w:tcMar>
              <w:top w:type="dxa" w:w="70"/>
              <w:left w:type="dxa" w:w="110"/>
              <w:bottom w:type="dxa" w:w="70"/>
              <w:right w:type="dxa" w:w="110"/>
            </w:tcMar>
            <w:vAlign w:val="center"/>
          </w:tcPr>
          <w:p>
            <w:r>
              <w:rPr>
                <w:sz w:val="19"/>
                <w:szCs w:val="19"/>
              </w:rPr>
              <w:t xml:space="preserve">5</w:t>
            </w:r>
          </w:p>
        </w:tc>
        <w:tc>
          <w:tcPr>
            <w:tcW w:type="dxa" w:w="4200"/>
            <w:shd w:fill="FFFFFF" w:val="clear"/>
            <w:tcMar>
              <w:top w:type="dxa" w:w="70"/>
              <w:left w:type="dxa" w:w="110"/>
              <w:bottom w:type="dxa" w:w="70"/>
              <w:right w:type="dxa" w:w="110"/>
            </w:tcMar>
            <w:vAlign w:val="center"/>
          </w:tcPr>
          <w:p>
            <w:r>
              <w:rPr>
                <w:sz w:val="19"/>
                <w:szCs w:val="19"/>
              </w:rPr>
              <w:t xml:space="preserve">Massive concurrent execution</w:t>
            </w:r>
          </w:p>
        </w:tc>
        <w:tc>
          <w:tcPr>
            <w:tcW w:type="dxa" w:w="4500"/>
            <w:shd w:fill="FFFFFF" w:val="clear"/>
            <w:tcMar>
              <w:top w:type="dxa" w:w="70"/>
              <w:left w:type="dxa" w:w="110"/>
              <w:bottom w:type="dxa" w:w="70"/>
              <w:right w:type="dxa" w:w="110"/>
            </w:tcMar>
            <w:vAlign w:val="center"/>
          </w:tcPr>
          <w:p>
            <w:r>
              <w:rPr>
                <w:sz w:val="19"/>
                <w:szCs w:val="19"/>
              </w:rPr>
              <w:t xml:space="preserve">Fan-Out + Horizontal Workers + Idempotency</w:t>
            </w:r>
          </w:p>
        </w:tc>
      </w:tr>
    </w:tbl>
    <w:p>
      <w:pPr>
        <w:pStyle w:val="Heading2"/>
        <w:spacing w:after="140" w:before="320"/>
      </w:pPr>
      <w:r>
        <w:rPr>
          <w:b/>
          <w:bCs/>
          <w:color w:val="2F5597"/>
          <w:sz w:val="24"/>
          <w:szCs w:val="24"/>
        </w:rPr>
        <w:t xml:space="preserve">8.1 Multiple Sources Per User</w:t>
      </w:r>
    </w:p>
    <w:p>
      <w:pPr>
        <w:spacing w:after="140" w:line="276"/>
      </w:pPr>
      <w:r>
        <w:rPr>
          <w:color w:val="222222"/>
          <w:sz w:val="21"/>
          <w:szCs w:val="21"/>
        </w:rPr>
        <w:t xml:space="preserve">A user is never restricted to a single source. The data model uses a Connected Source concept rather than a single column per source type, so a user can connect several Telegram channels, Discord servers, WhatsApp groups, and an email inbox simultaneously. A distinction is also drawn between Source and Provider, since a single provider may broadcast across several channels — this distinction matters for the marketplace.</w:t>
      </w:r>
    </w:p>
    <w:p>
      <w:pPr>
        <w:pStyle w:val="Heading2"/>
        <w:spacing w:after="140" w:before="320"/>
      </w:pPr>
      <w:r>
        <w:rPr>
          <w:b/>
          <w:bCs/>
          <w:color w:val="2F5597"/>
          <w:sz w:val="24"/>
          <w:szCs w:val="24"/>
        </w:rPr>
        <w:t xml:space="preserve">8.2 Concurrent Signal Processing</w:t>
      </w:r>
    </w:p>
    <w:p>
      <w:pPr>
        <w:spacing w:after="140" w:line="276"/>
      </w:pPr>
      <w:r>
        <w:rPr>
          <w:color w:val="222222"/>
          <w:sz w:val="21"/>
          <w:szCs w:val="21"/>
        </w:rPr>
        <w:t xml:space="preserve">Signals are never processed sequentially through a single request thread. Every incoming signal is placed on a message queue and picked up by a pool of workers running the AI/Rules → Risk → Execution pipeline independently and in parallel.</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Incoming Signals   →   Message Queue   →   Worker 1 / Worker 2 / Worker 3 ...   →   AI + Risk + Execution (per signal)</w:t>
      </w:r>
    </w:p>
    <w:p>
      <w:pPr>
        <w:spacing w:after="140" w:line="276"/>
      </w:pPr>
      <w:r>
        <w:rPr>
          <w:color w:val="222222"/>
          <w:sz w:val="21"/>
          <w:szCs w:val="21"/>
        </w:rPr>
        <w:t xml:space="preserve">Approval is never blanket: each signal runs its own decision chain (validity → AI confidence → subscription status → risk limits → trading session → duplicate check → account/margin availability) and independently resolves to Approve, Reject, or Ignore. If 1,000 signals arrive, the system makes 1,000 independent decisions rather than one blanket action.</w:t>
      </w:r>
    </w:p>
    <w:p>
      <w:pPr>
        <w:pStyle w:val="Heading2"/>
        <w:spacing w:after="140" w:before="320"/>
      </w:pPr>
      <w:r>
        <w:rPr>
          <w:b/>
          <w:bCs/>
          <w:color w:val="2F5597"/>
          <w:sz w:val="24"/>
          <w:szCs w:val="24"/>
        </w:rPr>
        <w:t xml:space="preserve">8.3 Demo vs. Real Trading Accounts</w:t>
      </w:r>
    </w:p>
    <w:p>
      <w:pPr>
        <w:spacing w:after="140" w:line="276"/>
      </w:pPr>
      <w:r>
        <w:rPr>
          <w:color w:val="222222"/>
          <w:sz w:val="21"/>
          <w:szCs w:val="21"/>
        </w:rPr>
        <w:t xml:space="preserve">Users may connect multiple trading accounts (e.g. an Exness Demo and an XM Live account) and choose, per provider subscription, which account and risk configuration applies. Trading Account is modeled as a separate concern from Provider Subscription, so a user can follow five providers using five different accounts and risk settings.</w:t>
      </w:r>
    </w:p>
    <w:p>
      <w:pPr>
        <w:pStyle w:val="Heading2"/>
        <w:spacing w:after="140" w:before="320"/>
      </w:pPr>
      <w:r>
        <w:rPr>
          <w:b/>
          <w:bCs/>
          <w:color w:val="2F5597"/>
          <w:sz w:val="24"/>
          <w:szCs w:val="24"/>
        </w:rPr>
        <w:t xml:space="preserve">8.4 Fan-Out to Subscribers</w:t>
      </w:r>
    </w:p>
    <w:p>
      <w:pPr>
        <w:spacing w:after="140" w:line="276"/>
      </w:pPr>
      <w:r>
        <w:rPr>
          <w:color w:val="222222"/>
          <w:sz w:val="21"/>
          <w:szCs w:val="21"/>
        </w:rPr>
        <w:t xml:space="preserve">A provider signal is processed exactly once at the provider level; the Copy Trading Engine then fans it out to subscribers in batches handled by many parallel workers, rather than looping through subscribers one at a time.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Provider Signal   →   Signal Event Bus   →   Batch 1 / Batch 2 / Batch 3 ...   →   Workers   →   Per-Subscriber Risk   →   Per-Subscriber Execution</w:t>
      </w:r>
    </w:p>
    <w:p>
      <w:pPr>
        <w:spacing w:after="140" w:line="276"/>
      </w:pPr>
      <w:r>
        <w:rPr>
          <w:color w:val="222222"/>
          <w:sz w:val="21"/>
          <w:szCs w:val="21"/>
        </w:rPr>
        <w:t xml:space="preserve">Every subscriber's final order is personalized — the same “BUY XAUUSD” instruction becomes different orders per user based on their configured risk percentage, fixed lot size, or disabled status. This is what makes SignalForge copy-trading infrastructure rather than a simple copier.</w:t>
      </w:r>
    </w:p>
    <w:p>
      <w:pPr>
        <w:pStyle w:val="Heading2"/>
        <w:spacing w:after="140" w:before="320"/>
      </w:pPr>
      <w:r>
        <w:rPr>
          <w:b/>
          <w:bCs/>
          <w:color w:val="2F5597"/>
          <w:sz w:val="24"/>
          <w:szCs w:val="24"/>
        </w:rPr>
        <w:t xml:space="preserve">8.5 Idempotency &amp; Failure Handling</w:t>
      </w:r>
    </w:p>
    <w:p>
      <w:pPr>
        <w:spacing w:after="140" w:line="276"/>
      </w:pPr>
      <w:r>
        <w:rPr>
          <w:color w:val="222222"/>
          <w:sz w:val="21"/>
          <w:szCs w:val="21"/>
        </w:rPr>
        <w:t xml:space="preserve">Every incoming message is assigned an idempotency key (e.g. telegram:channel_id:message_id) so that a Telegram reconnect that redelivers a message never causes a duplicate trade. If MetaApi is slow or unavailable, execution is queued and retried (Retry 1 → Retry 2 → Retry 3 → Dead Letter Queue) rather than freezing the platform; the user is notified of a delayed or failed execution with the recorded reason.</w:t>
      </w:r>
    </w:p>
    <w:p>
      <w:pPr>
        <w:pStyle w:val="Heading2"/>
        <w:spacing w:after="140" w:before="320"/>
      </w:pPr>
      <w:r>
        <w:rPr>
          <w:b/>
          <w:bCs/>
          <w:color w:val="2F5597"/>
          <w:sz w:val="24"/>
          <w:szCs w:val="24"/>
        </w:rPr>
        <w:t xml:space="preserve">8.6 High-Level Scaling Stack</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Load Balancer   →   API Gateway   →   Event Bus   →   Queue A / Queue B / Queue C   →   Workers (horizontally scalable)   →   Execution</w:t>
      </w:r>
    </w:p>
    <w:p>
      <w:r>
        <w:br w:type="page"/>
      </w:r>
    </w:p>
    <w:p>
      <w:pPr>
        <w:pStyle w:val="Heading1"/>
        <w:pBdr>
          <w:bottom w:val="single" w:color="2F5597" w:sz="6" w:space="4"/>
        </w:pBdr>
        <w:spacing w:after="200" w:before="480"/>
      </w:pPr>
      <w:r>
        <w:rPr>
          <w:b/>
          <w:bCs/>
          <w:color w:val="1F2A44"/>
          <w:sz w:val="30"/>
          <w:szCs w:val="30"/>
        </w:rPr>
        <w:t xml:space="preserve">9. Subscriptions &amp; Billing</w:t>
      </w:r>
    </w:p>
    <w:p>
      <w:pPr>
        <w:pStyle w:val="Heading2"/>
        <w:spacing w:after="140" w:before="320"/>
      </w:pPr>
      <w:r>
        <w:rPr>
          <w:b/>
          <w:bCs/>
          <w:color w:val="2F5597"/>
          <w:sz w:val="24"/>
          <w:szCs w:val="24"/>
        </w:rPr>
        <w:t xml:space="preserve">9.1 Plans</w:t>
      </w:r>
    </w:p>
    <w:p>
      <w:pPr>
        <w:spacing w:after="140" w:line="276"/>
      </w:pPr>
      <w:r>
        <w:rPr>
          <w:color w:val="222222"/>
          <w:sz w:val="21"/>
          <w:szCs w:val="21"/>
        </w:rPr>
        <w:t xml:space="preserve">Recommended tiers: Monthly ($19/month), Yearly ($190/year), and optionally Lifetime/Enterprise depending on final business model.</w:t>
      </w:r>
    </w:p>
    <w:p>
      <w:pPr>
        <w:pStyle w:val="Heading2"/>
        <w:spacing w:after="140" w:before="320"/>
      </w:pPr>
      <w:r>
        <w:rPr>
          <w:b/>
          <w:bCs/>
          <w:color w:val="2F5597"/>
          <w:sz w:val="24"/>
          <w:szCs w:val="24"/>
        </w:rPr>
        <w:t xml:space="preserve">9.2 Subscription Lifecycle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TRIAL   →   ACTIVE   →   PAST_DUE   →   GRACE_PERIOD   →   EXPIRED   →   CANCELLED</w:t>
      </w:r>
    </w:p>
    <w:p>
      <w:pPr>
        <w:spacing w:after="140" w:line="276"/>
      </w:pPr>
      <w:r>
        <w:rPr>
          <w:color w:val="222222"/>
          <w:sz w:val="21"/>
          <w:szCs w:val="21"/>
        </w:rPr>
        <w:t xml:space="preserve">Subscriptions are never a simple boolean flag. On expiry, trading automation is disabled but connected accounts, signal history, and dashboard access remain — the platform distinguishes “can access the platform” from “can execute trades.” An expired user can still view historical analytics but cannot execute new automated trades.</w:t>
      </w:r>
    </w:p>
    <w:p>
      <w:pPr>
        <w:pStyle w:val="Heading2"/>
        <w:spacing w:after="140" w:before="320"/>
      </w:pPr>
      <w:r>
        <w:rPr>
          <w:b/>
          <w:bCs/>
          <w:color w:val="2F5597"/>
          <w:sz w:val="24"/>
          <w:szCs w:val="24"/>
        </w:rPr>
        <w:t xml:space="preserve">9.3 Automatic Renewal</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Payment Provider   →   Recurring Payment   →   Webhook   →   Subscription Service   →   Renewed Subscription</w:t>
      </w:r>
    </w:p>
    <w:p>
      <w:pPr>
        <w:spacing w:after="140" w:line="276"/>
      </w:pPr>
      <w:r>
        <w:rPr>
          <w:color w:val="222222"/>
          <w:sz w:val="21"/>
          <w:szCs w:val="21"/>
        </w:rPr>
        <w:t xml:space="preserve">Renewal state is driven by the payment provider's webhook notification to the backend — never by a frontend “payment succeeded” message alone.</w:t>
      </w:r>
    </w:p>
    <w:p>
      <w:pPr>
        <w:pStyle w:val="Heading2"/>
        <w:spacing w:after="140" w:before="320"/>
      </w:pPr>
      <w:r>
        <w:rPr>
          <w:b/>
          <w:bCs/>
          <w:color w:val="2F5597"/>
          <w:sz w:val="24"/>
          <w:szCs w:val="24"/>
        </w:rPr>
        <w:t xml:space="preserve">9.4 Wallet &amp; Payment Providers</w:t>
      </w:r>
    </w:p>
    <w:p>
      <w:pPr>
        <w:spacing w:after="140" w:line="276"/>
      </w:pPr>
      <w:r>
        <w:rPr>
          <w:color w:val="222222"/>
          <w:sz w:val="21"/>
          <w:szCs w:val="21"/>
        </w:rPr>
        <w:t xml:space="preserve">A user's trading account balance (inside MT5) is never treated as money available for subscription payment. A separate SignalForge wallet balance funds subscriptions, funded via supported payment providers — Stripe for global markets, with Paystack/Flutterwave considered for the Nigerian market.</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Checkout   →   Stripe   →   Payment   →   Stripe Webhook   →   Billing Service   →   Subscription ACTIVE</w:t>
      </w:r>
    </w:p>
    <w:p>
      <w:r>
        <w:br w:type="page"/>
      </w:r>
    </w:p>
    <w:p>
      <w:pPr>
        <w:pStyle w:val="Heading1"/>
        <w:pBdr>
          <w:bottom w:val="single" w:color="2F5597" w:sz="6" w:space="4"/>
        </w:pBdr>
        <w:spacing w:after="200" w:before="480"/>
      </w:pPr>
      <w:r>
        <w:rPr>
          <w:b/>
          <w:bCs/>
          <w:color w:val="1F2A44"/>
          <w:sz w:val="30"/>
          <w:szCs w:val="30"/>
        </w:rPr>
        <w:t xml:space="preserve">10. Referral &amp; Rewards System</w:t>
      </w:r>
    </w:p>
    <w:p>
      <w:pPr>
        <w:spacing w:after="220" w:line="300"/>
      </w:pPr>
      <w:r>
        <w:rPr>
          <w:i/>
          <w:iCs/>
          <w:color w:val="5A5A5A"/>
          <w:sz w:val="21"/>
          <w:szCs w:val="21"/>
        </w:rPr>
        <w:t xml:space="preserve">Core principle: a user earns referral rewards based on the eligible net trading performance generated by users they personally referred. The reward is funded from SignalForge's designated referral/revenue pool — never deducted from the referred trader's broker account or trading profits.</w:t>
      </w:r>
    </w:p>
    <w:p>
      <w:pPr>
        <w:pStyle w:val="Heading2"/>
        <w:spacing w:after="140" w:before="320"/>
      </w:pPr>
      <w:r>
        <w:rPr>
          <w:b/>
          <w:bCs/>
          <w:color w:val="2F5597"/>
          <w:sz w:val="24"/>
          <w:szCs w:val="24"/>
        </w:rPr>
        <w:t xml:space="preserve">10.1 Core Flow</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User A shares referral link   →   User B trades through SignalForge   →   Broker / MetaApi   →   Trade Results   →   Performance Ledger   →   Monthly Settlement   →   Referral Engine (0.1%)   →   Referral Reward   →   User A Wallet</w:t>
      </w:r>
    </w:p>
    <w:p>
      <w:pPr>
        <w:pStyle w:val="Heading2"/>
        <w:spacing w:after="140" w:before="320"/>
      </w:pPr>
      <w:r>
        <w:rPr>
          <w:b/>
          <w:bCs/>
          <w:color w:val="2F5597"/>
          <w:sz w:val="24"/>
          <w:szCs w:val="24"/>
        </w:rPr>
        <w:t xml:space="preserve">10.2 Worked Example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F5597" w:val="clear"/>
            <w:tcMar>
              <w:top w:type="dxa" w:w="80"/>
              <w:left w:type="dxa" w:w="120"/>
              <w:bottom w:type="dxa" w:w="80"/>
              <w:right w:type="dxa" w:w="120"/>
            </w:tcMar>
            <w:vAlign w:val="center"/>
          </w:tcPr>
          <w:p>
            <w:r>
              <w:rPr>
                <w:b/>
                <w:bCs/>
                <w:color w:val="FFFFFF"/>
                <w:sz w:val="20"/>
                <w:szCs w:val="20"/>
              </w:rPr>
              <w:t xml:space="preserve">Winning trades</w:t>
            </w:r>
          </w:p>
        </w:tc>
        <w:tc>
          <w:tcPr>
            <w:tcW w:type="dxa" w:w="7000"/>
            <w:shd w:fill="2F5597" w:val="clear"/>
            <w:tcMar>
              <w:top w:type="dxa" w:w="80"/>
              <w:left w:type="dxa" w:w="120"/>
              <w:bottom w:type="dxa" w:w="80"/>
              <w:right w:type="dxa" w:w="120"/>
            </w:tcMar>
            <w:vAlign w:val="center"/>
          </w:tcPr>
          <w:p>
            <w:r>
              <w:rPr>
                <w:b/>
                <w:bCs/>
                <w:color w:val="FFFFFF"/>
                <w:sz w:val="20"/>
                <w:szCs w:val="20"/>
              </w:rPr>
              <w:t xml:space="preserve">+$4,000</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Losing trades</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–$800</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Eligible costs</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–$200</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Net eligible profit</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$3,000</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Referral rate</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0.1%</w:t>
            </w:r>
          </w:p>
        </w:tc>
      </w:tr>
      <w:tr>
        <w:tc>
          <w:tcPr>
            <w:tcW w:type="dxa" w:w="2400"/>
            <w:shd w:fill="EEF2F8" w:val="clear"/>
            <w:tcMar>
              <w:top w:type="dxa" w:w="80"/>
              <w:left w:type="dxa" w:w="120"/>
              <w:bottom w:type="dxa" w:w="80"/>
              <w:right w:type="dxa" w:w="120"/>
            </w:tcMar>
            <w:vAlign w:val="center"/>
          </w:tcPr>
          <w:p>
            <w:r>
              <w:rPr>
                <w:b/>
                <w:bCs/>
                <w:color w:val="1F2A44"/>
                <w:sz w:val="20"/>
                <w:szCs w:val="20"/>
              </w:rPr>
              <w:t xml:space="preserve">Referral reward</w:t>
            </w:r>
          </w:p>
        </w:tc>
        <w:tc>
          <w:tcPr>
            <w:tcW w:type="dxa" w:w="7000"/>
            <w:shd w:fill="FFFFFF" w:val="clear"/>
            <w:tcMar>
              <w:top w:type="dxa" w:w="80"/>
              <w:left w:type="dxa" w:w="120"/>
              <w:bottom w:type="dxa" w:w="80"/>
              <w:right w:type="dxa" w:w="120"/>
            </w:tcMar>
            <w:vAlign w:val="center"/>
          </w:tcPr>
          <w:p>
            <w:r>
              <w:rPr>
                <w:b w:val="false"/>
                <w:bCs w:val="false"/>
                <w:color w:val="222222"/>
                <w:sz w:val="20"/>
                <w:szCs w:val="20"/>
              </w:rPr>
              <w:t xml:space="preserve">$3.00</w:t>
            </w:r>
          </w:p>
        </w:tc>
      </w:tr>
    </w:tbl>
    <w:p>
      <w:pPr>
        <w:spacing w:after="140" w:line="276"/>
      </w:pPr>
      <w:r>
        <w:rPr>
          <w:color w:val="222222"/>
          <w:sz w:val="21"/>
          <w:szCs w:val="21"/>
        </w:rPr>
        <w:t xml:space="preserve">If the referred user's net result for the period is negative, the eligible profit is floored at $0 and the referral reward is $0 — the referrer never owes SignalForge money for a losing month.</w:t>
      </w:r>
    </w:p>
    <w:p>
      <w:pPr>
        <w:pStyle w:val="Heading2"/>
        <w:spacing w:after="140" w:before="320"/>
      </w:pPr>
      <w:r>
        <w:rPr>
          <w:b/>
          <w:bCs/>
          <w:color w:val="2F5597"/>
          <w:sz w:val="24"/>
          <w:szCs w:val="24"/>
        </w:rPr>
        <w:t xml:space="preserve">10.3 Eligible Net Profit</w:t>
      </w:r>
    </w:p>
    <w:p>
      <w:pPr>
        <w:spacing w:after="140" w:line="276"/>
      </w:pPr>
      <w:r>
        <w:rPr>
          <w:color w:val="222222"/>
          <w:sz w:val="21"/>
          <w:szCs w:val="21"/>
        </w:rPr>
        <w:t xml:space="preserve">Only realized/settled performance enters the referral calculation; an open position never triggers a reward on its own:</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Gross Trading Profit   →   + Gross Trading Losses   →   – Eligible Trading Costs   →   = Eligible Net Trading Profit</w:t>
      </w:r>
    </w:p>
    <w:p>
      <w:pPr>
        <w:pStyle w:val="Heading2"/>
        <w:spacing w:after="140" w:before="320"/>
      </w:pPr>
      <w:r>
        <w:rPr>
          <w:b/>
          <w:bCs/>
          <w:color w:val="2F5597"/>
          <w:sz w:val="24"/>
          <w:szCs w:val="24"/>
        </w:rPr>
        <w:t xml:space="preserve">10.4 Monthly Settlement Cycle</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Month Start   →   Trading Activity   →   Performance Ledger   →   Month End   →   Freeze Period   →   Calculate Eligible Profit   →   Find Referrer   →   Calculate Reward   →   Fraud/Integrity Checks   →   Finalize   →   Referral Wallet</w:t>
      </w:r>
    </w:p>
    <w:p>
      <w:pPr>
        <w:pStyle w:val="Heading2"/>
        <w:spacing w:after="140" w:before="320"/>
      </w:pPr>
      <w:r>
        <w:rPr>
          <w:b/>
          <w:bCs/>
          <w:color w:val="2F5597"/>
          <w:sz w:val="24"/>
          <w:szCs w:val="24"/>
        </w:rPr>
        <w:t xml:space="preserve">10.5 Referral Relationship Rules</w:t>
      </w:r>
    </w:p>
    <w:p>
      <w:pPr>
        <w:pStyle w:val="ListParagraph"/>
        <w:numPr>
          <w:ilvl w:val="0"/>
          <w:numId w:val="2"/>
        </w:numPr>
        <w:spacing w:after="80"/>
      </w:pPr>
      <w:r>
        <w:rPr>
          <w:sz w:val="21"/>
          <w:szCs w:val="21"/>
        </w:rPr>
        <w:t xml:space="preserve">A referral relationship, once attributed, is permanent — a user cannot switch referrers.</w:t>
      </w:r>
    </w:p>
    <w:p>
      <w:pPr>
        <w:pStyle w:val="ListParagraph"/>
        <w:numPr>
          <w:ilvl w:val="0"/>
          <w:numId w:val="2"/>
        </w:numPr>
        <w:spacing w:after="80"/>
      </w:pPr>
      <w:r>
        <w:rPr>
          <w:sz w:val="21"/>
          <w:szCs w:val="21"/>
        </w:rPr>
        <w:t xml:space="preserve">Each referred user maps to exactly one referrer (unique constraint on the referred user).</w:t>
      </w:r>
    </w:p>
    <w:p>
      <w:pPr>
        <w:pStyle w:val="ListParagraph"/>
        <w:numPr>
          <w:ilvl w:val="0"/>
          <w:numId w:val="2"/>
        </w:numPr>
        <w:spacing w:after="80"/>
      </w:pPr>
      <w:r>
        <w:rPr>
          <w:sz w:val="21"/>
          <w:szCs w:val="21"/>
        </w:rPr>
        <w:t xml:space="preserve">A referrer can have many referred users; rewards from each are summed per settlement period.</w:t>
      </w:r>
    </w:p>
    <w:p>
      <w:pPr>
        <w:pStyle w:val="Heading2"/>
        <w:spacing w:after="140" w:before="320"/>
      </w:pPr>
      <w:r>
        <w:rPr>
          <w:b/>
          <w:bCs/>
          <w:color w:val="2F5597"/>
          <w:sz w:val="24"/>
          <w:szCs w:val="24"/>
        </w:rPr>
        <w:t xml:space="preserve">10.6 Data Model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2F5597" w:val="clear"/>
            <w:tcMar>
              <w:top w:type="dxa" w:w="90"/>
              <w:left w:type="dxa" w:w="110"/>
              <w:bottom w:type="dxa" w:w="90"/>
              <w:right w:type="dxa" w:w="110"/>
            </w:tcMar>
            <w:vAlign w:val="center"/>
          </w:tcPr>
          <w:p>
            <w:r>
              <w:rPr>
                <w:b/>
                <w:bCs/>
                <w:color w:val="FFFFFF"/>
                <w:sz w:val="19"/>
                <w:szCs w:val="19"/>
              </w:rPr>
              <w:t xml:space="preserve">Table</w:t>
            </w:r>
          </w:p>
        </w:tc>
        <w:tc>
          <w:tcPr>
            <w:tcW w:type="dxa" w:w="6400"/>
            <w:shd w:fill="2F5597" w:val="clear"/>
            <w:tcMar>
              <w:top w:type="dxa" w:w="90"/>
              <w:left w:type="dxa" w:w="110"/>
              <w:bottom w:type="dxa" w:w="90"/>
              <w:right w:type="dxa" w:w="110"/>
            </w:tcMar>
            <w:vAlign w:val="center"/>
          </w:tcPr>
          <w:p>
            <w:r>
              <w:rPr>
                <w:b/>
                <w:bCs/>
                <w:color w:val="FFFFFF"/>
                <w:sz w:val="19"/>
                <w:szCs w:val="19"/>
              </w:rPr>
              <w:t xml:space="preserve">Purpose</w:t>
            </w:r>
          </w:p>
        </w:tc>
      </w:tr>
      <w:tr>
        <w:tc>
          <w:tcPr>
            <w:tcW w:type="dxa" w:w="3000"/>
            <w:shd w:fill="FFFFFF" w:val="clear"/>
            <w:tcMar>
              <w:top w:type="dxa" w:w="70"/>
              <w:left w:type="dxa" w:w="110"/>
              <w:bottom w:type="dxa" w:w="70"/>
              <w:right w:type="dxa" w:w="110"/>
            </w:tcMar>
            <w:vAlign w:val="center"/>
          </w:tcPr>
          <w:p>
            <w:r>
              <w:rPr>
                <w:sz w:val="19"/>
                <w:szCs w:val="19"/>
              </w:rPr>
              <w:t xml:space="preserve">referral_codes</w:t>
            </w:r>
          </w:p>
        </w:tc>
        <w:tc>
          <w:tcPr>
            <w:tcW w:type="dxa" w:w="6400"/>
            <w:shd w:fill="FFFFFF" w:val="clear"/>
            <w:tcMar>
              <w:top w:type="dxa" w:w="70"/>
              <w:left w:type="dxa" w:w="110"/>
              <w:bottom w:type="dxa" w:w="70"/>
              <w:right w:type="dxa" w:w="110"/>
            </w:tcMar>
            <w:vAlign w:val="center"/>
          </w:tcPr>
          <w:p>
            <w:r>
              <w:rPr>
                <w:sz w:val="19"/>
                <w:szCs w:val="19"/>
              </w:rPr>
              <w:t xml:space="preserve">A user's shareable referral code</w:t>
            </w:r>
          </w:p>
        </w:tc>
      </w:tr>
      <w:tr>
        <w:tc>
          <w:tcPr>
            <w:tcW w:type="dxa" w:w="3000"/>
            <w:shd w:fill="EEF2F8" w:val="clear"/>
            <w:tcMar>
              <w:top w:type="dxa" w:w="70"/>
              <w:left w:type="dxa" w:w="110"/>
              <w:bottom w:type="dxa" w:w="70"/>
              <w:right w:type="dxa" w:w="110"/>
            </w:tcMar>
            <w:vAlign w:val="center"/>
          </w:tcPr>
          <w:p>
            <w:r>
              <w:rPr>
                <w:sz w:val="19"/>
                <w:szCs w:val="19"/>
              </w:rPr>
              <w:t xml:space="preserve">referral_relationships</w:t>
            </w:r>
          </w:p>
        </w:tc>
        <w:tc>
          <w:tcPr>
            <w:tcW w:type="dxa" w:w="6400"/>
            <w:shd w:fill="EEF2F8" w:val="clear"/>
            <w:tcMar>
              <w:top w:type="dxa" w:w="70"/>
              <w:left w:type="dxa" w:w="110"/>
              <w:bottom w:type="dxa" w:w="70"/>
              <w:right w:type="dxa" w:w="110"/>
            </w:tcMar>
            <w:vAlign w:val="center"/>
          </w:tcPr>
          <w:p>
            <w:r>
              <w:rPr>
                <w:sz w:val="19"/>
                <w:szCs w:val="19"/>
              </w:rPr>
              <w:t xml:space="preserve">Permanent referrer → referred-user attribution</w:t>
            </w:r>
          </w:p>
        </w:tc>
      </w:tr>
      <w:tr>
        <w:tc>
          <w:tcPr>
            <w:tcW w:type="dxa" w:w="3000"/>
            <w:shd w:fill="FFFFFF" w:val="clear"/>
            <w:tcMar>
              <w:top w:type="dxa" w:w="70"/>
              <w:left w:type="dxa" w:w="110"/>
              <w:bottom w:type="dxa" w:w="70"/>
              <w:right w:type="dxa" w:w="110"/>
            </w:tcMar>
            <w:vAlign w:val="center"/>
          </w:tcPr>
          <w:p>
            <w:r>
              <w:rPr>
                <w:sz w:val="19"/>
                <w:szCs w:val="19"/>
              </w:rPr>
              <w:t xml:space="preserve">performance_periods</w:t>
            </w:r>
          </w:p>
        </w:tc>
        <w:tc>
          <w:tcPr>
            <w:tcW w:type="dxa" w:w="6400"/>
            <w:shd w:fill="FFFFFF" w:val="clear"/>
            <w:tcMar>
              <w:top w:type="dxa" w:w="70"/>
              <w:left w:type="dxa" w:w="110"/>
              <w:bottom w:type="dxa" w:w="70"/>
              <w:right w:type="dxa" w:w="110"/>
            </w:tcMar>
            <w:vAlign w:val="center"/>
          </w:tcPr>
          <w:p>
            <w:r>
              <w:rPr>
                <w:sz w:val="19"/>
                <w:szCs w:val="19"/>
              </w:rPr>
              <w:t xml:space="preserve">Per-user, per-period gross/eligible profit calculation</w:t>
            </w:r>
          </w:p>
        </w:tc>
      </w:tr>
      <w:tr>
        <w:tc>
          <w:tcPr>
            <w:tcW w:type="dxa" w:w="3000"/>
            <w:shd w:fill="EEF2F8" w:val="clear"/>
            <w:tcMar>
              <w:top w:type="dxa" w:w="70"/>
              <w:left w:type="dxa" w:w="110"/>
              <w:bottom w:type="dxa" w:w="70"/>
              <w:right w:type="dxa" w:w="110"/>
            </w:tcMar>
            <w:vAlign w:val="center"/>
          </w:tcPr>
          <w:p>
            <w:r>
              <w:rPr>
                <w:sz w:val="19"/>
                <w:szCs w:val="19"/>
              </w:rPr>
              <w:t xml:space="preserve">referral_rewards</w:t>
            </w:r>
          </w:p>
        </w:tc>
        <w:tc>
          <w:tcPr>
            <w:tcW w:type="dxa" w:w="6400"/>
            <w:shd w:fill="EEF2F8" w:val="clear"/>
            <w:tcMar>
              <w:top w:type="dxa" w:w="70"/>
              <w:left w:type="dxa" w:w="110"/>
              <w:bottom w:type="dxa" w:w="70"/>
              <w:right w:type="dxa" w:w="110"/>
            </w:tcMar>
            <w:vAlign w:val="center"/>
          </w:tcPr>
          <w:p>
            <w:r>
              <w:rPr>
                <w:sz w:val="19"/>
                <w:szCs w:val="19"/>
              </w:rPr>
              <w:t xml:space="preserve">Calculated reward per referrer/referred-user/period</w:t>
            </w:r>
          </w:p>
        </w:tc>
      </w:tr>
      <w:tr>
        <w:tc>
          <w:tcPr>
            <w:tcW w:type="dxa" w:w="3000"/>
            <w:shd w:fill="FFFFFF" w:val="clear"/>
            <w:tcMar>
              <w:top w:type="dxa" w:w="70"/>
              <w:left w:type="dxa" w:w="110"/>
              <w:bottom w:type="dxa" w:w="70"/>
              <w:right w:type="dxa" w:w="110"/>
            </w:tcMar>
            <w:vAlign w:val="center"/>
          </w:tcPr>
          <w:p>
            <w:r>
              <w:rPr>
                <w:sz w:val="19"/>
                <w:szCs w:val="19"/>
              </w:rPr>
              <w:t xml:space="preserve">referral_wallets</w:t>
            </w:r>
          </w:p>
        </w:tc>
        <w:tc>
          <w:tcPr>
            <w:tcW w:type="dxa" w:w="6400"/>
            <w:shd w:fill="FFFFFF" w:val="clear"/>
            <w:tcMar>
              <w:top w:type="dxa" w:w="70"/>
              <w:left w:type="dxa" w:w="110"/>
              <w:bottom w:type="dxa" w:w="70"/>
              <w:right w:type="dxa" w:w="110"/>
            </w:tcMar>
            <w:vAlign w:val="center"/>
          </w:tcPr>
          <w:p>
            <w:r>
              <w:rPr>
                <w:sz w:val="19"/>
                <w:szCs w:val="19"/>
              </w:rPr>
              <w:t xml:space="preserve">Pending, available, and lifetime balances</w:t>
            </w:r>
          </w:p>
        </w:tc>
      </w:tr>
      <w:tr>
        <w:tc>
          <w:tcPr>
            <w:tcW w:type="dxa" w:w="3000"/>
            <w:shd w:fill="EEF2F8" w:val="clear"/>
            <w:tcMar>
              <w:top w:type="dxa" w:w="70"/>
              <w:left w:type="dxa" w:w="110"/>
              <w:bottom w:type="dxa" w:w="70"/>
              <w:right w:type="dxa" w:w="110"/>
            </w:tcMar>
            <w:vAlign w:val="center"/>
          </w:tcPr>
          <w:p>
            <w:r>
              <w:rPr>
                <w:sz w:val="19"/>
                <w:szCs w:val="19"/>
              </w:rPr>
              <w:t xml:space="preserve">referral_ledger</w:t>
            </w:r>
          </w:p>
        </w:tc>
        <w:tc>
          <w:tcPr>
            <w:tcW w:type="dxa" w:w="6400"/>
            <w:shd w:fill="EEF2F8" w:val="clear"/>
            <w:tcMar>
              <w:top w:type="dxa" w:w="70"/>
              <w:left w:type="dxa" w:w="110"/>
              <w:bottom w:type="dxa" w:w="70"/>
              <w:right w:type="dxa" w:w="110"/>
            </w:tcMar>
            <w:vAlign w:val="center"/>
          </w:tcPr>
          <w:p>
            <w:r>
              <w:rPr>
                <w:sz w:val="19"/>
                <w:szCs w:val="19"/>
              </w:rPr>
              <w:t xml:space="preserve">Immutable transaction log backing every wallet change</w:t>
            </w:r>
          </w:p>
        </w:tc>
      </w:tr>
      <w:tr>
        <w:tc>
          <w:tcPr>
            <w:tcW w:type="dxa" w:w="3000"/>
            <w:shd w:fill="FFFFFF" w:val="clear"/>
            <w:tcMar>
              <w:top w:type="dxa" w:w="70"/>
              <w:left w:type="dxa" w:w="110"/>
              <w:bottom w:type="dxa" w:w="70"/>
              <w:right w:type="dxa" w:w="110"/>
            </w:tcMar>
            <w:vAlign w:val="center"/>
          </w:tcPr>
          <w:p>
            <w:r>
              <w:rPr>
                <w:sz w:val="19"/>
                <w:szCs w:val="19"/>
              </w:rPr>
              <w:t xml:space="preserve">referral_settlements</w:t>
            </w:r>
          </w:p>
        </w:tc>
        <w:tc>
          <w:tcPr>
            <w:tcW w:type="dxa" w:w="6400"/>
            <w:shd w:fill="FFFFFF" w:val="clear"/>
            <w:tcMar>
              <w:top w:type="dxa" w:w="70"/>
              <w:left w:type="dxa" w:w="110"/>
              <w:bottom w:type="dxa" w:w="70"/>
              <w:right w:type="dxa" w:w="110"/>
            </w:tcMar>
            <w:vAlign w:val="center"/>
          </w:tcPr>
          <w:p>
            <w:r>
              <w:rPr>
                <w:sz w:val="19"/>
                <w:szCs w:val="19"/>
              </w:rPr>
              <w:t xml:space="preserve">Monthly settlement run summary</w:t>
            </w:r>
          </w:p>
        </w:tc>
      </w:tr>
    </w:tbl>
    <w:p>
      <w:pPr>
        <w:pStyle w:val="Heading2"/>
        <w:spacing w:after="140" w:before="320"/>
      </w:pPr>
      <w:r>
        <w:rPr>
          <w:b/>
          <w:bCs/>
          <w:color w:val="2F5597"/>
          <w:sz w:val="24"/>
          <w:szCs w:val="24"/>
        </w:rPr>
        <w:t xml:space="preserve">10.7 Accounting Rule</w:t>
      </w:r>
    </w:p>
    <w:p>
      <w:pPr>
        <w:spacing w:after="140" w:line="276"/>
      </w:pPr>
      <w:r>
        <w:rPr>
          <w:color w:val="222222"/>
          <w:sz w:val="21"/>
          <w:szCs w:val="21"/>
        </w:rPr>
        <w:t xml:space="preserve">Wallet balances are never mutated directly (never a bare balance += reward). Every monetary change flows through an explicit ledger entry, giving the platform auditability, reconciliation, dispute handling, reporting, and fraud-investigation capability.</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Performance Result   →   Referral Reward   →   Ledger Entry   →   Settlement   →   Wallet Balance</w:t>
      </w:r>
    </w:p>
    <w:p>
      <w:pPr>
        <w:pStyle w:val="Heading2"/>
        <w:spacing w:after="140" w:before="320"/>
      </w:pPr>
      <w:r>
        <w:rPr>
          <w:b/>
          <w:bCs/>
          <w:color w:val="2F5597"/>
          <w:sz w:val="24"/>
          <w:szCs w:val="24"/>
        </w:rPr>
        <w:t xml:space="preserve">10.8 Fraud Protection</w:t>
      </w:r>
    </w:p>
    <w:p>
      <w:pPr>
        <w:spacing w:after="140" w:line="276"/>
      </w:pPr>
      <w:r>
        <w:rPr>
          <w:color w:val="222222"/>
          <w:sz w:val="21"/>
          <w:szCs w:val="21"/>
        </w:rPr>
        <w:t xml:space="preserve">Because real money is involved, rewards can be placed into an UNDER_REVIEW state instead of settling automatically. Checks include self-referral, duplicate accounts, suspicious account relationships, abnormal referral activity, manipulated or fake trading volume, account closures, payment disputes, and trade reversals.</w:t>
      </w:r>
    </w:p>
    <w:p>
      <w:pPr>
        <w:pStyle w:val="Heading2"/>
        <w:spacing w:after="140" w:before="320"/>
      </w:pPr>
      <w:r>
        <w:rPr>
          <w:b/>
          <w:bCs/>
          <w:color w:val="2F5597"/>
          <w:sz w:val="24"/>
          <w:szCs w:val="24"/>
        </w:rPr>
        <w:t xml:space="preserve">10.9 Trading Money vs. Referral Money</w:t>
      </w:r>
    </w:p>
    <w:p>
      <w:pPr>
        <w:spacing w:after="140" w:line="276"/>
      </w:pPr>
      <w:r>
        <w:rPr>
          <w:color w:val="222222"/>
          <w:sz w:val="21"/>
          <w:szCs w:val="21"/>
        </w:rPr>
        <w:t xml:space="preserve">These are kept as a strict architectural boundary and are never mixed internally — the only connection between them is that Trading Performance feeds the Referral Calculation.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F5597" w:val="clear"/>
            <w:tcMar>
              <w:top w:type="dxa" w:w="90"/>
              <w:left w:type="dxa" w:w="110"/>
              <w:bottom w:type="dxa" w:w="90"/>
              <w:right w:type="dxa" w:w="110"/>
            </w:tcMar>
            <w:vAlign w:val="center"/>
          </w:tcPr>
          <w:p>
            <w:r>
              <w:rPr>
                <w:b/>
                <w:bCs/>
                <w:color w:val="FFFFFF"/>
                <w:sz w:val="19"/>
                <w:szCs w:val="19"/>
              </w:rPr>
              <w:t xml:space="preserve">Trading Money</w:t>
            </w:r>
          </w:p>
        </w:tc>
        <w:tc>
          <w:tcPr>
            <w:tcW w:type="dxa" w:w="4700"/>
            <w:shd w:fill="2F5597" w:val="clear"/>
            <w:tcMar>
              <w:top w:type="dxa" w:w="90"/>
              <w:left w:type="dxa" w:w="110"/>
              <w:bottom w:type="dxa" w:w="90"/>
              <w:right w:type="dxa" w:w="110"/>
            </w:tcMar>
            <w:vAlign w:val="center"/>
          </w:tcPr>
          <w:p>
            <w:r>
              <w:rPr>
                <w:b/>
                <w:bCs/>
                <w:color w:val="FFFFFF"/>
                <w:sz w:val="19"/>
                <w:szCs w:val="19"/>
              </w:rPr>
              <w:t xml:space="preserve">Referral Money</w:t>
            </w:r>
          </w:p>
        </w:tc>
      </w:tr>
      <w:tr>
        <w:tc>
          <w:tcPr>
            <w:tcW w:type="dxa" w:w="4700"/>
            <w:shd w:fill="FFFFFF" w:val="clear"/>
            <w:tcMar>
              <w:top w:type="dxa" w:w="70"/>
              <w:left w:type="dxa" w:w="110"/>
              <w:bottom w:type="dxa" w:w="70"/>
              <w:right w:type="dxa" w:w="110"/>
            </w:tcMar>
            <w:vAlign w:val="center"/>
          </w:tcPr>
          <w:p>
            <w:r>
              <w:rPr>
                <w:sz w:val="19"/>
                <w:szCs w:val="19"/>
              </w:rPr>
              <w:t xml:space="preserve">Broker, MetaApi, Trading Account, Margin, Positions, P/L</w:t>
            </w:r>
          </w:p>
        </w:tc>
        <w:tc>
          <w:tcPr>
            <w:tcW w:type="dxa" w:w="4700"/>
            <w:shd w:fill="FFFFFF" w:val="clear"/>
            <w:tcMar>
              <w:top w:type="dxa" w:w="70"/>
              <w:left w:type="dxa" w:w="110"/>
              <w:bottom w:type="dxa" w:w="70"/>
              <w:right w:type="dxa" w:w="110"/>
            </w:tcMar>
            <w:vAlign w:val="center"/>
          </w:tcPr>
          <w:p>
            <w:r>
              <w:rPr>
                <w:sz w:val="19"/>
                <w:szCs w:val="19"/>
              </w:rPr>
              <w:t xml:space="preserve">Referral Reward, Referral Wallet, Settlement, Withdrawal</w:t>
            </w:r>
          </w:p>
        </w:tc>
      </w:tr>
    </w:tbl>
    <w:p>
      <w:r>
        <w:br w:type="page"/>
      </w:r>
    </w:p>
    <w:p>
      <w:pPr>
        <w:pStyle w:val="Heading1"/>
        <w:pBdr>
          <w:bottom w:val="single" w:color="2F5597" w:sz="6" w:space="4"/>
        </w:pBdr>
        <w:spacing w:after="200" w:before="480"/>
      </w:pPr>
      <w:r>
        <w:rPr>
          <w:b/>
          <w:bCs/>
          <w:color w:val="1F2A44"/>
          <w:sz w:val="30"/>
          <w:szCs w:val="30"/>
        </w:rPr>
        <w:t xml:space="preserve">11. KYC &amp; Identity Verification</w:t>
      </w:r>
    </w:p>
    <w:p>
      <w:pPr>
        <w:spacing w:after="220" w:line="300"/>
      </w:pPr>
      <w:r>
        <w:rPr>
          <w:i/>
          <w:iCs/>
          <w:color w:val="5A5A5A"/>
          <w:sz w:val="21"/>
          <w:szCs w:val="21"/>
        </w:rPr>
        <w:t xml:space="preserve">Rule: a user may create an account and explore the public platform, but cannot activate paid trading features, subscribe, connect or activate a trading account, participate in referral rewards, or perform other restricted financial actions until KYC has been successfully verified.</w:t>
      </w:r>
    </w:p>
    <w:p>
      <w:pPr>
        <w:pStyle w:val="Heading2"/>
        <w:spacing w:after="140" w:before="320"/>
      </w:pPr>
      <w:r>
        <w:rPr>
          <w:b/>
          <w:bCs/>
          <w:color w:val="2F5597"/>
          <w:sz w:val="24"/>
          <w:szCs w:val="24"/>
        </w:rPr>
        <w:t xml:space="preserve">11.1 User Journey</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Create Account   →   Email/Phone Verification   →   Login   →   KYC Required   →   Not Verified → Restricted Dashboard  |  Verified → Full Dashboard</w:t>
      </w:r>
    </w:p>
    <w:p>
      <w:pPr>
        <w:spacing w:after="140" w:line="276"/>
      </w:pPr>
      <w:r>
        <w:rPr>
          <w:color w:val="222222"/>
          <w:sz w:val="21"/>
          <w:szCs w:val="21"/>
        </w:rPr>
        <w:t xml:space="preserve">An unverified user completes KYC and enters Review; the outcome is Approved (full access) or Rejected (retry KYC).</w:t>
      </w:r>
    </w:p>
    <w:p>
      <w:pPr>
        <w:pStyle w:val="Heading2"/>
        <w:spacing w:after="140" w:before="320"/>
      </w:pPr>
      <w:r>
        <w:rPr>
          <w:b/>
          <w:bCs/>
          <w:color w:val="2F5597"/>
          <w:sz w:val="24"/>
          <w:szCs w:val="24"/>
        </w:rPr>
        <w:t xml:space="preserve">11.2 KYC Statuses</w:t>
      </w:r>
    </w:p>
    <w:p>
      <w:pPr>
        <w:pStyle w:val="ListParagraph"/>
        <w:numPr>
          <w:ilvl w:val="0"/>
          <w:numId w:val="2"/>
        </w:numPr>
        <w:spacing w:after="80"/>
      </w:pPr>
      <w:r>
        <w:rPr>
          <w:sz w:val="21"/>
          <w:szCs w:val="21"/>
        </w:rPr>
        <w:t xml:space="preserve">NOT_STARTED</w:t>
      </w:r>
    </w:p>
    <w:p>
      <w:pPr>
        <w:pStyle w:val="ListParagraph"/>
        <w:numPr>
          <w:ilvl w:val="0"/>
          <w:numId w:val="2"/>
        </w:numPr>
        <w:spacing w:after="80"/>
      </w:pPr>
      <w:r>
        <w:rPr>
          <w:sz w:val="21"/>
          <w:szCs w:val="21"/>
        </w:rPr>
        <w:t xml:space="preserve">PENDING</w:t>
      </w:r>
    </w:p>
    <w:p>
      <w:pPr>
        <w:pStyle w:val="ListParagraph"/>
        <w:numPr>
          <w:ilvl w:val="0"/>
          <w:numId w:val="2"/>
        </w:numPr>
        <w:spacing w:after="80"/>
      </w:pPr>
      <w:r>
        <w:rPr>
          <w:sz w:val="21"/>
          <w:szCs w:val="21"/>
        </w:rPr>
        <w:t xml:space="preserve">UNDER_REVIEW</w:t>
      </w:r>
    </w:p>
    <w:p>
      <w:pPr>
        <w:pStyle w:val="ListParagraph"/>
        <w:numPr>
          <w:ilvl w:val="0"/>
          <w:numId w:val="2"/>
        </w:numPr>
        <w:spacing w:after="80"/>
      </w:pPr>
      <w:r>
        <w:rPr>
          <w:sz w:val="21"/>
          <w:szCs w:val="21"/>
        </w:rPr>
        <w:t xml:space="preserve">VERIFIED</w:t>
      </w:r>
    </w:p>
    <w:p>
      <w:pPr>
        <w:pStyle w:val="ListParagraph"/>
        <w:numPr>
          <w:ilvl w:val="0"/>
          <w:numId w:val="2"/>
        </w:numPr>
        <w:spacing w:after="80"/>
      </w:pPr>
      <w:r>
        <w:rPr>
          <w:sz w:val="21"/>
          <w:szCs w:val="21"/>
        </w:rPr>
        <w:t xml:space="preserve">REJECTED</w:t>
      </w:r>
    </w:p>
    <w:p>
      <w:pPr>
        <w:pStyle w:val="ListParagraph"/>
        <w:numPr>
          <w:ilvl w:val="0"/>
          <w:numId w:val="2"/>
        </w:numPr>
        <w:spacing w:after="80"/>
      </w:pPr>
      <w:r>
        <w:rPr>
          <w:sz w:val="21"/>
          <w:szCs w:val="21"/>
        </w:rPr>
        <w:t xml:space="preserve">EXPIRED</w:t>
      </w:r>
    </w:p>
    <w:p>
      <w:pPr>
        <w:pStyle w:val="ListParagraph"/>
        <w:numPr>
          <w:ilvl w:val="0"/>
          <w:numId w:val="2"/>
        </w:numPr>
        <w:spacing w:after="80"/>
      </w:pPr>
      <w:r>
        <w:rPr>
          <w:sz w:val="21"/>
          <w:szCs w:val="21"/>
        </w:rPr>
        <w:t xml:space="preserve">SUSPENDED</w:t>
      </w:r>
    </w:p>
    <w:p>
      <w:pPr>
        <w:pStyle w:val="Heading2"/>
        <w:spacing w:after="140" w:before="320"/>
      </w:pPr>
      <w:r>
        <w:rPr>
          <w:b/>
          <w:bCs/>
          <w:color w:val="2F5597"/>
          <w:sz w:val="24"/>
          <w:szCs w:val="24"/>
        </w:rPr>
        <w:t xml:space="preserve">11.3 Supported Identity Documents</w:t>
      </w:r>
    </w:p>
    <w:p>
      <w:pPr>
        <w:spacing w:after="140" w:line="276"/>
      </w:pPr>
      <w:r>
        <w:rPr>
          <w:color w:val="222222"/>
          <w:sz w:val="21"/>
          <w:szCs w:val="21"/>
        </w:rPr>
        <w:t xml:space="preserve">For the Nigerian market, supported document types include National ID, Voter's Card, Driver's Licence, International Passport, and other approved identity documents. Document types are admin-configurable rather than hard-coded, so the platform can adapt to evolving compliance requirements.</w:t>
      </w:r>
    </w:p>
    <w:p>
      <w:pPr>
        <w:pStyle w:val="Heading2"/>
        <w:spacing w:after="140" w:before="320"/>
      </w:pPr>
      <w:r>
        <w:rPr>
          <w:b/>
          <w:bCs/>
          <w:color w:val="2F5597"/>
          <w:sz w:val="24"/>
          <w:szCs w:val="24"/>
        </w:rPr>
        <w:t xml:space="preserve">11.4 Submission Flow</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Step 1: Personal Information   →   Step 2: Identity Document   →   Step 3: Document Verification   →   Step 4: Identity Confirmation   →   Step 5: Verification Result</w:t>
      </w:r>
    </w:p>
    <w:p>
      <w:pPr>
        <w:spacing w:after="140" w:line="276"/>
      </w:pPr>
      <w:r>
        <w:rPr>
          <w:color w:val="222222"/>
          <w:sz w:val="21"/>
          <w:szCs w:val="21"/>
        </w:rPr>
        <w:t xml:space="preserve">Personal information collected includes name, date of birth, nationality, country/address of residence, and phone number; the exact fields remain configurable based on applicable compliance requirements. Supported upload formats are JPG, JPEG, PNG, and PDF with configurable size limits.</w:t>
      </w:r>
    </w:p>
    <w:p>
      <w:pPr>
        <w:pStyle w:val="Heading2"/>
        <w:spacing w:after="140" w:before="320"/>
      </w:pPr>
      <w:r>
        <w:rPr>
          <w:b/>
          <w:bCs/>
          <w:color w:val="2F5597"/>
          <w:sz w:val="24"/>
          <w:szCs w:val="24"/>
        </w:rPr>
        <w:t xml:space="preserve">11.5 Automated Document Quality Checks</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Document Uploaded   →   File Validation   →   Image Quality   →   Document Type Detection   →   Required Fields Detected   →   Duplicate Detection   →   KYC Verification Provider</w:t>
      </w:r>
    </w:p>
    <w:p>
      <w:pPr>
        <w:spacing w:after="140" w:line="276"/>
      </w:pPr>
      <w:r>
        <w:rPr>
          <w:color w:val="222222"/>
          <w:sz w:val="21"/>
          <w:szCs w:val="21"/>
        </w:rPr>
        <w:t xml:space="preserve">Poor-quality images are rejected before manual review to reduce unnecessary compliance workload.</w:t>
      </w:r>
    </w:p>
    <w:p>
      <w:pPr>
        <w:pStyle w:val="Heading2"/>
        <w:spacing w:after="140" w:before="320"/>
      </w:pPr>
      <w:r>
        <w:rPr>
          <w:b/>
          <w:bCs/>
          <w:color w:val="2F5597"/>
          <w:sz w:val="24"/>
          <w:szCs w:val="24"/>
        </w:rPr>
        <w:t xml:space="preserve">11.6 Liveness / Selfie Verification</w:t>
      </w:r>
    </w:p>
    <w:p>
      <w:pPr>
        <w:spacing w:after="140" w:line="276"/>
      </w:pPr>
      <w:r>
        <w:rPr>
          <w:color w:val="222222"/>
          <w:sz w:val="21"/>
          <w:szCs w:val="21"/>
        </w:rPr>
        <w:t xml:space="preserve">A government ID upload alone is not sufficient for a financial platform. A liveness/selfie check through the selected KYC provider establishes that the person submitting the document is the person the document belongs to.</w:t>
      </w:r>
    </w:p>
    <w:p>
      <w:pPr>
        <w:pStyle w:val="Heading2"/>
        <w:spacing w:after="140" w:before="320"/>
      </w:pPr>
      <w:r>
        <w:rPr>
          <w:b/>
          <w:bCs/>
          <w:color w:val="2F5597"/>
          <w:sz w:val="24"/>
          <w:szCs w:val="24"/>
        </w:rPr>
        <w:t xml:space="preserve">11.7 KYC Provider Abstraction</w:t>
      </w:r>
    </w:p>
    <w:p>
      <w:pPr>
        <w:spacing w:after="140" w:line="276"/>
      </w:pPr>
      <w:r>
        <w:rPr>
          <w:color w:val="222222"/>
          <w:sz w:val="21"/>
          <w:szCs w:val="21"/>
        </w:rPr>
        <w:t xml:space="preserve">SignalForge does not build identity-verification infrastructure in-house; a KYC Service abstraction layer allows the platform to change providers without rewriting the application.</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SignalForge   →   KYC Service   →   KYC Provider A / KYC Provider B</w:t>
      </w:r>
    </w:p>
    <w:p>
      <w:pPr>
        <w:pStyle w:val="Heading2"/>
        <w:spacing w:after="140" w:before="320"/>
      </w:pPr>
      <w:r>
        <w:rPr>
          <w:b/>
          <w:bCs/>
          <w:color w:val="2F5597"/>
          <w:sz w:val="24"/>
          <w:szCs w:val="24"/>
        </w:rPr>
        <w:t xml:space="preserve">11.8 Feature Access Control</w:t>
      </w:r>
    </w:p>
    <w:p>
      <w:pPr>
        <w:spacing w:after="140" w:line="276"/>
      </w:pPr>
      <w:r>
        <w:rPr>
          <w:color w:val="222222"/>
          <w:sz w:val="21"/>
          <w:szCs w:val="21"/>
        </w:rPr>
        <w:t xml:space="preserve">KYC is enforced server-side, not only hidden in the frontend. Access is split explicitly: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F5597" w:val="clear"/>
            <w:tcMar>
              <w:top w:type="dxa" w:w="90"/>
              <w:left w:type="dxa" w:w="110"/>
              <w:bottom w:type="dxa" w:w="90"/>
              <w:right w:type="dxa" w:w="110"/>
            </w:tcMar>
            <w:vAlign w:val="center"/>
          </w:tcPr>
          <w:p>
            <w:r>
              <w:rPr>
                <w:b/>
                <w:bCs/>
                <w:color w:val="FFFFFF"/>
                <w:sz w:val="19"/>
                <w:szCs w:val="19"/>
              </w:rPr>
              <w:t xml:space="preserve">Available without KYC</w:t>
            </w:r>
          </w:p>
        </w:tc>
        <w:tc>
          <w:tcPr>
            <w:tcW w:type="dxa" w:w="4700"/>
            <w:shd w:fill="2F5597" w:val="clear"/>
            <w:tcMar>
              <w:top w:type="dxa" w:w="90"/>
              <w:left w:type="dxa" w:w="110"/>
              <w:bottom w:type="dxa" w:w="90"/>
              <w:right w:type="dxa" w:w="110"/>
            </w:tcMar>
            <w:vAlign w:val="center"/>
          </w:tcPr>
          <w:p>
            <w:r>
              <w:rPr>
                <w:b/>
                <w:bCs/>
                <w:color w:val="FFFFFF"/>
                <w:sz w:val="19"/>
                <w:szCs w:val="19"/>
              </w:rPr>
              <w:t xml:space="preserve">Requires KYC (VERIFIED)</w:t>
            </w:r>
          </w:p>
        </w:tc>
      </w:tr>
      <w:tr>
        <w:tc>
          <w:tcPr>
            <w:tcW w:type="dxa" w:w="4700"/>
            <w:shd w:fill="FFFFFF" w:val="clear"/>
            <w:tcMar>
              <w:top w:type="dxa" w:w="70"/>
              <w:left w:type="dxa" w:w="110"/>
              <w:bottom w:type="dxa" w:w="70"/>
              <w:right w:type="dxa" w:w="110"/>
            </w:tcMar>
            <w:vAlign w:val="center"/>
          </w:tcPr>
          <w:p>
            <w:r>
              <w:rPr>
                <w:sz w:val="19"/>
                <w:szCs w:val="19"/>
              </w:rPr>
              <w:t xml:space="preserve">View homepage, public signals; create account; login; complete profile</w:t>
            </w:r>
          </w:p>
        </w:tc>
        <w:tc>
          <w:tcPr>
            <w:tcW w:type="dxa" w:w="4700"/>
            <w:shd w:fill="FFFFFF" w:val="clear"/>
            <w:tcMar>
              <w:top w:type="dxa" w:w="70"/>
              <w:left w:type="dxa" w:w="110"/>
              <w:bottom w:type="dxa" w:w="70"/>
              <w:right w:type="dxa" w:w="110"/>
            </w:tcMar>
            <w:vAlign w:val="center"/>
          </w:tcPr>
          <w:p>
            <w:r>
              <w:rPr>
                <w:sz w:val="19"/>
                <w:szCs w:val="19"/>
              </w:rPr>
              <w:t xml:space="preserve">Subscribe; connect trading account; start automated trading; activate provider; earn referral rewards; withdraw referral earnings; other restricted financial actions</w:t>
            </w:r>
          </w:p>
        </w:tc>
      </w:tr>
    </w:tbl>
    <w:p>
      <w:pPr>
        <w:pStyle w:val="Heading3"/>
        <w:spacing w:after="100" w:before="220"/>
      </w:pPr>
      <w:r>
        <w:rPr>
          <w:b/>
          <w:bCs/>
          <w:color w:val="1F2A44"/>
          <w:sz w:val="21"/>
          <w:szCs w:val="21"/>
        </w:rPr>
        <w:t xml:space="preserve">Middleware Pattern</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Request   →   Authentication   →   Authorization   →   KYC Verification   →   VERIFIED → Continue  |  NOT VERIFIED → KYC_REQUIRED (HTTP 403)</w:t>
      </w:r>
    </w:p>
    <w:p>
      <w:pPr>
        <w:pStyle w:val="Heading2"/>
        <w:spacing w:after="140" w:before="320"/>
      </w:pPr>
      <w:r>
        <w:rPr>
          <w:b/>
          <w:bCs/>
          <w:color w:val="2F5597"/>
          <w:sz w:val="24"/>
          <w:szCs w:val="24"/>
        </w:rPr>
        <w:t xml:space="preserve">11.9 Referral-Specific Protection</w:t>
      </w:r>
    </w:p>
    <w:p>
      <w:pPr>
        <w:spacing w:after="140" w:line="276"/>
      </w:pPr>
      <w:r>
        <w:rPr>
          <w:color w:val="222222"/>
          <w:sz w:val="21"/>
          <w:szCs w:val="21"/>
        </w:rPr>
        <w:t xml:space="preserve">A referral relationship can exist for an unverified user, but the resulting reward remains restricted (non-withdrawable) until the referrer completes KYC — an additional anti-fraud control that also protects against networks of fake accounts attempting to generate referral income.</w:t>
      </w:r>
    </w:p>
    <w:p>
      <w:pPr>
        <w:pStyle w:val="Heading2"/>
        <w:spacing w:after="140" w:before="320"/>
      </w:pPr>
      <w:r>
        <w:rPr>
          <w:b/>
          <w:bCs/>
          <w:color w:val="2F5597"/>
          <w:sz w:val="24"/>
          <w:szCs w:val="24"/>
        </w:rPr>
        <w:t xml:space="preserve">11.10 Access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F5597" w:val="clear"/>
            <w:tcMar>
              <w:top w:type="dxa" w:w="90"/>
              <w:left w:type="dxa" w:w="110"/>
              <w:bottom w:type="dxa" w:w="90"/>
              <w:right w:type="dxa" w:w="110"/>
            </w:tcMar>
            <w:vAlign w:val="center"/>
          </w:tcPr>
          <w:p>
            <w:r>
              <w:rPr>
                <w:b/>
                <w:bCs/>
                <w:color w:val="FFFFFF"/>
                <w:sz w:val="19"/>
                <w:szCs w:val="19"/>
              </w:rPr>
              <w:t xml:space="preserve">Level</w:t>
            </w:r>
          </w:p>
        </w:tc>
        <w:tc>
          <w:tcPr>
            <w:tcW w:type="dxa" w:w="6000"/>
            <w:shd w:fill="2F5597" w:val="clear"/>
            <w:tcMar>
              <w:top w:type="dxa" w:w="90"/>
              <w:left w:type="dxa" w:w="110"/>
              <w:bottom w:type="dxa" w:w="90"/>
              <w:right w:type="dxa" w:w="110"/>
            </w:tcMar>
            <w:vAlign w:val="center"/>
          </w:tcPr>
          <w:p>
            <w:r>
              <w:rPr>
                <w:b/>
                <w:bCs/>
                <w:color w:val="FFFFFF"/>
                <w:sz w:val="19"/>
                <w:szCs w:val="19"/>
              </w:rPr>
              <w:t xml:space="preserve">Access</w:t>
            </w:r>
          </w:p>
        </w:tc>
      </w:tr>
      <w:tr>
        <w:tc>
          <w:tcPr>
            <w:tcW w:type="dxa" w:w="3400"/>
            <w:shd w:fill="FFFFFF" w:val="clear"/>
            <w:tcMar>
              <w:top w:type="dxa" w:w="70"/>
              <w:left w:type="dxa" w:w="110"/>
              <w:bottom w:type="dxa" w:w="70"/>
              <w:right w:type="dxa" w:w="110"/>
            </w:tcMar>
            <w:vAlign w:val="center"/>
          </w:tcPr>
          <w:p>
            <w:r>
              <w:rPr>
                <w:sz w:val="19"/>
                <w:szCs w:val="19"/>
              </w:rPr>
              <w:t xml:space="preserve">Level 0 – Visitor</w:t>
            </w:r>
          </w:p>
        </w:tc>
        <w:tc>
          <w:tcPr>
            <w:tcW w:type="dxa" w:w="6000"/>
            <w:shd w:fill="FFFFFF" w:val="clear"/>
            <w:tcMar>
              <w:top w:type="dxa" w:w="70"/>
              <w:left w:type="dxa" w:w="110"/>
              <w:bottom w:type="dxa" w:w="70"/>
              <w:right w:type="dxa" w:w="110"/>
            </w:tcMar>
            <w:vAlign w:val="center"/>
          </w:tcPr>
          <w:p>
            <w:r>
              <w:rPr>
                <w:sz w:val="19"/>
                <w:szCs w:val="19"/>
              </w:rPr>
              <w:t xml:space="preserve">Public website and public content</w:t>
            </w:r>
          </w:p>
        </w:tc>
      </w:tr>
      <w:tr>
        <w:tc>
          <w:tcPr>
            <w:tcW w:type="dxa" w:w="3400"/>
            <w:shd w:fill="EEF2F8" w:val="clear"/>
            <w:tcMar>
              <w:top w:type="dxa" w:w="70"/>
              <w:left w:type="dxa" w:w="110"/>
              <w:bottom w:type="dxa" w:w="70"/>
              <w:right w:type="dxa" w:w="110"/>
            </w:tcMar>
            <w:vAlign w:val="center"/>
          </w:tcPr>
          <w:p>
            <w:r>
              <w:rPr>
                <w:sz w:val="19"/>
                <w:szCs w:val="19"/>
              </w:rPr>
              <w:t xml:space="preserve">Level 1 – Registered</w:t>
            </w:r>
          </w:p>
        </w:tc>
        <w:tc>
          <w:tcPr>
            <w:tcW w:type="dxa" w:w="6000"/>
            <w:shd w:fill="EEF2F8" w:val="clear"/>
            <w:tcMar>
              <w:top w:type="dxa" w:w="70"/>
              <w:left w:type="dxa" w:w="110"/>
              <w:bottom w:type="dxa" w:w="70"/>
              <w:right w:type="dxa" w:w="110"/>
            </w:tcMar>
            <w:vAlign w:val="center"/>
          </w:tcPr>
          <w:p>
            <w:r>
              <w:rPr>
                <w:sz w:val="19"/>
                <w:szCs w:val="19"/>
              </w:rPr>
              <w:t xml:space="preserve">Dashboard, profile, basic exploration</w:t>
            </w:r>
          </w:p>
        </w:tc>
      </w:tr>
      <w:tr>
        <w:tc>
          <w:tcPr>
            <w:tcW w:type="dxa" w:w="3400"/>
            <w:shd w:fill="FFFFFF" w:val="clear"/>
            <w:tcMar>
              <w:top w:type="dxa" w:w="70"/>
              <w:left w:type="dxa" w:w="110"/>
              <w:bottom w:type="dxa" w:w="70"/>
              <w:right w:type="dxa" w:w="110"/>
            </w:tcMar>
            <w:vAlign w:val="center"/>
          </w:tcPr>
          <w:p>
            <w:r>
              <w:rPr>
                <w:sz w:val="19"/>
                <w:szCs w:val="19"/>
              </w:rPr>
              <w:t xml:space="preserve">Level 2 – KYC Pending</w:t>
            </w:r>
          </w:p>
        </w:tc>
        <w:tc>
          <w:tcPr>
            <w:tcW w:type="dxa" w:w="6000"/>
            <w:shd w:fill="FFFFFF" w:val="clear"/>
            <w:tcMar>
              <w:top w:type="dxa" w:w="70"/>
              <w:left w:type="dxa" w:w="110"/>
              <w:bottom w:type="dxa" w:w="70"/>
              <w:right w:type="dxa" w:w="110"/>
            </w:tcMar>
            <w:vAlign w:val="center"/>
          </w:tcPr>
          <w:p>
            <w:r>
              <w:rPr>
                <w:sz w:val="19"/>
                <w:szCs w:val="19"/>
              </w:rPr>
              <w:t xml:space="preserve">KYC submission, profile management, limited dashboard</w:t>
            </w:r>
          </w:p>
        </w:tc>
      </w:tr>
      <w:tr>
        <w:tc>
          <w:tcPr>
            <w:tcW w:type="dxa" w:w="3400"/>
            <w:shd w:fill="EEF2F8" w:val="clear"/>
            <w:tcMar>
              <w:top w:type="dxa" w:w="70"/>
              <w:left w:type="dxa" w:w="110"/>
              <w:bottom w:type="dxa" w:w="70"/>
              <w:right w:type="dxa" w:w="110"/>
            </w:tcMar>
            <w:vAlign w:val="center"/>
          </w:tcPr>
          <w:p>
            <w:r>
              <w:rPr>
                <w:sz w:val="19"/>
                <w:szCs w:val="19"/>
              </w:rPr>
              <w:t xml:space="preserve">Level 3 – KYC Verified</w:t>
            </w:r>
          </w:p>
        </w:tc>
        <w:tc>
          <w:tcPr>
            <w:tcW w:type="dxa" w:w="6000"/>
            <w:shd w:fill="EEF2F8" w:val="clear"/>
            <w:tcMar>
              <w:top w:type="dxa" w:w="70"/>
              <w:left w:type="dxa" w:w="110"/>
              <w:bottom w:type="dxa" w:w="70"/>
              <w:right w:type="dxa" w:w="110"/>
            </w:tcMar>
            <w:vAlign w:val="center"/>
          </w:tcPr>
          <w:p>
            <w:r>
              <w:rPr>
                <w:sz w:val="19"/>
                <w:szCs w:val="19"/>
              </w:rPr>
              <w:t xml:space="preserve">Subscriptions, broker connections, trading, referral program, marketplace financial features, withdrawals</w:t>
            </w:r>
          </w:p>
        </w:tc>
      </w:tr>
      <w:tr>
        <w:tc>
          <w:tcPr>
            <w:tcW w:type="dxa" w:w="3400"/>
            <w:shd w:fill="FFFFFF" w:val="clear"/>
            <w:tcMar>
              <w:top w:type="dxa" w:w="70"/>
              <w:left w:type="dxa" w:w="110"/>
              <w:bottom w:type="dxa" w:w="70"/>
              <w:right w:type="dxa" w:w="110"/>
            </w:tcMar>
            <w:vAlign w:val="center"/>
          </w:tcPr>
          <w:p>
            <w:r>
              <w:rPr>
                <w:sz w:val="19"/>
                <w:szCs w:val="19"/>
              </w:rPr>
              <w:t xml:space="preserve">Level 4 – Restricted</w:t>
            </w:r>
          </w:p>
        </w:tc>
        <w:tc>
          <w:tcPr>
            <w:tcW w:type="dxa" w:w="6000"/>
            <w:shd w:fill="FFFFFF" w:val="clear"/>
            <w:tcMar>
              <w:top w:type="dxa" w:w="70"/>
              <w:left w:type="dxa" w:w="110"/>
              <w:bottom w:type="dxa" w:w="70"/>
              <w:right w:type="dxa" w:w="110"/>
            </w:tcMar>
            <w:vAlign w:val="center"/>
          </w:tcPr>
          <w:p>
            <w:r>
              <w:rPr>
                <w:sz w:val="19"/>
                <w:szCs w:val="19"/>
              </w:rPr>
              <w:t xml:space="preserve">Account access limited; financial actions disabled</w:t>
            </w:r>
          </w:p>
        </w:tc>
      </w:tr>
    </w:tbl>
    <w:p>
      <w:pPr>
        <w:pStyle w:val="Heading2"/>
        <w:spacing w:after="140" w:before="320"/>
      </w:pPr>
      <w:r>
        <w:rPr>
          <w:b/>
          <w:bCs/>
          <w:color w:val="2F5597"/>
          <w:sz w:val="24"/>
          <w:szCs w:val="24"/>
        </w:rPr>
        <w:t xml:space="preserve">11.11 Compliance Operations</w:t>
      </w:r>
    </w:p>
    <w:p>
      <w:pPr>
        <w:spacing w:after="140" w:line="276"/>
      </w:pPr>
      <w:r>
        <w:rPr>
          <w:color w:val="222222"/>
          <w:sz w:val="21"/>
          <w:szCs w:val="21"/>
        </w:rPr>
        <w:t xml:space="preserve">An Admin KYC dashboard tracks totals by status (Verified, Pending, Under Review, Rejected, Suspended) and provides a review queue and review screen showing automated checks (document readable, required fields detected, liveness completed, provider response received) with Approve, Reject, or Request Resubmission actions. Every administrative status change is written to an immutable KYC audit log.</w:t>
      </w:r>
    </w:p>
    <w:p>
      <w:pPr>
        <w:pStyle w:val="Heading2"/>
        <w:spacing w:after="140" w:before="320"/>
      </w:pPr>
      <w:r>
        <w:rPr>
          <w:b/>
          <w:bCs/>
          <w:color w:val="2F5597"/>
          <w:sz w:val="24"/>
          <w:szCs w:val="24"/>
        </w:rPr>
        <w:t xml:space="preserve">11.12 Re-Verification</w:t>
      </w:r>
    </w:p>
    <w:p>
      <w:pPr>
        <w:spacing w:after="140" w:line="276"/>
      </w:pPr>
      <w:r>
        <w:rPr>
          <w:color w:val="222222"/>
          <w:sz w:val="21"/>
          <w:szCs w:val="21"/>
        </w:rPr>
        <w:t xml:space="preserve">KYC is not “verify once forever.” Re-verification can be triggered by document expiry, a material profile change, compliance review, suspicious activity, or a provider-required revalidation.</w:t>
      </w:r>
    </w:p>
    <w:p>
      <w:pPr>
        <w:pStyle w:val="Heading2"/>
        <w:spacing w:after="140" w:before="320"/>
      </w:pPr>
      <w:r>
        <w:rPr>
          <w:b/>
          <w:bCs/>
          <w:color w:val="2F5597"/>
          <w:sz w:val="24"/>
          <w:szCs w:val="24"/>
        </w:rPr>
        <w:t xml:space="preserve">11.13 Data Security</w:t>
      </w:r>
    </w:p>
    <w:p>
      <w:pPr>
        <w:pStyle w:val="ListParagraph"/>
        <w:numPr>
          <w:ilvl w:val="0"/>
          <w:numId w:val="2"/>
        </w:numPr>
        <w:spacing w:after="80"/>
      </w:pPr>
      <w:r>
        <w:rPr>
          <w:sz w:val="21"/>
          <w:szCs w:val="21"/>
        </w:rPr>
        <w:t xml:space="preserve">Encrypted transmission and storage</w:t>
      </w:r>
    </w:p>
    <w:p>
      <w:pPr>
        <w:pStyle w:val="ListParagraph"/>
        <w:numPr>
          <w:ilvl w:val="0"/>
          <w:numId w:val="2"/>
        </w:numPr>
        <w:spacing w:after="80"/>
      </w:pPr>
      <w:r>
        <w:rPr>
          <w:sz w:val="21"/>
          <w:szCs w:val="21"/>
        </w:rPr>
        <w:t xml:space="preserve">Strict access control and audit logging</w:t>
      </w:r>
    </w:p>
    <w:p>
      <w:pPr>
        <w:pStyle w:val="ListParagraph"/>
        <w:numPr>
          <w:ilvl w:val="0"/>
          <w:numId w:val="2"/>
        </w:numPr>
        <w:spacing w:after="80"/>
      </w:pPr>
      <w:r>
        <w:rPr>
          <w:sz w:val="21"/>
          <w:szCs w:val="21"/>
        </w:rPr>
        <w:t xml:space="preserve">Minimal data exposure</w:t>
      </w:r>
    </w:p>
    <w:p>
      <w:pPr>
        <w:pStyle w:val="ListParagraph"/>
        <w:numPr>
          <w:ilvl w:val="0"/>
          <w:numId w:val="2"/>
        </w:numPr>
        <w:spacing w:after="80"/>
      </w:pPr>
      <w:r>
        <w:rPr>
          <w:sz w:val="21"/>
          <w:szCs w:val="21"/>
        </w:rPr>
        <w:t xml:space="preserve">Secure, private object storage (never a public /uploads folder)</w:t>
      </w:r>
    </w:p>
    <w:p>
      <w:pPr>
        <w:pStyle w:val="ListParagraph"/>
        <w:numPr>
          <w:ilvl w:val="0"/>
          <w:numId w:val="2"/>
        </w:numPr>
        <w:spacing w:after="80"/>
      </w:pPr>
      <w:r>
        <w:rPr>
          <w:sz w:val="21"/>
          <w:szCs w:val="21"/>
        </w:rPr>
        <w:t xml:space="preserve">Retention and deletion policies</w:t>
      </w:r>
    </w:p>
    <w:p>
      <w:pPr>
        <w:spacing w:after="140" w:line="276"/>
      </w:pPr>
      <w:r>
        <w:rPr>
          <w:color w:val="222222"/>
          <w:sz w:val="21"/>
          <w:szCs w:val="21"/>
        </w:rPr>
        <w:t xml:space="preserve">The frontend never exposes a permanent public URL to a stored identity document.</w:t>
      </w:r>
    </w:p>
    <w:p>
      <w:r>
        <w:br w:type="page"/>
      </w:r>
    </w:p>
    <w:p>
      <w:pPr>
        <w:pStyle w:val="Heading1"/>
        <w:pBdr>
          <w:bottom w:val="single" w:color="2F5597" w:sz="6" w:space="4"/>
        </w:pBdr>
        <w:spacing w:after="200" w:before="480"/>
      </w:pPr>
      <w:r>
        <w:rPr>
          <w:b/>
          <w:bCs/>
          <w:color w:val="1F2A44"/>
          <w:sz w:val="30"/>
          <w:szCs w:val="30"/>
        </w:rPr>
        <w:t xml:space="preserve">12. Analytics, Marketplace &amp; Provider Business Platform</w:t>
      </w:r>
    </w:p>
    <w:p>
      <w:pPr>
        <w:pStyle w:val="Heading2"/>
        <w:spacing w:after="140" w:before="320"/>
      </w:pPr>
      <w:r>
        <w:rPr>
          <w:b/>
          <w:bCs/>
          <w:color w:val="2F5597"/>
          <w:sz w:val="24"/>
          <w:szCs w:val="24"/>
        </w:rPr>
        <w:t xml:space="preserve">12.1 Analytics</w:t>
      </w:r>
    </w:p>
    <w:p>
      <w:pPr>
        <w:pStyle w:val="ListParagraph"/>
        <w:numPr>
          <w:ilvl w:val="0"/>
          <w:numId w:val="2"/>
        </w:numPr>
        <w:spacing w:after="80"/>
      </w:pPr>
      <w:r>
        <w:rPr>
          <w:sz w:val="21"/>
          <w:szCs w:val="21"/>
        </w:rPr>
        <w:t xml:space="preserve">Equity Curve</w:t>
      </w:r>
    </w:p>
    <w:p>
      <w:pPr>
        <w:pStyle w:val="ListParagraph"/>
        <w:numPr>
          <w:ilvl w:val="0"/>
          <w:numId w:val="2"/>
        </w:numPr>
        <w:spacing w:after="80"/>
      </w:pPr>
      <w:r>
        <w:rPr>
          <w:sz w:val="21"/>
          <w:szCs w:val="21"/>
        </w:rPr>
        <w:t xml:space="preserve">Profit &amp; Drawdown</w:t>
      </w:r>
    </w:p>
    <w:p>
      <w:pPr>
        <w:pStyle w:val="ListParagraph"/>
        <w:numPr>
          <w:ilvl w:val="0"/>
          <w:numId w:val="2"/>
        </w:numPr>
        <w:spacing w:after="80"/>
      </w:pPr>
      <w:r>
        <w:rPr>
          <w:sz w:val="21"/>
          <w:szCs w:val="21"/>
        </w:rPr>
        <w:t xml:space="preserve">Sharpe / Sortino ratios</w:t>
      </w:r>
    </w:p>
    <w:p>
      <w:pPr>
        <w:pStyle w:val="ListParagraph"/>
        <w:numPr>
          <w:ilvl w:val="0"/>
          <w:numId w:val="2"/>
        </w:numPr>
        <w:spacing w:after="80"/>
      </w:pPr>
      <w:r>
        <w:rPr>
          <w:sz w:val="21"/>
          <w:szCs w:val="21"/>
        </w:rPr>
        <w:t xml:space="preserve">Average RR</w:t>
      </w:r>
    </w:p>
    <w:p>
      <w:pPr>
        <w:pStyle w:val="ListParagraph"/>
        <w:numPr>
          <w:ilvl w:val="0"/>
          <w:numId w:val="2"/>
        </w:numPr>
        <w:spacing w:after="80"/>
      </w:pPr>
      <w:r>
        <w:rPr>
          <w:sz w:val="21"/>
          <w:szCs w:val="21"/>
        </w:rPr>
        <w:t xml:space="preserve">Execution latency &amp; speed</w:t>
      </w:r>
    </w:p>
    <w:p>
      <w:pPr>
        <w:pStyle w:val="ListParagraph"/>
        <w:numPr>
          <w:ilvl w:val="0"/>
          <w:numId w:val="2"/>
        </w:numPr>
        <w:spacing w:after="80"/>
      </w:pPr>
      <w:r>
        <w:rPr>
          <w:sz w:val="21"/>
          <w:szCs w:val="21"/>
        </w:rPr>
        <w:t xml:space="preserve">Risk analysis</w:t>
      </w:r>
    </w:p>
    <w:p>
      <w:pPr>
        <w:pStyle w:val="ListParagraph"/>
        <w:numPr>
          <w:ilvl w:val="0"/>
          <w:numId w:val="2"/>
        </w:numPr>
        <w:spacing w:after="80"/>
      </w:pPr>
      <w:r>
        <w:rPr>
          <w:sz w:val="21"/>
          <w:szCs w:val="21"/>
        </w:rPr>
        <w:t xml:space="preserve">Behavior analysis and heatmaps</w:t>
      </w:r>
    </w:p>
    <w:p>
      <w:pPr>
        <w:pStyle w:val="Heading2"/>
        <w:spacing w:after="140" w:before="320"/>
      </w:pPr>
      <w:r>
        <w:rPr>
          <w:b/>
          <w:bCs/>
          <w:color w:val="2F5597"/>
          <w:sz w:val="24"/>
          <w:szCs w:val="24"/>
        </w:rPr>
        <w:t xml:space="preserve">12.2 Provider Marketplace</w:t>
      </w:r>
    </w:p>
    <w:p>
      <w:pPr>
        <w:spacing w:after="140" w:line="276"/>
      </w:pPr>
      <w:r>
        <w:rPr>
          <w:color w:val="222222"/>
          <w:sz w:val="21"/>
          <w:szCs w:val="21"/>
        </w:rPr>
        <w:t xml:space="preserve">Provider discovery is built around verified profiles, performance history, drawdown, win rate, subscriber counts, reviews, risk score, confidence score, monthly return, and revenue, with search and category browsing.</w:t>
      </w:r>
    </w:p>
    <w:p>
      <w:pPr>
        <w:pStyle w:val="Heading2"/>
        <w:spacing w:after="140" w:before="320"/>
      </w:pPr>
      <w:r>
        <w:rPr>
          <w:b/>
          <w:bCs/>
          <w:color w:val="2F5597"/>
          <w:sz w:val="24"/>
          <w:szCs w:val="24"/>
        </w:rPr>
        <w:t xml:space="preserve">12.3 Trader Marketplace &amp; AI Trader Intelligence</w:t>
      </w:r>
    </w:p>
    <w:p>
      <w:pPr>
        <w:spacing w:after="140" w:line="276"/>
      </w:pPr>
      <w:r>
        <w:rPr>
          <w:color w:val="222222"/>
          <w:sz w:val="21"/>
          <w:szCs w:val="21"/>
        </w:rPr>
        <w:t xml:space="preserve">Manual traders can be followed via copy trading with performance tracking and leaderboards. The AI Trader Intelligence engine classifies trading style and behavior using metrics such as consistency, discipline, martingale/grid detection, news exposure, average holding time, and average RR.</w:t>
      </w:r>
    </w:p>
    <w:p>
      <w:pPr>
        <w:pStyle w:val="Heading2"/>
        <w:spacing w:after="140" w:before="320"/>
      </w:pPr>
      <w:r>
        <w:rPr>
          <w:b/>
          <w:bCs/>
          <w:color w:val="2F5597"/>
          <w:sz w:val="24"/>
          <w:szCs w:val="24"/>
        </w:rPr>
        <w:t xml:space="preserve">12.4 Provider Business Platform</w:t>
      </w:r>
    </w:p>
    <w:p>
      <w:pPr>
        <w:pStyle w:val="ListParagraph"/>
        <w:numPr>
          <w:ilvl w:val="0"/>
          <w:numId w:val="2"/>
        </w:numPr>
        <w:spacing w:after="80"/>
      </w:pPr>
      <w:r>
        <w:rPr>
          <w:sz w:val="21"/>
          <w:szCs w:val="21"/>
        </w:rPr>
        <w:t xml:space="preserve">Revenue dashboard</w:t>
      </w:r>
    </w:p>
    <w:p>
      <w:pPr>
        <w:pStyle w:val="ListParagraph"/>
        <w:numPr>
          <w:ilvl w:val="0"/>
          <w:numId w:val="2"/>
        </w:numPr>
        <w:spacing w:after="80"/>
      </w:pPr>
      <w:r>
        <w:rPr>
          <w:sz w:val="21"/>
          <w:szCs w:val="21"/>
        </w:rPr>
        <w:t xml:space="preserve">Subscriber management</w:t>
      </w:r>
    </w:p>
    <w:p>
      <w:pPr>
        <w:pStyle w:val="ListParagraph"/>
        <w:numPr>
          <w:ilvl w:val="0"/>
          <w:numId w:val="2"/>
        </w:numPr>
        <w:spacing w:after="80"/>
      </w:pPr>
      <w:r>
        <w:rPr>
          <w:sz w:val="21"/>
          <w:szCs w:val="21"/>
        </w:rPr>
        <w:t xml:space="preserve">Withdrawals</w:t>
      </w:r>
    </w:p>
    <w:p>
      <w:pPr>
        <w:pStyle w:val="ListParagraph"/>
        <w:numPr>
          <w:ilvl w:val="0"/>
          <w:numId w:val="2"/>
        </w:numPr>
        <w:spacing w:after="80"/>
      </w:pPr>
      <w:r>
        <w:rPr>
          <w:sz w:val="21"/>
          <w:szCs w:val="21"/>
        </w:rPr>
        <w:t xml:space="preserve">Affiliate tracking</w:t>
      </w:r>
    </w:p>
    <w:p>
      <w:pPr>
        <w:pStyle w:val="ListParagraph"/>
        <w:numPr>
          <w:ilvl w:val="0"/>
          <w:numId w:val="2"/>
        </w:numPr>
        <w:spacing w:after="80"/>
      </w:pPr>
      <w:r>
        <w:rPr>
          <w:sz w:val="21"/>
          <w:szCs w:val="21"/>
        </w:rPr>
        <w:t xml:space="preserve">Introducing Broker (IB) tracking</w:t>
      </w:r>
    </w:p>
    <w:p>
      <w:pPr>
        <w:pStyle w:val="ListParagraph"/>
        <w:numPr>
          <w:ilvl w:val="0"/>
          <w:numId w:val="2"/>
        </w:numPr>
        <w:spacing w:after="80"/>
      </w:pPr>
      <w:r>
        <w:rPr>
          <w:sz w:val="21"/>
          <w:szCs w:val="21"/>
        </w:rPr>
        <w:t xml:space="preserve">Marketing tools</w:t>
      </w:r>
    </w:p>
    <w:p>
      <w:pPr>
        <w:pStyle w:val="ListParagraph"/>
        <w:numPr>
          <w:ilvl w:val="0"/>
          <w:numId w:val="2"/>
        </w:numPr>
        <w:spacing w:after="80"/>
      </w:pPr>
      <w:r>
        <w:rPr>
          <w:sz w:val="21"/>
          <w:szCs w:val="21"/>
        </w:rPr>
        <w:t xml:space="preserve">White-label branding (custom domain, theme, pricing, custom login and marketplace)</w:t>
      </w:r>
    </w:p>
    <w:p>
      <w:pPr>
        <w:pStyle w:val="Heading2"/>
        <w:spacing w:after="140" w:before="320"/>
      </w:pPr>
      <w:r>
        <w:rPr>
          <w:b/>
          <w:bCs/>
          <w:color w:val="2F5597"/>
          <w:sz w:val="24"/>
          <w:szCs w:val="24"/>
        </w:rPr>
        <w:t xml:space="preserve">12.5 Replay Engine</w:t>
      </w:r>
    </w:p>
    <w:p>
      <w:pPr>
        <w:spacing w:after="140" w:line="276"/>
      </w:pPr>
      <w:r>
        <w:rPr>
          <w:color w:val="222222"/>
          <w:sz w:val="21"/>
          <w:szCs w:val="21"/>
        </w:rPr>
        <w:t xml:space="preserve">Reconstructs the full timeline of a signal — Signal → AI → Risk → Execution → Broker → Closure — for debugging, dispute resolution, and audit.</w:t>
      </w:r>
    </w:p>
    <w:p>
      <w:r>
        <w:br w:type="page"/>
      </w:r>
    </w:p>
    <w:p>
      <w:pPr>
        <w:pStyle w:val="Heading1"/>
        <w:pBdr>
          <w:bottom w:val="single" w:color="2F5597" w:sz="6" w:space="4"/>
        </w:pBdr>
        <w:spacing w:after="200" w:before="480"/>
      </w:pPr>
      <w:r>
        <w:rPr>
          <w:b/>
          <w:bCs/>
          <w:color w:val="1F2A44"/>
          <w:sz w:val="30"/>
          <w:szCs w:val="30"/>
        </w:rPr>
        <w:t xml:space="preserve">13. Enterprise Module Catalog</w:t>
      </w:r>
    </w:p>
    <w:p>
      <w:pPr>
        <w:spacing w:after="140" w:line="276"/>
      </w:pPr>
      <w:r>
        <w:rPr>
          <w:color w:val="222222"/>
          <w:sz w:val="21"/>
          <w:szCs w:val="21"/>
        </w:rPr>
        <w:t xml:space="preserve">The full platform decomposes into 35 services/modules. This catalog is the authoritative index for engineering ownership and API boundaries.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300"/>
      </w:tblGrid>
      <w:tr>
        <w:trPr>
          <w:tblHeader/>
        </w:trPr>
        <w:tc>
          <w:tcPr>
            <w:tcW w:type="dxa" w:w="500"/>
            <w:shd w:fill="2F5597" w:val="clear"/>
            <w:tcMar>
              <w:top w:type="dxa" w:w="90"/>
              <w:left w:type="dxa" w:w="110"/>
              <w:bottom w:type="dxa" w:w="90"/>
              <w:right w:type="dxa" w:w="110"/>
            </w:tcMar>
            <w:vAlign w:val="center"/>
          </w:tcPr>
          <w:p>
            <w:r>
              <w:rPr>
                <w:b/>
                <w:bCs/>
                <w:color w:val="FFFFFF"/>
                <w:sz w:val="19"/>
                <w:szCs w:val="19"/>
              </w:rPr>
              <w:t xml:space="preserve">#</w:t>
            </w:r>
          </w:p>
        </w:tc>
        <w:tc>
          <w:tcPr>
            <w:tcW w:type="dxa" w:w="2600"/>
            <w:shd w:fill="2F5597" w:val="clear"/>
            <w:tcMar>
              <w:top w:type="dxa" w:w="90"/>
              <w:left w:type="dxa" w:w="110"/>
              <w:bottom w:type="dxa" w:w="90"/>
              <w:right w:type="dxa" w:w="110"/>
            </w:tcMar>
            <w:vAlign w:val="center"/>
          </w:tcPr>
          <w:p>
            <w:r>
              <w:rPr>
                <w:b/>
                <w:bCs/>
                <w:color w:val="FFFFFF"/>
                <w:sz w:val="19"/>
                <w:szCs w:val="19"/>
              </w:rPr>
              <w:t xml:space="preserve">Module</w:t>
            </w:r>
          </w:p>
        </w:tc>
        <w:tc>
          <w:tcPr>
            <w:tcW w:type="dxa" w:w="6300"/>
            <w:shd w:fill="2F5597" w:val="clear"/>
            <w:tcMar>
              <w:top w:type="dxa" w:w="90"/>
              <w:left w:type="dxa" w:w="110"/>
              <w:bottom w:type="dxa" w:w="90"/>
              <w:right w:type="dxa" w:w="110"/>
            </w:tcMar>
            <w:vAlign w:val="center"/>
          </w:tcPr>
          <w:p>
            <w:r>
              <w:rPr>
                <w:b/>
                <w:bCs/>
                <w:color w:val="FFFFFF"/>
                <w:sz w:val="19"/>
                <w:szCs w:val="19"/>
              </w:rPr>
              <w:t xml:space="preserve">Responsibilities</w:t>
            </w:r>
          </w:p>
        </w:tc>
      </w:tr>
      <w:tr>
        <w:tc>
          <w:tcPr>
            <w:tcW w:type="dxa" w:w="500"/>
            <w:shd w:fill="FFFFFF" w:val="clear"/>
            <w:tcMar>
              <w:top w:type="dxa" w:w="70"/>
              <w:left w:type="dxa" w:w="110"/>
              <w:bottom w:type="dxa" w:w="70"/>
              <w:right w:type="dxa" w:w="110"/>
            </w:tcMar>
            <w:vAlign w:val="center"/>
          </w:tcPr>
          <w:p>
            <w:r>
              <w:rPr>
                <w:sz w:val="19"/>
                <w:szCs w:val="19"/>
              </w:rPr>
              <w:t xml:space="preserve">01</w:t>
            </w:r>
          </w:p>
        </w:tc>
        <w:tc>
          <w:tcPr>
            <w:tcW w:type="dxa" w:w="2600"/>
            <w:shd w:fill="FFFFFF" w:val="clear"/>
            <w:tcMar>
              <w:top w:type="dxa" w:w="70"/>
              <w:left w:type="dxa" w:w="110"/>
              <w:bottom w:type="dxa" w:w="70"/>
              <w:right w:type="dxa" w:w="110"/>
            </w:tcMar>
            <w:vAlign w:val="center"/>
          </w:tcPr>
          <w:p>
            <w:r>
              <w:rPr>
                <w:sz w:val="19"/>
                <w:szCs w:val="19"/>
              </w:rPr>
              <w:t xml:space="preserve">Identity &amp; Authentication</w:t>
            </w:r>
          </w:p>
        </w:tc>
        <w:tc>
          <w:tcPr>
            <w:tcW w:type="dxa" w:w="6300"/>
            <w:shd w:fill="FFFFFF" w:val="clear"/>
            <w:tcMar>
              <w:top w:type="dxa" w:w="70"/>
              <w:left w:type="dxa" w:w="110"/>
              <w:bottom w:type="dxa" w:w="70"/>
              <w:right w:type="dxa" w:w="110"/>
            </w:tcMar>
            <w:vAlign w:val="center"/>
          </w:tcPr>
          <w:p>
            <w:r>
              <w:rPr>
                <w:sz w:val="19"/>
                <w:szCs w:val="19"/>
              </w:rPr>
              <w:t xml:space="preserve">Registration, login, email verification, password reset, 2FA, social login, JWT, API keys, sessions, device management, RBAC</w:t>
            </w:r>
          </w:p>
        </w:tc>
      </w:tr>
      <w:tr>
        <w:tc>
          <w:tcPr>
            <w:tcW w:type="dxa" w:w="500"/>
            <w:shd w:fill="EEF2F8" w:val="clear"/>
            <w:tcMar>
              <w:top w:type="dxa" w:w="70"/>
              <w:left w:type="dxa" w:w="110"/>
              <w:bottom w:type="dxa" w:w="70"/>
              <w:right w:type="dxa" w:w="110"/>
            </w:tcMar>
            <w:vAlign w:val="center"/>
          </w:tcPr>
          <w:p>
            <w:r>
              <w:rPr>
                <w:sz w:val="19"/>
                <w:szCs w:val="19"/>
              </w:rPr>
              <w:t xml:space="preserve">02</w:t>
            </w:r>
          </w:p>
        </w:tc>
        <w:tc>
          <w:tcPr>
            <w:tcW w:type="dxa" w:w="2600"/>
            <w:shd w:fill="EEF2F8" w:val="clear"/>
            <w:tcMar>
              <w:top w:type="dxa" w:w="70"/>
              <w:left w:type="dxa" w:w="110"/>
              <w:bottom w:type="dxa" w:w="70"/>
              <w:right w:type="dxa" w:w="110"/>
            </w:tcMar>
            <w:vAlign w:val="center"/>
          </w:tcPr>
          <w:p>
            <w:r>
              <w:rPr>
                <w:sz w:val="19"/>
                <w:szCs w:val="19"/>
              </w:rPr>
              <w:t xml:space="preserve">User Profile Service</w:t>
            </w:r>
          </w:p>
        </w:tc>
        <w:tc>
          <w:tcPr>
            <w:tcW w:type="dxa" w:w="6300"/>
            <w:shd w:fill="EEF2F8" w:val="clear"/>
            <w:tcMar>
              <w:top w:type="dxa" w:w="70"/>
              <w:left w:type="dxa" w:w="110"/>
              <w:bottom w:type="dxa" w:w="70"/>
              <w:right w:type="dxa" w:w="110"/>
            </w:tcMar>
            <w:vAlign w:val="center"/>
          </w:tcPr>
          <w:p>
            <w:r>
              <w:rPr>
                <w:sz w:val="19"/>
                <w:szCs w:val="19"/>
              </w:rPr>
              <w:t xml:space="preserve">Personal info, trading experience, languages, country, KYC status, subscription, wallet, notifications, preferences</w:t>
            </w:r>
          </w:p>
        </w:tc>
      </w:tr>
      <w:tr>
        <w:tc>
          <w:tcPr>
            <w:tcW w:type="dxa" w:w="500"/>
            <w:shd w:fill="FFFFFF" w:val="clear"/>
            <w:tcMar>
              <w:top w:type="dxa" w:w="70"/>
              <w:left w:type="dxa" w:w="110"/>
              <w:bottom w:type="dxa" w:w="70"/>
              <w:right w:type="dxa" w:w="110"/>
            </w:tcMar>
            <w:vAlign w:val="center"/>
          </w:tcPr>
          <w:p>
            <w:r>
              <w:rPr>
                <w:sz w:val="19"/>
                <w:szCs w:val="19"/>
              </w:rPr>
              <w:t xml:space="preserve">03</w:t>
            </w:r>
          </w:p>
        </w:tc>
        <w:tc>
          <w:tcPr>
            <w:tcW w:type="dxa" w:w="2600"/>
            <w:shd w:fill="FFFFFF" w:val="clear"/>
            <w:tcMar>
              <w:top w:type="dxa" w:w="70"/>
              <w:left w:type="dxa" w:w="110"/>
              <w:bottom w:type="dxa" w:w="70"/>
              <w:right w:type="dxa" w:w="110"/>
            </w:tcMar>
            <w:vAlign w:val="center"/>
          </w:tcPr>
          <w:p>
            <w:r>
              <w:rPr>
                <w:sz w:val="19"/>
                <w:szCs w:val="19"/>
              </w:rPr>
              <w:t xml:space="preserve">Telegram Integration</w:t>
            </w:r>
          </w:p>
        </w:tc>
        <w:tc>
          <w:tcPr>
            <w:tcW w:type="dxa" w:w="6300"/>
            <w:shd w:fill="FFFFFF" w:val="clear"/>
            <w:tcMar>
              <w:top w:type="dxa" w:w="70"/>
              <w:left w:type="dxa" w:w="110"/>
              <w:bottom w:type="dxa" w:w="70"/>
              <w:right w:type="dxa" w:w="110"/>
            </w:tcMar>
            <w:vAlign w:val="center"/>
          </w:tcPr>
          <w:p>
            <w:r>
              <w:rPr>
                <w:sz w:val="19"/>
                <w:szCs w:val="19"/>
              </w:rPr>
              <w:t xml:space="preserve">User session login, OTP, encrypted sessions, channel/group discovery, real-time listener, edit/delete detection, media detection, reconnection &amp; rate-limit handling</w:t>
            </w:r>
          </w:p>
        </w:tc>
      </w:tr>
      <w:tr>
        <w:tc>
          <w:tcPr>
            <w:tcW w:type="dxa" w:w="500"/>
            <w:shd w:fill="EEF2F8" w:val="clear"/>
            <w:tcMar>
              <w:top w:type="dxa" w:w="70"/>
              <w:left w:type="dxa" w:w="110"/>
              <w:bottom w:type="dxa" w:w="70"/>
              <w:right w:type="dxa" w:w="110"/>
            </w:tcMar>
            <w:vAlign w:val="center"/>
          </w:tcPr>
          <w:p>
            <w:r>
              <w:rPr>
                <w:sz w:val="19"/>
                <w:szCs w:val="19"/>
              </w:rPr>
              <w:t xml:space="preserve">04</w:t>
            </w:r>
          </w:p>
        </w:tc>
        <w:tc>
          <w:tcPr>
            <w:tcW w:type="dxa" w:w="2600"/>
            <w:shd w:fill="EEF2F8" w:val="clear"/>
            <w:tcMar>
              <w:top w:type="dxa" w:w="70"/>
              <w:left w:type="dxa" w:w="110"/>
              <w:bottom w:type="dxa" w:w="70"/>
              <w:right w:type="dxa" w:w="110"/>
            </w:tcMar>
            <w:vAlign w:val="center"/>
          </w:tcPr>
          <w:p>
            <w:r>
              <w:rPr>
                <w:sz w:val="19"/>
                <w:szCs w:val="19"/>
              </w:rPr>
              <w:t xml:space="preserve">Discord Integration</w:t>
            </w:r>
          </w:p>
        </w:tc>
        <w:tc>
          <w:tcPr>
            <w:tcW w:type="dxa" w:w="6300"/>
            <w:shd w:fill="EEF2F8" w:val="clear"/>
            <w:tcMar>
              <w:top w:type="dxa" w:w="70"/>
              <w:left w:type="dxa" w:w="110"/>
              <w:bottom w:type="dxa" w:w="70"/>
              <w:right w:type="dxa" w:w="110"/>
            </w:tcMar>
            <w:vAlign w:val="center"/>
          </w:tcPr>
          <w:p>
            <w:r>
              <w:rPr>
                <w:sz w:val="19"/>
                <w:szCs w:val="19"/>
              </w:rPr>
              <w:t xml:space="preserve">OAuth, guild/channel discovery, realtime listener, webhook support</w:t>
            </w:r>
          </w:p>
        </w:tc>
      </w:tr>
      <w:tr>
        <w:tc>
          <w:tcPr>
            <w:tcW w:type="dxa" w:w="500"/>
            <w:shd w:fill="FFFFFF" w:val="clear"/>
            <w:tcMar>
              <w:top w:type="dxa" w:w="70"/>
              <w:left w:type="dxa" w:w="110"/>
              <w:bottom w:type="dxa" w:w="70"/>
              <w:right w:type="dxa" w:w="110"/>
            </w:tcMar>
            <w:vAlign w:val="center"/>
          </w:tcPr>
          <w:p>
            <w:r>
              <w:rPr>
                <w:sz w:val="19"/>
                <w:szCs w:val="19"/>
              </w:rPr>
              <w:t xml:space="preserve">05</w:t>
            </w:r>
          </w:p>
        </w:tc>
        <w:tc>
          <w:tcPr>
            <w:tcW w:type="dxa" w:w="2600"/>
            <w:shd w:fill="FFFFFF" w:val="clear"/>
            <w:tcMar>
              <w:top w:type="dxa" w:w="70"/>
              <w:left w:type="dxa" w:w="110"/>
              <w:bottom w:type="dxa" w:w="70"/>
              <w:right w:type="dxa" w:w="110"/>
            </w:tcMar>
            <w:vAlign w:val="center"/>
          </w:tcPr>
          <w:p>
            <w:r>
              <w:rPr>
                <w:sz w:val="19"/>
                <w:szCs w:val="19"/>
              </w:rPr>
              <w:t xml:space="preserve">WhatsApp Integration</w:t>
            </w:r>
          </w:p>
        </w:tc>
        <w:tc>
          <w:tcPr>
            <w:tcW w:type="dxa" w:w="6300"/>
            <w:shd w:fill="FFFFFF" w:val="clear"/>
            <w:tcMar>
              <w:top w:type="dxa" w:w="70"/>
              <w:left w:type="dxa" w:w="110"/>
              <w:bottom w:type="dxa" w:w="70"/>
              <w:right w:type="dxa" w:w="110"/>
            </w:tcMar>
            <w:vAlign w:val="center"/>
          </w:tcPr>
          <w:p>
            <w:r>
              <w:rPr>
                <w:sz w:val="19"/>
                <w:szCs w:val="19"/>
              </w:rPr>
              <w:t xml:space="preserve">Business API, Cloud API, session login, group monitoring, media parsing</w:t>
            </w:r>
          </w:p>
        </w:tc>
      </w:tr>
      <w:tr>
        <w:tc>
          <w:tcPr>
            <w:tcW w:type="dxa" w:w="500"/>
            <w:shd w:fill="EEF2F8" w:val="clear"/>
            <w:tcMar>
              <w:top w:type="dxa" w:w="70"/>
              <w:left w:type="dxa" w:w="110"/>
              <w:bottom w:type="dxa" w:w="70"/>
              <w:right w:type="dxa" w:w="110"/>
            </w:tcMar>
            <w:vAlign w:val="center"/>
          </w:tcPr>
          <w:p>
            <w:r>
              <w:rPr>
                <w:sz w:val="19"/>
                <w:szCs w:val="19"/>
              </w:rPr>
              <w:t xml:space="preserve">06</w:t>
            </w:r>
          </w:p>
        </w:tc>
        <w:tc>
          <w:tcPr>
            <w:tcW w:type="dxa" w:w="2600"/>
            <w:shd w:fill="EEF2F8" w:val="clear"/>
            <w:tcMar>
              <w:top w:type="dxa" w:w="70"/>
              <w:left w:type="dxa" w:w="110"/>
              <w:bottom w:type="dxa" w:w="70"/>
              <w:right w:type="dxa" w:w="110"/>
            </w:tcMar>
            <w:vAlign w:val="center"/>
          </w:tcPr>
          <w:p>
            <w:r>
              <w:rPr>
                <w:sz w:val="19"/>
                <w:szCs w:val="19"/>
              </w:rPr>
              <w:t xml:space="preserve">TradingView Integration</w:t>
            </w:r>
          </w:p>
        </w:tc>
        <w:tc>
          <w:tcPr>
            <w:tcW w:type="dxa" w:w="6300"/>
            <w:shd w:fill="EEF2F8" w:val="clear"/>
            <w:tcMar>
              <w:top w:type="dxa" w:w="70"/>
              <w:left w:type="dxa" w:w="110"/>
              <w:bottom w:type="dxa" w:w="70"/>
              <w:right w:type="dxa" w:w="110"/>
            </w:tcMar>
            <w:vAlign w:val="center"/>
          </w:tcPr>
          <w:p>
            <w:r>
              <w:rPr>
                <w:sz w:val="19"/>
                <w:szCs w:val="19"/>
              </w:rPr>
              <w:t xml:space="preserve">Webhook verification, JSON validation, authentication, signal receiver, replay protection</w:t>
            </w:r>
          </w:p>
        </w:tc>
      </w:tr>
      <w:tr>
        <w:tc>
          <w:tcPr>
            <w:tcW w:type="dxa" w:w="500"/>
            <w:shd w:fill="FFFFFF" w:val="clear"/>
            <w:tcMar>
              <w:top w:type="dxa" w:w="70"/>
              <w:left w:type="dxa" w:w="110"/>
              <w:bottom w:type="dxa" w:w="70"/>
              <w:right w:type="dxa" w:w="110"/>
            </w:tcMar>
            <w:vAlign w:val="center"/>
          </w:tcPr>
          <w:p>
            <w:r>
              <w:rPr>
                <w:sz w:val="19"/>
                <w:szCs w:val="19"/>
              </w:rPr>
              <w:t xml:space="preserve">07</w:t>
            </w:r>
          </w:p>
        </w:tc>
        <w:tc>
          <w:tcPr>
            <w:tcW w:type="dxa" w:w="2600"/>
            <w:shd w:fill="FFFFFF" w:val="clear"/>
            <w:tcMar>
              <w:top w:type="dxa" w:w="70"/>
              <w:left w:type="dxa" w:w="110"/>
              <w:bottom w:type="dxa" w:w="70"/>
              <w:right w:type="dxa" w:w="110"/>
            </w:tcMar>
            <w:vAlign w:val="center"/>
          </w:tcPr>
          <w:p>
            <w:r>
              <w:rPr>
                <w:sz w:val="19"/>
                <w:szCs w:val="19"/>
              </w:rPr>
              <w:t xml:space="preserve">REST API Integration</w:t>
            </w:r>
          </w:p>
        </w:tc>
        <w:tc>
          <w:tcPr>
            <w:tcW w:type="dxa" w:w="6300"/>
            <w:shd w:fill="FFFFFF" w:val="clear"/>
            <w:tcMar>
              <w:top w:type="dxa" w:w="70"/>
              <w:left w:type="dxa" w:w="110"/>
              <w:bottom w:type="dxa" w:w="70"/>
              <w:right w:type="dxa" w:w="110"/>
            </w:tcMar>
            <w:vAlign w:val="center"/>
          </w:tcPr>
          <w:p>
            <w:r>
              <w:rPr>
                <w:sz w:val="19"/>
                <w:szCs w:val="19"/>
              </w:rPr>
              <w:t xml:space="preserve">Direct provider signal submission (POST /api/provider/signal)</w:t>
            </w:r>
          </w:p>
        </w:tc>
      </w:tr>
      <w:tr>
        <w:tc>
          <w:tcPr>
            <w:tcW w:type="dxa" w:w="500"/>
            <w:shd w:fill="EEF2F8" w:val="clear"/>
            <w:tcMar>
              <w:top w:type="dxa" w:w="70"/>
              <w:left w:type="dxa" w:w="110"/>
              <w:bottom w:type="dxa" w:w="70"/>
              <w:right w:type="dxa" w:w="110"/>
            </w:tcMar>
            <w:vAlign w:val="center"/>
          </w:tcPr>
          <w:p>
            <w:r>
              <w:rPr>
                <w:sz w:val="19"/>
                <w:szCs w:val="19"/>
              </w:rPr>
              <w:t xml:space="preserve">08</w:t>
            </w:r>
          </w:p>
        </w:tc>
        <w:tc>
          <w:tcPr>
            <w:tcW w:type="dxa" w:w="2600"/>
            <w:shd w:fill="EEF2F8" w:val="clear"/>
            <w:tcMar>
              <w:top w:type="dxa" w:w="70"/>
              <w:left w:type="dxa" w:w="110"/>
              <w:bottom w:type="dxa" w:w="70"/>
              <w:right w:type="dxa" w:w="110"/>
            </w:tcMar>
            <w:vAlign w:val="center"/>
          </w:tcPr>
          <w:p>
            <w:r>
              <w:rPr>
                <w:sz w:val="19"/>
                <w:szCs w:val="19"/>
              </w:rPr>
              <w:t xml:space="preserve">Email Integration</w:t>
            </w:r>
          </w:p>
        </w:tc>
        <w:tc>
          <w:tcPr>
            <w:tcW w:type="dxa" w:w="6300"/>
            <w:shd w:fill="EEF2F8" w:val="clear"/>
            <w:tcMar>
              <w:top w:type="dxa" w:w="70"/>
              <w:left w:type="dxa" w:w="110"/>
              <w:bottom w:type="dxa" w:w="70"/>
              <w:right w:type="dxa" w:w="110"/>
            </w:tcMar>
            <w:vAlign w:val="center"/>
          </w:tcPr>
          <w:p>
            <w:r>
              <w:rPr>
                <w:sz w:val="19"/>
                <w:szCs w:val="19"/>
              </w:rPr>
              <w:t xml:space="preserve">IMAP/SMTP, realtime parsing, attachment parsing</w:t>
            </w:r>
          </w:p>
        </w:tc>
      </w:tr>
      <w:tr>
        <w:tc>
          <w:tcPr>
            <w:tcW w:type="dxa" w:w="500"/>
            <w:shd w:fill="FFFFFF" w:val="clear"/>
            <w:tcMar>
              <w:top w:type="dxa" w:w="70"/>
              <w:left w:type="dxa" w:w="110"/>
              <w:bottom w:type="dxa" w:w="70"/>
              <w:right w:type="dxa" w:w="110"/>
            </w:tcMar>
            <w:vAlign w:val="center"/>
          </w:tcPr>
          <w:p>
            <w:r>
              <w:rPr>
                <w:sz w:val="19"/>
                <w:szCs w:val="19"/>
              </w:rPr>
              <w:t xml:space="preserve">09</w:t>
            </w:r>
          </w:p>
        </w:tc>
        <w:tc>
          <w:tcPr>
            <w:tcW w:type="dxa" w:w="2600"/>
            <w:shd w:fill="FFFFFF" w:val="clear"/>
            <w:tcMar>
              <w:top w:type="dxa" w:w="70"/>
              <w:left w:type="dxa" w:w="110"/>
              <w:bottom w:type="dxa" w:w="70"/>
              <w:right w:type="dxa" w:w="110"/>
            </w:tcMar>
            <w:vAlign w:val="center"/>
          </w:tcPr>
          <w:p>
            <w:r>
              <w:rPr>
                <w:sz w:val="19"/>
                <w:szCs w:val="19"/>
              </w:rPr>
              <w:t xml:space="preserve">Signal Collection Service</w:t>
            </w:r>
          </w:p>
        </w:tc>
        <w:tc>
          <w:tcPr>
            <w:tcW w:type="dxa" w:w="6300"/>
            <w:shd w:fill="FFFFFF" w:val="clear"/>
            <w:tcMar>
              <w:top w:type="dxa" w:w="70"/>
              <w:left w:type="dxa" w:w="110"/>
              <w:bottom w:type="dxa" w:w="70"/>
              <w:right w:type="dxa" w:w="110"/>
            </w:tcMar>
            <w:vAlign w:val="center"/>
          </w:tcPr>
          <w:p>
            <w:r>
              <w:rPr>
                <w:sz w:val="19"/>
                <w:szCs w:val="19"/>
              </w:rPr>
              <w:t xml:space="preserve">First-stage queue; every source becomes a Signal Event; no execution occurs here</w:t>
            </w:r>
          </w:p>
        </w:tc>
      </w:tr>
      <w:tr>
        <w:tc>
          <w:tcPr>
            <w:tcW w:type="dxa" w:w="500"/>
            <w:shd w:fill="EEF2F8" w:val="clear"/>
            <w:tcMar>
              <w:top w:type="dxa" w:w="70"/>
              <w:left w:type="dxa" w:w="110"/>
              <w:bottom w:type="dxa" w:w="70"/>
              <w:right w:type="dxa" w:w="110"/>
            </w:tcMar>
            <w:vAlign w:val="center"/>
          </w:tcPr>
          <w:p>
            <w:r>
              <w:rPr>
                <w:sz w:val="19"/>
                <w:szCs w:val="19"/>
              </w:rPr>
              <w:t xml:space="preserve">10</w:t>
            </w:r>
          </w:p>
        </w:tc>
        <w:tc>
          <w:tcPr>
            <w:tcW w:type="dxa" w:w="2600"/>
            <w:shd w:fill="EEF2F8" w:val="clear"/>
            <w:tcMar>
              <w:top w:type="dxa" w:w="70"/>
              <w:left w:type="dxa" w:w="110"/>
              <w:bottom w:type="dxa" w:w="70"/>
              <w:right w:type="dxa" w:w="110"/>
            </w:tcMar>
            <w:vAlign w:val="center"/>
          </w:tcPr>
          <w:p>
            <w:r>
              <w:rPr>
                <w:sz w:val="19"/>
                <w:szCs w:val="19"/>
              </w:rPr>
              <w:t xml:space="preserve">Signal Classification Engine</w:t>
            </w:r>
          </w:p>
        </w:tc>
        <w:tc>
          <w:tcPr>
            <w:tcW w:type="dxa" w:w="6300"/>
            <w:shd w:fill="EEF2F8" w:val="clear"/>
            <w:tcMar>
              <w:top w:type="dxa" w:w="70"/>
              <w:left w:type="dxa" w:w="110"/>
              <w:bottom w:type="dxa" w:w="70"/>
              <w:right w:type="dxa" w:w="110"/>
            </w:tcMar>
            <w:vAlign w:val="center"/>
          </w:tcPr>
          <w:p>
            <w:r>
              <w:rPr>
                <w:sz w:val="19"/>
                <w:szCs w:val="19"/>
              </w:rPr>
              <w:t xml:space="preserve">Determines message type before parsing; only relevant messages continue (recommended addition, consistent with document goals)</w:t>
            </w:r>
          </w:p>
        </w:tc>
      </w:tr>
      <w:tr>
        <w:tc>
          <w:tcPr>
            <w:tcW w:type="dxa" w:w="500"/>
            <w:shd w:fill="FFFFFF" w:val="clear"/>
            <w:tcMar>
              <w:top w:type="dxa" w:w="70"/>
              <w:left w:type="dxa" w:w="110"/>
              <w:bottom w:type="dxa" w:w="70"/>
              <w:right w:type="dxa" w:w="110"/>
            </w:tcMar>
            <w:vAlign w:val="center"/>
          </w:tcPr>
          <w:p>
            <w:r>
              <w:rPr>
                <w:sz w:val="19"/>
                <w:szCs w:val="19"/>
              </w:rPr>
              <w:t xml:space="preserve">11</w:t>
            </w:r>
          </w:p>
        </w:tc>
        <w:tc>
          <w:tcPr>
            <w:tcW w:type="dxa" w:w="2600"/>
            <w:shd w:fill="FFFFFF" w:val="clear"/>
            <w:tcMar>
              <w:top w:type="dxa" w:w="70"/>
              <w:left w:type="dxa" w:w="110"/>
              <w:bottom w:type="dxa" w:w="70"/>
              <w:right w:type="dxa" w:w="110"/>
            </w:tcMar>
            <w:vAlign w:val="center"/>
          </w:tcPr>
          <w:p>
            <w:r>
              <w:rPr>
                <w:sz w:val="19"/>
                <w:szCs w:val="19"/>
              </w:rPr>
              <w:t xml:space="preserve">AI Signal Intelligence Engine</w:t>
            </w:r>
          </w:p>
        </w:tc>
        <w:tc>
          <w:tcPr>
            <w:tcW w:type="dxa" w:w="6300"/>
            <w:shd w:fill="FFFFFF" w:val="clear"/>
            <w:tcMar>
              <w:top w:type="dxa" w:w="70"/>
              <w:left w:type="dxa" w:w="110"/>
              <w:bottom w:type="dxa" w:w="70"/>
              <w:right w:type="dxa" w:w="110"/>
            </w:tcMar>
            <w:vAlign w:val="center"/>
          </w:tcPr>
          <w:p>
            <w:r>
              <w:rPr>
                <w:sz w:val="19"/>
                <w:szCs w:val="19"/>
              </w:rPr>
              <w:t xml:space="preserve">Intent, symbol, order type, entry/SL/TP, risk extraction, translation, abbreviation resolution, confidence scoring, structured output</w:t>
            </w:r>
          </w:p>
        </w:tc>
      </w:tr>
      <w:tr>
        <w:tc>
          <w:tcPr>
            <w:tcW w:type="dxa" w:w="500"/>
            <w:shd w:fill="EEF2F8" w:val="clear"/>
            <w:tcMar>
              <w:top w:type="dxa" w:w="70"/>
              <w:left w:type="dxa" w:w="110"/>
              <w:bottom w:type="dxa" w:w="70"/>
              <w:right w:type="dxa" w:w="110"/>
            </w:tcMar>
            <w:vAlign w:val="center"/>
          </w:tcPr>
          <w:p>
            <w:r>
              <w:rPr>
                <w:sz w:val="19"/>
                <w:szCs w:val="19"/>
              </w:rPr>
              <w:t xml:space="preserve">12</w:t>
            </w:r>
          </w:p>
        </w:tc>
        <w:tc>
          <w:tcPr>
            <w:tcW w:type="dxa" w:w="2600"/>
            <w:shd w:fill="EEF2F8" w:val="clear"/>
            <w:tcMar>
              <w:top w:type="dxa" w:w="70"/>
              <w:left w:type="dxa" w:w="110"/>
              <w:bottom w:type="dxa" w:w="70"/>
              <w:right w:type="dxa" w:w="110"/>
            </w:tcMar>
            <w:vAlign w:val="center"/>
          </w:tcPr>
          <w:p>
            <w:r>
              <w:rPr>
                <w:sz w:val="19"/>
                <w:szCs w:val="19"/>
              </w:rPr>
              <w:t xml:space="preserve">Provider DNA Engine</w:t>
            </w:r>
          </w:p>
        </w:tc>
        <w:tc>
          <w:tcPr>
            <w:tcW w:type="dxa" w:w="6300"/>
            <w:shd w:fill="EEF2F8" w:val="clear"/>
            <w:tcMar>
              <w:top w:type="dxa" w:w="70"/>
              <w:left w:type="dxa" w:w="110"/>
              <w:bottom w:type="dxa" w:w="70"/>
              <w:right w:type="dxa" w:w="110"/>
            </w:tcMar>
            <w:vAlign w:val="center"/>
          </w:tcPr>
          <w:p>
            <w:r>
              <w:rPr>
                <w:sz w:val="19"/>
                <w:szCs w:val="19"/>
              </w:rPr>
              <w:t xml:space="preserve">Language, style, symbols, trade-management style, abbreviations, risk style, learning history, fast-parsing rules</w:t>
            </w:r>
          </w:p>
        </w:tc>
      </w:tr>
      <w:tr>
        <w:tc>
          <w:tcPr>
            <w:tcW w:type="dxa" w:w="500"/>
            <w:shd w:fill="FFFFFF" w:val="clear"/>
            <w:tcMar>
              <w:top w:type="dxa" w:w="70"/>
              <w:left w:type="dxa" w:w="110"/>
              <w:bottom w:type="dxa" w:w="70"/>
              <w:right w:type="dxa" w:w="110"/>
            </w:tcMar>
            <w:vAlign w:val="center"/>
          </w:tcPr>
          <w:p>
            <w:r>
              <w:rPr>
                <w:sz w:val="19"/>
                <w:szCs w:val="19"/>
              </w:rPr>
              <w:t xml:space="preserve">13</w:t>
            </w:r>
          </w:p>
        </w:tc>
        <w:tc>
          <w:tcPr>
            <w:tcW w:type="dxa" w:w="2600"/>
            <w:shd w:fill="FFFFFF" w:val="clear"/>
            <w:tcMar>
              <w:top w:type="dxa" w:w="70"/>
              <w:left w:type="dxa" w:w="110"/>
              <w:bottom w:type="dxa" w:w="70"/>
              <w:right w:type="dxa" w:w="110"/>
            </w:tcMar>
            <w:vAlign w:val="center"/>
          </w:tcPr>
          <w:p>
            <w:r>
              <w:rPr>
                <w:sz w:val="19"/>
                <w:szCs w:val="19"/>
              </w:rPr>
              <w:t xml:space="preserve">Signal Standardization Engine</w:t>
            </w:r>
          </w:p>
        </w:tc>
        <w:tc>
          <w:tcPr>
            <w:tcW w:type="dxa" w:w="6300"/>
            <w:shd w:fill="FFFFFF" w:val="clear"/>
            <w:tcMar>
              <w:top w:type="dxa" w:w="70"/>
              <w:left w:type="dxa" w:w="110"/>
              <w:bottom w:type="dxa" w:w="70"/>
              <w:right w:type="dxa" w:w="110"/>
            </w:tcMar>
            <w:vAlign w:val="center"/>
          </w:tcPr>
          <w:p>
            <w:r>
              <w:rPr>
                <w:sz w:val="19"/>
                <w:szCs w:val="19"/>
              </w:rPr>
              <w:t xml:space="preserve">Normalizes every signal into one consistent schema for downstream services</w:t>
            </w:r>
          </w:p>
        </w:tc>
      </w:tr>
      <w:tr>
        <w:tc>
          <w:tcPr>
            <w:tcW w:type="dxa" w:w="500"/>
            <w:shd w:fill="EEF2F8" w:val="clear"/>
            <w:tcMar>
              <w:top w:type="dxa" w:w="70"/>
              <w:left w:type="dxa" w:w="110"/>
              <w:bottom w:type="dxa" w:w="70"/>
              <w:right w:type="dxa" w:w="110"/>
            </w:tcMar>
            <w:vAlign w:val="center"/>
          </w:tcPr>
          <w:p>
            <w:r>
              <w:rPr>
                <w:sz w:val="19"/>
                <w:szCs w:val="19"/>
              </w:rPr>
              <w:t xml:space="preserve">14</w:t>
            </w:r>
          </w:p>
        </w:tc>
        <w:tc>
          <w:tcPr>
            <w:tcW w:type="dxa" w:w="2600"/>
            <w:shd w:fill="EEF2F8" w:val="clear"/>
            <w:tcMar>
              <w:top w:type="dxa" w:w="70"/>
              <w:left w:type="dxa" w:w="110"/>
              <w:bottom w:type="dxa" w:w="70"/>
              <w:right w:type="dxa" w:w="110"/>
            </w:tcMar>
            <w:vAlign w:val="center"/>
          </w:tcPr>
          <w:p>
            <w:r>
              <w:rPr>
                <w:sz w:val="19"/>
                <w:szCs w:val="19"/>
              </w:rPr>
              <w:t xml:space="preserve">Trade Matching Engine</w:t>
            </w:r>
          </w:p>
        </w:tc>
        <w:tc>
          <w:tcPr>
            <w:tcW w:type="dxa" w:w="6300"/>
            <w:shd w:fill="EEF2F8" w:val="clear"/>
            <w:tcMar>
              <w:top w:type="dxa" w:w="70"/>
              <w:left w:type="dxa" w:w="110"/>
              <w:bottom w:type="dxa" w:w="70"/>
              <w:right w:type="dxa" w:w="110"/>
            </w:tcMar>
            <w:vAlign w:val="center"/>
          </w:tcPr>
          <w:p>
            <w:r>
              <w:rPr>
                <w:sz w:val="19"/>
                <w:szCs w:val="19"/>
              </w:rPr>
              <w:t xml:space="preserve">Matches management instructions (close half, move SL, trailing) to the correct open trade</w:t>
            </w:r>
          </w:p>
        </w:tc>
      </w:tr>
      <w:tr>
        <w:tc>
          <w:tcPr>
            <w:tcW w:type="dxa" w:w="500"/>
            <w:shd w:fill="FFFFFF" w:val="clear"/>
            <w:tcMar>
              <w:top w:type="dxa" w:w="70"/>
              <w:left w:type="dxa" w:w="110"/>
              <w:bottom w:type="dxa" w:w="70"/>
              <w:right w:type="dxa" w:w="110"/>
            </w:tcMar>
            <w:vAlign w:val="center"/>
          </w:tcPr>
          <w:p>
            <w:r>
              <w:rPr>
                <w:sz w:val="19"/>
                <w:szCs w:val="19"/>
              </w:rPr>
              <w:t xml:space="preserve">15</w:t>
            </w:r>
          </w:p>
        </w:tc>
        <w:tc>
          <w:tcPr>
            <w:tcW w:type="dxa" w:w="2600"/>
            <w:shd w:fill="FFFFFF" w:val="clear"/>
            <w:tcMar>
              <w:top w:type="dxa" w:w="70"/>
              <w:left w:type="dxa" w:w="110"/>
              <w:bottom w:type="dxa" w:w="70"/>
              <w:right w:type="dxa" w:w="110"/>
            </w:tcMar>
            <w:vAlign w:val="center"/>
          </w:tcPr>
          <w:p>
            <w:r>
              <w:rPr>
                <w:sz w:val="19"/>
                <w:szCs w:val="19"/>
              </w:rPr>
              <w:t xml:space="preserve">Multi-Provider Consensus Engine</w:t>
            </w:r>
          </w:p>
        </w:tc>
        <w:tc>
          <w:tcPr>
            <w:tcW w:type="dxa" w:w="6300"/>
            <w:shd w:fill="FFFFFF" w:val="clear"/>
            <w:tcMar>
              <w:top w:type="dxa" w:w="70"/>
              <w:left w:type="dxa" w:w="110"/>
              <w:bottom w:type="dxa" w:w="70"/>
              <w:right w:type="dxa" w:w="110"/>
            </w:tcMar>
            <w:vAlign w:val="center"/>
          </w:tcPr>
          <w:p>
            <w:r>
              <w:rPr>
                <w:sz w:val="19"/>
                <w:szCs w:val="19"/>
              </w:rPr>
              <w:t xml:space="preserve">Compares providers; computes agreement, confidence, risk, voting, final decision</w:t>
            </w:r>
          </w:p>
        </w:tc>
      </w:tr>
      <w:tr>
        <w:tc>
          <w:tcPr>
            <w:tcW w:type="dxa" w:w="500"/>
            <w:shd w:fill="EEF2F8" w:val="clear"/>
            <w:tcMar>
              <w:top w:type="dxa" w:w="70"/>
              <w:left w:type="dxa" w:w="110"/>
              <w:bottom w:type="dxa" w:w="70"/>
              <w:right w:type="dxa" w:w="110"/>
            </w:tcMar>
            <w:vAlign w:val="center"/>
          </w:tcPr>
          <w:p>
            <w:r>
              <w:rPr>
                <w:sz w:val="19"/>
                <w:szCs w:val="19"/>
              </w:rPr>
              <w:t xml:space="preserve">16</w:t>
            </w:r>
          </w:p>
        </w:tc>
        <w:tc>
          <w:tcPr>
            <w:tcW w:type="dxa" w:w="2600"/>
            <w:shd w:fill="EEF2F8" w:val="clear"/>
            <w:tcMar>
              <w:top w:type="dxa" w:w="70"/>
              <w:left w:type="dxa" w:w="110"/>
              <w:bottom w:type="dxa" w:w="70"/>
              <w:right w:type="dxa" w:w="110"/>
            </w:tcMar>
            <w:vAlign w:val="center"/>
          </w:tcPr>
          <w:p>
            <w:r>
              <w:rPr>
                <w:sz w:val="19"/>
                <w:szCs w:val="19"/>
              </w:rPr>
              <w:t xml:space="preserve">AI Risk Engine</w:t>
            </w:r>
          </w:p>
        </w:tc>
        <w:tc>
          <w:tcPr>
            <w:tcW w:type="dxa" w:w="6300"/>
            <w:shd w:fill="EEF2F8" w:val="clear"/>
            <w:tcMar>
              <w:top w:type="dxa" w:w="70"/>
              <w:left w:type="dxa" w:w="110"/>
              <w:bottom w:type="dxa" w:w="70"/>
              <w:right w:type="dxa" w:w="110"/>
            </w:tcMar>
            <w:vAlign w:val="center"/>
          </w:tcPr>
          <w:p>
            <w:r>
              <w:rPr>
                <w:sz w:val="19"/>
                <w:szCs w:val="19"/>
              </w:rPr>
              <w:t xml:space="preserve">Max daily loss/drawdown, risk %, max open trades, sessions, correlation, news filter, emergency stop, duplicate/margin/spread/slippage checks</w:t>
            </w:r>
          </w:p>
        </w:tc>
      </w:tr>
      <w:tr>
        <w:tc>
          <w:tcPr>
            <w:tcW w:type="dxa" w:w="500"/>
            <w:shd w:fill="FFFFFF" w:val="clear"/>
            <w:tcMar>
              <w:top w:type="dxa" w:w="70"/>
              <w:left w:type="dxa" w:w="110"/>
              <w:bottom w:type="dxa" w:w="70"/>
              <w:right w:type="dxa" w:w="110"/>
            </w:tcMar>
            <w:vAlign w:val="center"/>
          </w:tcPr>
          <w:p>
            <w:r>
              <w:rPr>
                <w:sz w:val="19"/>
                <w:szCs w:val="19"/>
              </w:rPr>
              <w:t xml:space="preserve">17</w:t>
            </w:r>
          </w:p>
        </w:tc>
        <w:tc>
          <w:tcPr>
            <w:tcW w:type="dxa" w:w="2600"/>
            <w:shd w:fill="FFFFFF" w:val="clear"/>
            <w:tcMar>
              <w:top w:type="dxa" w:w="70"/>
              <w:left w:type="dxa" w:w="110"/>
              <w:bottom w:type="dxa" w:w="70"/>
              <w:right w:type="dxa" w:w="110"/>
            </w:tcMar>
            <w:vAlign w:val="center"/>
          </w:tcPr>
          <w:p>
            <w:r>
              <w:rPr>
                <w:sz w:val="19"/>
                <w:szCs w:val="19"/>
              </w:rPr>
              <w:t xml:space="preserve">Automation Rules Engine</w:t>
            </w:r>
          </w:p>
        </w:tc>
        <w:tc>
          <w:tcPr>
            <w:tcW w:type="dxa" w:w="6300"/>
            <w:shd w:fill="FFFFFF" w:val="clear"/>
            <w:tcMar>
              <w:top w:type="dxa" w:w="70"/>
              <w:left w:type="dxa" w:w="110"/>
              <w:bottom w:type="dxa" w:w="70"/>
              <w:right w:type="dxa" w:w="110"/>
            </w:tcMar>
            <w:vAlign w:val="center"/>
          </w:tcPr>
          <w:p>
            <w:r>
              <w:rPr>
                <w:sz w:val="19"/>
                <w:szCs w:val="19"/>
              </w:rPr>
              <w:t xml:space="preserve">IF/THEN rules — profit, trailing, break-even, time-based, provider/symbol/risk rules</w:t>
            </w:r>
          </w:p>
        </w:tc>
      </w:tr>
      <w:tr>
        <w:tc>
          <w:tcPr>
            <w:tcW w:type="dxa" w:w="500"/>
            <w:shd w:fill="EEF2F8" w:val="clear"/>
            <w:tcMar>
              <w:top w:type="dxa" w:w="70"/>
              <w:left w:type="dxa" w:w="110"/>
              <w:bottom w:type="dxa" w:w="70"/>
              <w:right w:type="dxa" w:w="110"/>
            </w:tcMar>
            <w:vAlign w:val="center"/>
          </w:tcPr>
          <w:p>
            <w:r>
              <w:rPr>
                <w:sz w:val="19"/>
                <w:szCs w:val="19"/>
              </w:rPr>
              <w:t xml:space="preserve">18</w:t>
            </w:r>
          </w:p>
        </w:tc>
        <w:tc>
          <w:tcPr>
            <w:tcW w:type="dxa" w:w="2600"/>
            <w:shd w:fill="EEF2F8" w:val="clear"/>
            <w:tcMar>
              <w:top w:type="dxa" w:w="70"/>
              <w:left w:type="dxa" w:w="110"/>
              <w:bottom w:type="dxa" w:w="70"/>
              <w:right w:type="dxa" w:w="110"/>
            </w:tcMar>
            <w:vAlign w:val="center"/>
          </w:tcPr>
          <w:p>
            <w:r>
              <w:rPr>
                <w:sz w:val="19"/>
                <w:szCs w:val="19"/>
              </w:rPr>
              <w:t xml:space="preserve">Execution Service</w:t>
            </w:r>
          </w:p>
        </w:tc>
        <w:tc>
          <w:tcPr>
            <w:tcW w:type="dxa" w:w="6300"/>
            <w:shd w:fill="EEF2F8" w:val="clear"/>
            <w:tcMar>
              <w:top w:type="dxa" w:w="70"/>
              <w:left w:type="dxa" w:w="110"/>
              <w:bottom w:type="dxa" w:w="70"/>
              <w:right w:type="dxa" w:w="110"/>
            </w:tcMar>
            <w:vAlign w:val="center"/>
          </w:tcPr>
          <w:p>
            <w:r>
              <w:rPr>
                <w:sz w:val="19"/>
                <w:szCs w:val="19"/>
              </w:rPr>
              <w:t xml:space="preserve">The only service permitted to talk to MetaApi; execute/modify/close, pending orders, partials, sync, retries, logs</w:t>
            </w:r>
          </w:p>
        </w:tc>
      </w:tr>
      <w:tr>
        <w:tc>
          <w:tcPr>
            <w:tcW w:type="dxa" w:w="500"/>
            <w:shd w:fill="FFFFFF" w:val="clear"/>
            <w:tcMar>
              <w:top w:type="dxa" w:w="70"/>
              <w:left w:type="dxa" w:w="110"/>
              <w:bottom w:type="dxa" w:w="70"/>
              <w:right w:type="dxa" w:w="110"/>
            </w:tcMar>
            <w:vAlign w:val="center"/>
          </w:tcPr>
          <w:p>
            <w:r>
              <w:rPr>
                <w:sz w:val="19"/>
                <w:szCs w:val="19"/>
              </w:rPr>
              <w:t xml:space="preserve">19</w:t>
            </w:r>
          </w:p>
        </w:tc>
        <w:tc>
          <w:tcPr>
            <w:tcW w:type="dxa" w:w="2600"/>
            <w:shd w:fill="FFFFFF" w:val="clear"/>
            <w:tcMar>
              <w:top w:type="dxa" w:w="70"/>
              <w:left w:type="dxa" w:w="110"/>
              <w:bottom w:type="dxa" w:w="70"/>
              <w:right w:type="dxa" w:w="110"/>
            </w:tcMar>
            <w:vAlign w:val="center"/>
          </w:tcPr>
          <w:p>
            <w:r>
              <w:rPr>
                <w:sz w:val="19"/>
                <w:szCs w:val="19"/>
              </w:rPr>
              <w:t xml:space="preserve">Trade State Engine</w:t>
            </w:r>
          </w:p>
        </w:tc>
        <w:tc>
          <w:tcPr>
            <w:tcW w:type="dxa" w:w="6300"/>
            <w:shd w:fill="FFFFFF" w:val="clear"/>
            <w:tcMar>
              <w:top w:type="dxa" w:w="70"/>
              <w:left w:type="dxa" w:w="110"/>
              <w:bottom w:type="dxa" w:w="70"/>
              <w:right w:type="dxa" w:w="110"/>
            </w:tcMar>
            <w:vAlign w:val="center"/>
          </w:tcPr>
          <w:p>
            <w:r>
              <w:rPr>
                <w:sz w:val="19"/>
                <w:szCs w:val="19"/>
              </w:rPr>
              <w:t xml:space="preserve">Full lifecycle tracking with actor attribution (system, provider, user, broker, automation)</w:t>
            </w:r>
          </w:p>
        </w:tc>
      </w:tr>
      <w:tr>
        <w:tc>
          <w:tcPr>
            <w:tcW w:type="dxa" w:w="500"/>
            <w:shd w:fill="EEF2F8" w:val="clear"/>
            <w:tcMar>
              <w:top w:type="dxa" w:w="70"/>
              <w:left w:type="dxa" w:w="110"/>
              <w:bottom w:type="dxa" w:w="70"/>
              <w:right w:type="dxa" w:w="110"/>
            </w:tcMar>
            <w:vAlign w:val="center"/>
          </w:tcPr>
          <w:p>
            <w:r>
              <w:rPr>
                <w:sz w:val="19"/>
                <w:szCs w:val="19"/>
              </w:rPr>
              <w:t xml:space="preserve">20</w:t>
            </w:r>
          </w:p>
        </w:tc>
        <w:tc>
          <w:tcPr>
            <w:tcW w:type="dxa" w:w="2600"/>
            <w:shd w:fill="EEF2F8" w:val="clear"/>
            <w:tcMar>
              <w:top w:type="dxa" w:w="70"/>
              <w:left w:type="dxa" w:w="110"/>
              <w:bottom w:type="dxa" w:w="70"/>
              <w:right w:type="dxa" w:w="110"/>
            </w:tcMar>
            <w:vAlign w:val="center"/>
          </w:tcPr>
          <w:p>
            <w:r>
              <w:rPr>
                <w:sz w:val="19"/>
                <w:szCs w:val="19"/>
              </w:rPr>
              <w:t xml:space="preserve">Trade Shadow Engine</w:t>
            </w:r>
          </w:p>
        </w:tc>
        <w:tc>
          <w:tcPr>
            <w:tcW w:type="dxa" w:w="6300"/>
            <w:shd w:fill="EEF2F8" w:val="clear"/>
            <w:tcMar>
              <w:top w:type="dxa" w:w="70"/>
              <w:left w:type="dxa" w:w="110"/>
              <w:bottom w:type="dxa" w:w="70"/>
              <w:right w:type="dxa" w:w="110"/>
            </w:tcMar>
            <w:vAlign w:val="center"/>
          </w:tcPr>
          <w:p>
            <w:r>
              <w:rPr>
                <w:sz w:val="19"/>
                <w:szCs w:val="19"/>
              </w:rPr>
              <w:t xml:space="preserve">Original provider trade vs. user trade; missed profit, better exit, behavior feedback</w:t>
            </w:r>
          </w:p>
        </w:tc>
      </w:tr>
      <w:tr>
        <w:tc>
          <w:tcPr>
            <w:tcW w:type="dxa" w:w="500"/>
            <w:shd w:fill="FFFFFF" w:val="clear"/>
            <w:tcMar>
              <w:top w:type="dxa" w:w="70"/>
              <w:left w:type="dxa" w:w="110"/>
              <w:bottom w:type="dxa" w:w="70"/>
              <w:right w:type="dxa" w:w="110"/>
            </w:tcMar>
            <w:vAlign w:val="center"/>
          </w:tcPr>
          <w:p>
            <w:r>
              <w:rPr>
                <w:sz w:val="19"/>
                <w:szCs w:val="19"/>
              </w:rPr>
              <w:t xml:space="preserve">21</w:t>
            </w:r>
          </w:p>
        </w:tc>
        <w:tc>
          <w:tcPr>
            <w:tcW w:type="dxa" w:w="2600"/>
            <w:shd w:fill="FFFFFF" w:val="clear"/>
            <w:tcMar>
              <w:top w:type="dxa" w:w="70"/>
              <w:left w:type="dxa" w:w="110"/>
              <w:bottom w:type="dxa" w:w="70"/>
              <w:right w:type="dxa" w:w="110"/>
            </w:tcMar>
            <w:vAlign w:val="center"/>
          </w:tcPr>
          <w:p>
            <w:r>
              <w:rPr>
                <w:sz w:val="19"/>
                <w:szCs w:val="19"/>
              </w:rPr>
              <w:t xml:space="preserve">Copy Trading Engine</w:t>
            </w:r>
          </w:p>
        </w:tc>
        <w:tc>
          <w:tcPr>
            <w:tcW w:type="dxa" w:w="6300"/>
            <w:shd w:fill="FFFFFF" w:val="clear"/>
            <w:tcMar>
              <w:top w:type="dxa" w:w="70"/>
              <w:left w:type="dxa" w:w="110"/>
              <w:bottom w:type="dxa" w:w="70"/>
              <w:right w:type="dxa" w:w="110"/>
            </w:tcMar>
            <w:vAlign w:val="center"/>
          </w:tcPr>
          <w:p>
            <w:r>
              <w:rPr>
                <w:sz w:val="19"/>
                <w:szCs w:val="19"/>
              </w:rPr>
              <w:t xml:space="preserve">Subscriber management, replication, lot/percentage/balance scaling, latency monitoring, retry queue, partial copy, provider-stop sync</w:t>
            </w:r>
          </w:p>
        </w:tc>
      </w:tr>
      <w:tr>
        <w:tc>
          <w:tcPr>
            <w:tcW w:type="dxa" w:w="500"/>
            <w:shd w:fill="EEF2F8" w:val="clear"/>
            <w:tcMar>
              <w:top w:type="dxa" w:w="70"/>
              <w:left w:type="dxa" w:w="110"/>
              <w:bottom w:type="dxa" w:w="70"/>
              <w:right w:type="dxa" w:w="110"/>
            </w:tcMar>
            <w:vAlign w:val="center"/>
          </w:tcPr>
          <w:p>
            <w:r>
              <w:rPr>
                <w:sz w:val="19"/>
                <w:szCs w:val="19"/>
              </w:rPr>
              <w:t xml:space="preserve">22</w:t>
            </w:r>
          </w:p>
        </w:tc>
        <w:tc>
          <w:tcPr>
            <w:tcW w:type="dxa" w:w="2600"/>
            <w:shd w:fill="EEF2F8" w:val="clear"/>
            <w:tcMar>
              <w:top w:type="dxa" w:w="70"/>
              <w:left w:type="dxa" w:w="110"/>
              <w:bottom w:type="dxa" w:w="70"/>
              <w:right w:type="dxa" w:w="110"/>
            </w:tcMar>
            <w:vAlign w:val="center"/>
          </w:tcPr>
          <w:p>
            <w:r>
              <w:rPr>
                <w:sz w:val="19"/>
                <w:szCs w:val="19"/>
              </w:rPr>
              <w:t xml:space="preserve">Analytics Service</w:t>
            </w:r>
          </w:p>
        </w:tc>
        <w:tc>
          <w:tcPr>
            <w:tcW w:type="dxa" w:w="6300"/>
            <w:shd w:fill="EEF2F8" w:val="clear"/>
            <w:tcMar>
              <w:top w:type="dxa" w:w="70"/>
              <w:left w:type="dxa" w:w="110"/>
              <w:bottom w:type="dxa" w:w="70"/>
              <w:right w:type="dxa" w:w="110"/>
            </w:tcMar>
            <w:vAlign w:val="center"/>
          </w:tcPr>
          <w:p>
            <w:r>
              <w:rPr>
                <w:sz w:val="19"/>
                <w:szCs w:val="19"/>
              </w:rPr>
              <w:t xml:space="preserve">Equity curve, profit, drawdown, Sharpe, Sortino, average RR, latency, execution speed, risk/behavior analysis, heatmaps</w:t>
            </w:r>
          </w:p>
        </w:tc>
      </w:tr>
      <w:tr>
        <w:tc>
          <w:tcPr>
            <w:tcW w:type="dxa" w:w="500"/>
            <w:shd w:fill="FFFFFF" w:val="clear"/>
            <w:tcMar>
              <w:top w:type="dxa" w:w="70"/>
              <w:left w:type="dxa" w:w="110"/>
              <w:bottom w:type="dxa" w:w="70"/>
              <w:right w:type="dxa" w:w="110"/>
            </w:tcMar>
            <w:vAlign w:val="center"/>
          </w:tcPr>
          <w:p>
            <w:r>
              <w:rPr>
                <w:sz w:val="19"/>
                <w:szCs w:val="19"/>
              </w:rPr>
              <w:t xml:space="preserve">23</w:t>
            </w:r>
          </w:p>
        </w:tc>
        <w:tc>
          <w:tcPr>
            <w:tcW w:type="dxa" w:w="2600"/>
            <w:shd w:fill="FFFFFF" w:val="clear"/>
            <w:tcMar>
              <w:top w:type="dxa" w:w="70"/>
              <w:left w:type="dxa" w:w="110"/>
              <w:bottom w:type="dxa" w:w="70"/>
              <w:right w:type="dxa" w:w="110"/>
            </w:tcMar>
            <w:vAlign w:val="center"/>
          </w:tcPr>
          <w:p>
            <w:r>
              <w:rPr>
                <w:sz w:val="19"/>
                <w:szCs w:val="19"/>
              </w:rPr>
              <w:t xml:space="preserve">Replay Engine</w:t>
            </w:r>
          </w:p>
        </w:tc>
        <w:tc>
          <w:tcPr>
            <w:tcW w:type="dxa" w:w="6300"/>
            <w:shd w:fill="FFFFFF" w:val="clear"/>
            <w:tcMar>
              <w:top w:type="dxa" w:w="70"/>
              <w:left w:type="dxa" w:w="110"/>
              <w:bottom w:type="dxa" w:w="70"/>
              <w:right w:type="dxa" w:w="110"/>
            </w:tcMar>
            <w:vAlign w:val="center"/>
          </w:tcPr>
          <w:p>
            <w:r>
              <w:rPr>
                <w:sz w:val="19"/>
                <w:szCs w:val="19"/>
              </w:rPr>
              <w:t xml:space="preserve">Reconstructs signal → AI → risk → execution → broker → closure timeline</w:t>
            </w:r>
          </w:p>
        </w:tc>
      </w:tr>
      <w:tr>
        <w:tc>
          <w:tcPr>
            <w:tcW w:type="dxa" w:w="500"/>
            <w:shd w:fill="EEF2F8" w:val="clear"/>
            <w:tcMar>
              <w:top w:type="dxa" w:w="70"/>
              <w:left w:type="dxa" w:w="110"/>
              <w:bottom w:type="dxa" w:w="70"/>
              <w:right w:type="dxa" w:w="110"/>
            </w:tcMar>
            <w:vAlign w:val="center"/>
          </w:tcPr>
          <w:p>
            <w:r>
              <w:rPr>
                <w:sz w:val="19"/>
                <w:szCs w:val="19"/>
              </w:rPr>
              <w:t xml:space="preserve">24</w:t>
            </w:r>
          </w:p>
        </w:tc>
        <w:tc>
          <w:tcPr>
            <w:tcW w:type="dxa" w:w="2600"/>
            <w:shd w:fill="EEF2F8" w:val="clear"/>
            <w:tcMar>
              <w:top w:type="dxa" w:w="70"/>
              <w:left w:type="dxa" w:w="110"/>
              <w:bottom w:type="dxa" w:w="70"/>
              <w:right w:type="dxa" w:w="110"/>
            </w:tcMar>
            <w:vAlign w:val="center"/>
          </w:tcPr>
          <w:p>
            <w:r>
              <w:rPr>
                <w:sz w:val="19"/>
                <w:szCs w:val="19"/>
              </w:rPr>
              <w:t xml:space="preserve">Provider Marketplace</w:t>
            </w:r>
          </w:p>
        </w:tc>
        <w:tc>
          <w:tcPr>
            <w:tcW w:type="dxa" w:w="6300"/>
            <w:shd w:fill="EEF2F8" w:val="clear"/>
            <w:tcMar>
              <w:top w:type="dxa" w:w="70"/>
              <w:left w:type="dxa" w:w="110"/>
              <w:bottom w:type="dxa" w:w="70"/>
              <w:right w:type="dxa" w:w="110"/>
            </w:tcMar>
            <w:vAlign w:val="center"/>
          </w:tcPr>
          <w:p>
            <w:r>
              <w:rPr>
                <w:sz w:val="19"/>
                <w:szCs w:val="19"/>
              </w:rPr>
              <w:t xml:space="preserve">Verified profiles, performance, reviews, followers, revenue, pricing, subscriptions, discovery, search, categories</w:t>
            </w:r>
          </w:p>
        </w:tc>
      </w:tr>
      <w:tr>
        <w:tc>
          <w:tcPr>
            <w:tcW w:type="dxa" w:w="500"/>
            <w:shd w:fill="FFFFFF" w:val="clear"/>
            <w:tcMar>
              <w:top w:type="dxa" w:w="70"/>
              <w:left w:type="dxa" w:w="110"/>
              <w:bottom w:type="dxa" w:w="70"/>
              <w:right w:type="dxa" w:w="110"/>
            </w:tcMar>
            <w:vAlign w:val="center"/>
          </w:tcPr>
          <w:p>
            <w:r>
              <w:rPr>
                <w:sz w:val="19"/>
                <w:szCs w:val="19"/>
              </w:rPr>
              <w:t xml:space="preserve">25</w:t>
            </w:r>
          </w:p>
        </w:tc>
        <w:tc>
          <w:tcPr>
            <w:tcW w:type="dxa" w:w="2600"/>
            <w:shd w:fill="FFFFFF" w:val="clear"/>
            <w:tcMar>
              <w:top w:type="dxa" w:w="70"/>
              <w:left w:type="dxa" w:w="110"/>
              <w:bottom w:type="dxa" w:w="70"/>
              <w:right w:type="dxa" w:w="110"/>
            </w:tcMar>
            <w:vAlign w:val="center"/>
          </w:tcPr>
          <w:p>
            <w:r>
              <w:rPr>
                <w:sz w:val="19"/>
                <w:szCs w:val="19"/>
              </w:rPr>
              <w:t xml:space="preserve">Trader Marketplace</w:t>
            </w:r>
          </w:p>
        </w:tc>
        <w:tc>
          <w:tcPr>
            <w:tcW w:type="dxa" w:w="6300"/>
            <w:shd w:fill="FFFFFF" w:val="clear"/>
            <w:tcMar>
              <w:top w:type="dxa" w:w="70"/>
              <w:left w:type="dxa" w:w="110"/>
              <w:bottom w:type="dxa" w:w="70"/>
              <w:right w:type="dxa" w:w="110"/>
            </w:tcMar>
            <w:vAlign w:val="center"/>
          </w:tcPr>
          <w:p>
            <w:r>
              <w:rPr>
                <w:sz w:val="19"/>
                <w:szCs w:val="19"/>
              </w:rPr>
              <w:t xml:space="preserve">Manual traders, performance tracking, follower copy trading, trading style, behavior, leaderboards</w:t>
            </w:r>
          </w:p>
        </w:tc>
      </w:tr>
      <w:tr>
        <w:tc>
          <w:tcPr>
            <w:tcW w:type="dxa" w:w="500"/>
            <w:shd w:fill="EEF2F8" w:val="clear"/>
            <w:tcMar>
              <w:top w:type="dxa" w:w="70"/>
              <w:left w:type="dxa" w:w="110"/>
              <w:bottom w:type="dxa" w:w="70"/>
              <w:right w:type="dxa" w:w="110"/>
            </w:tcMar>
            <w:vAlign w:val="center"/>
          </w:tcPr>
          <w:p>
            <w:r>
              <w:rPr>
                <w:sz w:val="19"/>
                <w:szCs w:val="19"/>
              </w:rPr>
              <w:t xml:space="preserve">26</w:t>
            </w:r>
          </w:p>
        </w:tc>
        <w:tc>
          <w:tcPr>
            <w:tcW w:type="dxa" w:w="2600"/>
            <w:shd w:fill="EEF2F8" w:val="clear"/>
            <w:tcMar>
              <w:top w:type="dxa" w:w="70"/>
              <w:left w:type="dxa" w:w="110"/>
              <w:bottom w:type="dxa" w:w="70"/>
              <w:right w:type="dxa" w:w="110"/>
            </w:tcMar>
            <w:vAlign w:val="center"/>
          </w:tcPr>
          <w:p>
            <w:r>
              <w:rPr>
                <w:sz w:val="19"/>
                <w:szCs w:val="19"/>
              </w:rPr>
              <w:t xml:space="preserve">AI Trader Intelligence</w:t>
            </w:r>
          </w:p>
        </w:tc>
        <w:tc>
          <w:tcPr>
            <w:tcW w:type="dxa" w:w="6300"/>
            <w:shd w:fill="EEF2F8" w:val="clear"/>
            <w:tcMar>
              <w:top w:type="dxa" w:w="70"/>
              <w:left w:type="dxa" w:w="110"/>
              <w:bottom w:type="dxa" w:w="70"/>
              <w:right w:type="dxa" w:w="110"/>
            </w:tcMar>
            <w:vAlign w:val="center"/>
          </w:tcPr>
          <w:p>
            <w:r>
              <w:rPr>
                <w:sz w:val="19"/>
                <w:szCs w:val="19"/>
              </w:rPr>
              <w:t xml:space="preserve">Consistency, martingale/grid detection, news exposure, holding time, average RR, risk style, classification</w:t>
            </w:r>
          </w:p>
        </w:tc>
      </w:tr>
      <w:tr>
        <w:tc>
          <w:tcPr>
            <w:tcW w:type="dxa" w:w="500"/>
            <w:shd w:fill="FFFFFF" w:val="clear"/>
            <w:tcMar>
              <w:top w:type="dxa" w:w="70"/>
              <w:left w:type="dxa" w:w="110"/>
              <w:bottom w:type="dxa" w:w="70"/>
              <w:right w:type="dxa" w:w="110"/>
            </w:tcMar>
            <w:vAlign w:val="center"/>
          </w:tcPr>
          <w:p>
            <w:r>
              <w:rPr>
                <w:sz w:val="19"/>
                <w:szCs w:val="19"/>
              </w:rPr>
              <w:t xml:space="preserve">27</w:t>
            </w:r>
          </w:p>
        </w:tc>
        <w:tc>
          <w:tcPr>
            <w:tcW w:type="dxa" w:w="2600"/>
            <w:shd w:fill="FFFFFF" w:val="clear"/>
            <w:tcMar>
              <w:top w:type="dxa" w:w="70"/>
              <w:left w:type="dxa" w:w="110"/>
              <w:bottom w:type="dxa" w:w="70"/>
              <w:right w:type="dxa" w:w="110"/>
            </w:tcMar>
            <w:vAlign w:val="center"/>
          </w:tcPr>
          <w:p>
            <w:r>
              <w:rPr>
                <w:sz w:val="19"/>
                <w:szCs w:val="19"/>
              </w:rPr>
              <w:t xml:space="preserve">Provider Business Platform</w:t>
            </w:r>
          </w:p>
        </w:tc>
        <w:tc>
          <w:tcPr>
            <w:tcW w:type="dxa" w:w="6300"/>
            <w:shd w:fill="FFFFFF" w:val="clear"/>
            <w:tcMar>
              <w:top w:type="dxa" w:w="70"/>
              <w:left w:type="dxa" w:w="110"/>
              <w:bottom w:type="dxa" w:w="70"/>
              <w:right w:type="dxa" w:w="110"/>
            </w:tcMar>
            <w:vAlign w:val="center"/>
          </w:tcPr>
          <w:p>
            <w:r>
              <w:rPr>
                <w:sz w:val="19"/>
                <w:szCs w:val="19"/>
              </w:rPr>
              <w:t xml:space="preserve">Revenue dashboard, subscribers, withdrawals, affiliate, IB tracking, marketing, white label</w:t>
            </w:r>
          </w:p>
        </w:tc>
      </w:tr>
      <w:tr>
        <w:tc>
          <w:tcPr>
            <w:tcW w:type="dxa" w:w="500"/>
            <w:shd w:fill="EEF2F8" w:val="clear"/>
            <w:tcMar>
              <w:top w:type="dxa" w:w="70"/>
              <w:left w:type="dxa" w:w="110"/>
              <w:bottom w:type="dxa" w:w="70"/>
              <w:right w:type="dxa" w:w="110"/>
            </w:tcMar>
            <w:vAlign w:val="center"/>
          </w:tcPr>
          <w:p>
            <w:r>
              <w:rPr>
                <w:sz w:val="19"/>
                <w:szCs w:val="19"/>
              </w:rPr>
              <w:t xml:space="preserve">28</w:t>
            </w:r>
          </w:p>
        </w:tc>
        <w:tc>
          <w:tcPr>
            <w:tcW w:type="dxa" w:w="2600"/>
            <w:shd w:fill="EEF2F8" w:val="clear"/>
            <w:tcMar>
              <w:top w:type="dxa" w:w="70"/>
              <w:left w:type="dxa" w:w="110"/>
              <w:bottom w:type="dxa" w:w="70"/>
              <w:right w:type="dxa" w:w="110"/>
            </w:tcMar>
            <w:vAlign w:val="center"/>
          </w:tcPr>
          <w:p>
            <w:r>
              <w:rPr>
                <w:sz w:val="19"/>
                <w:szCs w:val="19"/>
              </w:rPr>
              <w:t xml:space="preserve">AI Provider Certification</w:t>
            </w:r>
          </w:p>
        </w:tc>
        <w:tc>
          <w:tcPr>
            <w:tcW w:type="dxa" w:w="6300"/>
            <w:shd w:fill="EEF2F8" w:val="clear"/>
            <w:tcMar>
              <w:top w:type="dxa" w:w="70"/>
              <w:left w:type="dxa" w:w="110"/>
              <w:bottom w:type="dxa" w:w="70"/>
              <w:right w:type="dxa" w:w="110"/>
            </w:tcMar>
            <w:vAlign w:val="center"/>
          </w:tcPr>
          <w:p>
            <w:r>
              <w:rPr>
                <w:sz w:val="19"/>
                <w:szCs w:val="19"/>
              </w:rPr>
              <w:t xml:space="preserve">Historical import, backtesting, parsing accuracy, risk score, consistency, certification, quality score</w:t>
            </w:r>
          </w:p>
        </w:tc>
      </w:tr>
      <w:tr>
        <w:tc>
          <w:tcPr>
            <w:tcW w:type="dxa" w:w="500"/>
            <w:shd w:fill="FFFFFF" w:val="clear"/>
            <w:tcMar>
              <w:top w:type="dxa" w:w="70"/>
              <w:left w:type="dxa" w:w="110"/>
              <w:bottom w:type="dxa" w:w="70"/>
              <w:right w:type="dxa" w:w="110"/>
            </w:tcMar>
            <w:vAlign w:val="center"/>
          </w:tcPr>
          <w:p>
            <w:r>
              <w:rPr>
                <w:sz w:val="19"/>
                <w:szCs w:val="19"/>
              </w:rPr>
              <w:t xml:space="preserve">29</w:t>
            </w:r>
          </w:p>
        </w:tc>
        <w:tc>
          <w:tcPr>
            <w:tcW w:type="dxa" w:w="2600"/>
            <w:shd w:fill="FFFFFF" w:val="clear"/>
            <w:tcMar>
              <w:top w:type="dxa" w:w="70"/>
              <w:left w:type="dxa" w:w="110"/>
              <w:bottom w:type="dxa" w:w="70"/>
              <w:right w:type="dxa" w:w="110"/>
            </w:tcMar>
            <w:vAlign w:val="center"/>
          </w:tcPr>
          <w:p>
            <w:r>
              <w:rPr>
                <w:sz w:val="19"/>
                <w:szCs w:val="19"/>
              </w:rPr>
              <w:t xml:space="preserve">Payment &amp; Billing</w:t>
            </w:r>
          </w:p>
        </w:tc>
        <w:tc>
          <w:tcPr>
            <w:tcW w:type="dxa" w:w="6300"/>
            <w:shd w:fill="FFFFFF" w:val="clear"/>
            <w:tcMar>
              <w:top w:type="dxa" w:w="70"/>
              <w:left w:type="dxa" w:w="110"/>
              <w:bottom w:type="dxa" w:w="70"/>
              <w:right w:type="dxa" w:w="110"/>
            </w:tcMar>
            <w:vAlign w:val="center"/>
          </w:tcPr>
          <w:p>
            <w:r>
              <w:rPr>
                <w:sz w:val="19"/>
                <w:szCs w:val="19"/>
              </w:rPr>
              <w:t xml:space="preserve">Subscriptions, marketplace fees, provider/affiliate revenue, broker revenue share, white-label billing, wallet, invoices, refunds, payouts</w:t>
            </w:r>
          </w:p>
        </w:tc>
      </w:tr>
      <w:tr>
        <w:tc>
          <w:tcPr>
            <w:tcW w:type="dxa" w:w="500"/>
            <w:shd w:fill="EEF2F8" w:val="clear"/>
            <w:tcMar>
              <w:top w:type="dxa" w:w="70"/>
              <w:left w:type="dxa" w:w="110"/>
              <w:bottom w:type="dxa" w:w="70"/>
              <w:right w:type="dxa" w:w="110"/>
            </w:tcMar>
            <w:vAlign w:val="center"/>
          </w:tcPr>
          <w:p>
            <w:r>
              <w:rPr>
                <w:sz w:val="19"/>
                <w:szCs w:val="19"/>
              </w:rPr>
              <w:t xml:space="preserve">30</w:t>
            </w:r>
          </w:p>
        </w:tc>
        <w:tc>
          <w:tcPr>
            <w:tcW w:type="dxa" w:w="2600"/>
            <w:shd w:fill="EEF2F8" w:val="clear"/>
            <w:tcMar>
              <w:top w:type="dxa" w:w="70"/>
              <w:left w:type="dxa" w:w="110"/>
              <w:bottom w:type="dxa" w:w="70"/>
              <w:right w:type="dxa" w:w="110"/>
            </w:tcMar>
            <w:vAlign w:val="center"/>
          </w:tcPr>
          <w:p>
            <w:r>
              <w:rPr>
                <w:sz w:val="19"/>
                <w:szCs w:val="19"/>
              </w:rPr>
              <w:t xml:space="preserve">Notification Service</w:t>
            </w:r>
          </w:p>
        </w:tc>
        <w:tc>
          <w:tcPr>
            <w:tcW w:type="dxa" w:w="6300"/>
            <w:shd w:fill="EEF2F8" w:val="clear"/>
            <w:tcMar>
              <w:top w:type="dxa" w:w="70"/>
              <w:left w:type="dxa" w:w="110"/>
              <w:bottom w:type="dxa" w:w="70"/>
              <w:right w:type="dxa" w:w="110"/>
            </w:tcMar>
            <w:vAlign w:val="center"/>
          </w:tcPr>
          <w:p>
            <w:r>
              <w:rPr>
                <w:sz w:val="19"/>
                <w:szCs w:val="19"/>
              </w:rPr>
              <w:t xml:space="preserve">Email, SMS, push, Telegram, Discord, in-app, webhooks</w:t>
            </w:r>
          </w:p>
        </w:tc>
      </w:tr>
      <w:tr>
        <w:tc>
          <w:tcPr>
            <w:tcW w:type="dxa" w:w="500"/>
            <w:shd w:fill="FFFFFF" w:val="clear"/>
            <w:tcMar>
              <w:top w:type="dxa" w:w="70"/>
              <w:left w:type="dxa" w:w="110"/>
              <w:bottom w:type="dxa" w:w="70"/>
              <w:right w:type="dxa" w:w="110"/>
            </w:tcMar>
            <w:vAlign w:val="center"/>
          </w:tcPr>
          <w:p>
            <w:r>
              <w:rPr>
                <w:sz w:val="19"/>
                <w:szCs w:val="19"/>
              </w:rPr>
              <w:t xml:space="preserve">31</w:t>
            </w:r>
          </w:p>
        </w:tc>
        <w:tc>
          <w:tcPr>
            <w:tcW w:type="dxa" w:w="2600"/>
            <w:shd w:fill="FFFFFF" w:val="clear"/>
            <w:tcMar>
              <w:top w:type="dxa" w:w="70"/>
              <w:left w:type="dxa" w:w="110"/>
              <w:bottom w:type="dxa" w:w="70"/>
              <w:right w:type="dxa" w:w="110"/>
            </w:tcMar>
            <w:vAlign w:val="center"/>
          </w:tcPr>
          <w:p>
            <w:r>
              <w:rPr>
                <w:sz w:val="19"/>
                <w:szCs w:val="19"/>
              </w:rPr>
              <w:t xml:space="preserve">White Label Service</w:t>
            </w:r>
          </w:p>
        </w:tc>
        <w:tc>
          <w:tcPr>
            <w:tcW w:type="dxa" w:w="6300"/>
            <w:shd w:fill="FFFFFF" w:val="clear"/>
            <w:tcMar>
              <w:top w:type="dxa" w:w="70"/>
              <w:left w:type="dxa" w:w="110"/>
              <w:bottom w:type="dxa" w:w="70"/>
              <w:right w:type="dxa" w:w="110"/>
            </w:tcMar>
            <w:vAlign w:val="center"/>
          </w:tcPr>
          <w:p>
            <w:r>
              <w:rPr>
                <w:sz w:val="19"/>
                <w:szCs w:val="19"/>
              </w:rPr>
              <w:t xml:space="preserve">Custom domain, branding, themes, pricing, providers, custom login and marketplace</w:t>
            </w:r>
          </w:p>
        </w:tc>
      </w:tr>
      <w:tr>
        <w:tc>
          <w:tcPr>
            <w:tcW w:type="dxa" w:w="500"/>
            <w:shd w:fill="EEF2F8" w:val="clear"/>
            <w:tcMar>
              <w:top w:type="dxa" w:w="70"/>
              <w:left w:type="dxa" w:w="110"/>
              <w:bottom w:type="dxa" w:w="70"/>
              <w:right w:type="dxa" w:w="110"/>
            </w:tcMar>
            <w:vAlign w:val="center"/>
          </w:tcPr>
          <w:p>
            <w:r>
              <w:rPr>
                <w:sz w:val="19"/>
                <w:szCs w:val="19"/>
              </w:rPr>
              <w:t xml:space="preserve">32</w:t>
            </w:r>
          </w:p>
        </w:tc>
        <w:tc>
          <w:tcPr>
            <w:tcW w:type="dxa" w:w="2600"/>
            <w:shd w:fill="EEF2F8" w:val="clear"/>
            <w:tcMar>
              <w:top w:type="dxa" w:w="70"/>
              <w:left w:type="dxa" w:w="110"/>
              <w:bottom w:type="dxa" w:w="70"/>
              <w:right w:type="dxa" w:w="110"/>
            </w:tcMar>
            <w:vAlign w:val="center"/>
          </w:tcPr>
          <w:p>
            <w:r>
              <w:rPr>
                <w:sz w:val="19"/>
                <w:szCs w:val="19"/>
              </w:rPr>
              <w:t xml:space="preserve">Security Service</w:t>
            </w:r>
          </w:p>
        </w:tc>
        <w:tc>
          <w:tcPr>
            <w:tcW w:type="dxa" w:w="6300"/>
            <w:shd w:fill="EEF2F8" w:val="clear"/>
            <w:tcMar>
              <w:top w:type="dxa" w:w="70"/>
              <w:left w:type="dxa" w:w="110"/>
              <w:bottom w:type="dxa" w:w="70"/>
              <w:right w:type="dxa" w:w="110"/>
            </w:tcMar>
            <w:vAlign w:val="center"/>
          </w:tcPr>
          <w:p>
            <w:r>
              <w:rPr>
                <w:sz w:val="19"/>
                <w:szCs w:val="19"/>
              </w:rPr>
              <w:t xml:space="preserve">Encryption, secrets vault, audit logs, RBAC, 2FA, API security, session monitoring, threat detection</w:t>
            </w:r>
          </w:p>
        </w:tc>
      </w:tr>
      <w:tr>
        <w:tc>
          <w:tcPr>
            <w:tcW w:type="dxa" w:w="500"/>
            <w:shd w:fill="FFFFFF" w:val="clear"/>
            <w:tcMar>
              <w:top w:type="dxa" w:w="70"/>
              <w:left w:type="dxa" w:w="110"/>
              <w:bottom w:type="dxa" w:w="70"/>
              <w:right w:type="dxa" w:w="110"/>
            </w:tcMar>
            <w:vAlign w:val="center"/>
          </w:tcPr>
          <w:p>
            <w:r>
              <w:rPr>
                <w:sz w:val="19"/>
                <w:szCs w:val="19"/>
              </w:rPr>
              <w:t xml:space="preserve">33</w:t>
            </w:r>
          </w:p>
        </w:tc>
        <w:tc>
          <w:tcPr>
            <w:tcW w:type="dxa" w:w="2600"/>
            <w:shd w:fill="FFFFFF" w:val="clear"/>
            <w:tcMar>
              <w:top w:type="dxa" w:w="70"/>
              <w:left w:type="dxa" w:w="110"/>
              <w:bottom w:type="dxa" w:w="70"/>
              <w:right w:type="dxa" w:w="110"/>
            </w:tcMar>
            <w:vAlign w:val="center"/>
          </w:tcPr>
          <w:p>
            <w:r>
              <w:rPr>
                <w:sz w:val="19"/>
                <w:szCs w:val="19"/>
              </w:rPr>
              <w:t xml:space="preserve">Admin Control Center</w:t>
            </w:r>
          </w:p>
        </w:tc>
        <w:tc>
          <w:tcPr>
            <w:tcW w:type="dxa" w:w="6300"/>
            <w:shd w:fill="FFFFFF" w:val="clear"/>
            <w:tcMar>
              <w:top w:type="dxa" w:w="70"/>
              <w:left w:type="dxa" w:w="110"/>
              <w:bottom w:type="dxa" w:w="70"/>
              <w:right w:type="dxa" w:w="110"/>
            </w:tcMar>
            <w:vAlign w:val="center"/>
          </w:tcPr>
          <w:p>
            <w:r>
              <w:rPr>
                <w:sz w:val="19"/>
                <w:szCs w:val="19"/>
              </w:rPr>
              <w:t xml:space="preserve">Platform stats: users, providers, traders, signals, AI usage, payments, fraud detection, support, system health</w:t>
            </w:r>
          </w:p>
        </w:tc>
      </w:tr>
      <w:tr>
        <w:tc>
          <w:tcPr>
            <w:tcW w:type="dxa" w:w="500"/>
            <w:shd w:fill="EEF2F8" w:val="clear"/>
            <w:tcMar>
              <w:top w:type="dxa" w:w="70"/>
              <w:left w:type="dxa" w:w="110"/>
              <w:bottom w:type="dxa" w:w="70"/>
              <w:right w:type="dxa" w:w="110"/>
            </w:tcMar>
            <w:vAlign w:val="center"/>
          </w:tcPr>
          <w:p>
            <w:r>
              <w:rPr>
                <w:sz w:val="19"/>
                <w:szCs w:val="19"/>
              </w:rPr>
              <w:t xml:space="preserve">34</w:t>
            </w:r>
          </w:p>
        </w:tc>
        <w:tc>
          <w:tcPr>
            <w:tcW w:type="dxa" w:w="2600"/>
            <w:shd w:fill="EEF2F8" w:val="clear"/>
            <w:tcMar>
              <w:top w:type="dxa" w:w="70"/>
              <w:left w:type="dxa" w:w="110"/>
              <w:bottom w:type="dxa" w:w="70"/>
              <w:right w:type="dxa" w:w="110"/>
            </w:tcMar>
            <w:vAlign w:val="center"/>
          </w:tcPr>
          <w:p>
            <w:r>
              <w:rPr>
                <w:sz w:val="19"/>
                <w:szCs w:val="19"/>
              </w:rPr>
              <w:t xml:space="preserve">AI Infrastructure</w:t>
            </w:r>
          </w:p>
        </w:tc>
        <w:tc>
          <w:tcPr>
            <w:tcW w:type="dxa" w:w="6300"/>
            <w:shd w:fill="EEF2F8" w:val="clear"/>
            <w:tcMar>
              <w:top w:type="dxa" w:w="70"/>
              <w:left w:type="dxa" w:w="110"/>
              <w:bottom w:type="dxa" w:w="70"/>
              <w:right w:type="dxa" w:w="110"/>
            </w:tcMar>
            <w:vAlign w:val="center"/>
          </w:tcPr>
          <w:p>
            <w:r>
              <w:rPr>
                <w:sz w:val="19"/>
                <w:szCs w:val="19"/>
              </w:rPr>
              <w:t xml:space="preserve">LLM gateway, prompt management, embedding storage, Provider DNA models, classification/translation models, safety filters, learning pipeline</w:t>
            </w:r>
          </w:p>
        </w:tc>
      </w:tr>
      <w:tr>
        <w:tc>
          <w:tcPr>
            <w:tcW w:type="dxa" w:w="500"/>
            <w:shd w:fill="FFFFFF" w:val="clear"/>
            <w:tcMar>
              <w:top w:type="dxa" w:w="70"/>
              <w:left w:type="dxa" w:w="110"/>
              <w:bottom w:type="dxa" w:w="70"/>
              <w:right w:type="dxa" w:w="110"/>
            </w:tcMar>
            <w:vAlign w:val="center"/>
          </w:tcPr>
          <w:p>
            <w:r>
              <w:rPr>
                <w:sz w:val="19"/>
                <w:szCs w:val="19"/>
              </w:rPr>
              <w:t xml:space="preserve">35</w:t>
            </w:r>
          </w:p>
        </w:tc>
        <w:tc>
          <w:tcPr>
            <w:tcW w:type="dxa" w:w="2600"/>
            <w:shd w:fill="FFFFFF" w:val="clear"/>
            <w:tcMar>
              <w:top w:type="dxa" w:w="70"/>
              <w:left w:type="dxa" w:w="110"/>
              <w:bottom w:type="dxa" w:w="70"/>
              <w:right w:type="dxa" w:w="110"/>
            </w:tcMar>
            <w:vAlign w:val="center"/>
          </w:tcPr>
          <w:p>
            <w:r>
              <w:rPr>
                <w:sz w:val="19"/>
                <w:szCs w:val="19"/>
              </w:rPr>
              <w:t xml:space="preserve">Event Bus (recommended addition)</w:t>
            </w:r>
          </w:p>
        </w:tc>
        <w:tc>
          <w:tcPr>
            <w:tcW w:type="dxa" w:w="6300"/>
            <w:shd w:fill="FFFFFF" w:val="clear"/>
            <w:tcMar>
              <w:top w:type="dxa" w:w="70"/>
              <w:left w:type="dxa" w:w="110"/>
              <w:bottom w:type="dxa" w:w="70"/>
              <w:right w:type="dxa" w:w="110"/>
            </w:tcMar>
            <w:vAlign w:val="center"/>
          </w:tcPr>
          <w:p>
            <w:r>
              <w:rPr>
                <w:sz w:val="19"/>
                <w:szCs w:val="19"/>
              </w:rPr>
              <w:t xml:space="preserve">Ties every module together: SignalReceived, SignalClassified, SignalParsed, ProviderDNALearned, RiskApproved, TradeExecuted, TradeClosed, SubscriptionCreated, MarketplaceReviewAdded, PaymentCompleted, NotificationSent</w:t>
            </w:r>
          </w:p>
        </w:tc>
      </w:tr>
    </w:tbl>
    <w:p>
      <w:pPr>
        <w:spacing w:after="100"/>
      </w:pPr>
    </w:p>
    <w:p>
      <w:pPr>
        <w:pStyle w:val="Heading2"/>
        <w:spacing w:after="140" w:before="320"/>
      </w:pPr>
      <w:r>
        <w:rPr>
          <w:b/>
          <w:bCs/>
          <w:color w:val="2F5597"/>
          <w:sz w:val="24"/>
          <w:szCs w:val="24"/>
        </w:rPr>
        <w:t xml:space="preserve">13.1 End-to-End Enterprise Flow</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 Source   →   Signal Collection   →   Classification   →   AI Parsing   →   Provider DNA   →   Standardized Trade   →   Trade Matching   →   Consensus Engine   →   Risk Engine   →   Automation Rules   →   Execution Service   →   MetaApi   →   Broker   →   Trade State Engine   →   Analytics   →   Marketplace   →   Replay / Trade Shadow / AI Intelligence / Notifications</w:t>
      </w:r>
    </w:p>
    <w:p>
      <w:r>
        <w:br w:type="page"/>
      </w:r>
    </w:p>
    <w:p>
      <w:pPr>
        <w:pStyle w:val="Heading1"/>
        <w:pBdr>
          <w:bottom w:val="single" w:color="2F5597" w:sz="6" w:space="4"/>
        </w:pBdr>
        <w:spacing w:after="200" w:before="480"/>
      </w:pPr>
      <w:r>
        <w:rPr>
          <w:b/>
          <w:bCs/>
          <w:color w:val="1F2A44"/>
          <w:sz w:val="30"/>
          <w:szCs w:val="30"/>
        </w:rPr>
        <w:t xml:space="preserve">14. Database Architecture</w:t>
      </w:r>
    </w:p>
    <w:p>
      <w:pPr>
        <w:spacing w:after="140" w:line="276"/>
      </w:pPr>
      <w:r>
        <w:rPr>
          <w:color w:val="222222"/>
          <w:sz w:val="21"/>
          <w:szCs w:val="21"/>
        </w:rPr>
        <w:t xml:space="preserve">PostgreSQL is the recommended production database. Tables are organized into logical domains rather than a single flat schema of 100+ unrelated tables.</w:t>
      </w:r>
    </w:p>
    <w:p>
      <w:pPr>
        <w:pStyle w:val="Heading2"/>
        <w:spacing w:after="140" w:before="320"/>
      </w:pPr>
      <w:r>
        <w:rPr>
          <w:b/>
          <w:bCs/>
          <w:color w:val="2F5597"/>
          <w:sz w:val="24"/>
          <w:szCs w:val="24"/>
        </w:rPr>
        <w:t xml:space="preserve">14.1 Domain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F5597" w:val="clear"/>
            <w:tcMar>
              <w:top w:type="dxa" w:w="90"/>
              <w:left w:type="dxa" w:w="110"/>
              <w:bottom w:type="dxa" w:w="90"/>
              <w:right w:type="dxa" w:w="110"/>
            </w:tcMar>
            <w:vAlign w:val="center"/>
          </w:tcPr>
          <w:p>
            <w:r>
              <w:rPr>
                <w:b/>
                <w:bCs/>
                <w:color w:val="FFFFFF"/>
                <w:sz w:val="19"/>
                <w:szCs w:val="19"/>
              </w:rPr>
              <w:t xml:space="preserve">Domain</w:t>
            </w:r>
          </w:p>
        </w:tc>
        <w:tc>
          <w:tcPr>
            <w:tcW w:type="dxa" w:w="6600"/>
            <w:shd w:fill="2F5597" w:val="clear"/>
            <w:tcMar>
              <w:top w:type="dxa" w:w="90"/>
              <w:left w:type="dxa" w:w="110"/>
              <w:bottom w:type="dxa" w:w="90"/>
              <w:right w:type="dxa" w:w="110"/>
            </w:tcMar>
            <w:vAlign w:val="center"/>
          </w:tcPr>
          <w:p>
            <w:r>
              <w:rPr>
                <w:b/>
                <w:bCs/>
                <w:color w:val="FFFFFF"/>
                <w:sz w:val="19"/>
                <w:szCs w:val="19"/>
              </w:rPr>
              <w:t xml:space="preserve">Key Tables</w:t>
            </w:r>
          </w:p>
        </w:tc>
      </w:tr>
      <w:tr>
        <w:tc>
          <w:tcPr>
            <w:tcW w:type="dxa" w:w="2600"/>
            <w:shd w:fill="FFFFFF" w:val="clear"/>
            <w:tcMar>
              <w:top w:type="dxa" w:w="70"/>
              <w:left w:type="dxa" w:w="110"/>
              <w:bottom w:type="dxa" w:w="70"/>
              <w:right w:type="dxa" w:w="110"/>
            </w:tcMar>
            <w:vAlign w:val="center"/>
          </w:tcPr>
          <w:p>
            <w:r>
              <w:rPr>
                <w:sz w:val="19"/>
                <w:szCs w:val="19"/>
              </w:rPr>
              <w:t xml:space="preserve">Identity</w:t>
            </w:r>
          </w:p>
        </w:tc>
        <w:tc>
          <w:tcPr>
            <w:tcW w:type="dxa" w:w="6600"/>
            <w:shd w:fill="FFFFFF" w:val="clear"/>
            <w:tcMar>
              <w:top w:type="dxa" w:w="70"/>
              <w:left w:type="dxa" w:w="110"/>
              <w:bottom w:type="dxa" w:w="70"/>
              <w:right w:type="dxa" w:w="110"/>
            </w:tcMar>
            <w:vAlign w:val="center"/>
          </w:tcPr>
          <w:p>
            <w:r>
              <w:rPr>
                <w:sz w:val="19"/>
                <w:szCs w:val="19"/>
              </w:rPr>
              <w:t xml:space="preserve">users, user_profiles, roles, permissions, user_roles, user_sessions, two_factor_auth</w:t>
            </w:r>
          </w:p>
        </w:tc>
      </w:tr>
      <w:tr>
        <w:tc>
          <w:tcPr>
            <w:tcW w:type="dxa" w:w="2600"/>
            <w:shd w:fill="EEF2F8" w:val="clear"/>
            <w:tcMar>
              <w:top w:type="dxa" w:w="70"/>
              <w:left w:type="dxa" w:w="110"/>
              <w:bottom w:type="dxa" w:w="70"/>
              <w:right w:type="dxa" w:w="110"/>
            </w:tcMar>
            <w:vAlign w:val="center"/>
          </w:tcPr>
          <w:p>
            <w:r>
              <w:rPr>
                <w:sz w:val="19"/>
                <w:szCs w:val="19"/>
              </w:rPr>
              <w:t xml:space="preserve">KYC &amp; Compliance</w:t>
            </w:r>
          </w:p>
        </w:tc>
        <w:tc>
          <w:tcPr>
            <w:tcW w:type="dxa" w:w="6600"/>
            <w:shd w:fill="EEF2F8" w:val="clear"/>
            <w:tcMar>
              <w:top w:type="dxa" w:w="70"/>
              <w:left w:type="dxa" w:w="110"/>
              <w:bottom w:type="dxa" w:w="70"/>
              <w:right w:type="dxa" w:w="110"/>
            </w:tcMar>
            <w:vAlign w:val="center"/>
          </w:tcPr>
          <w:p>
            <w:r>
              <w:rPr>
                <w:sz w:val="19"/>
                <w:szCs w:val="19"/>
              </w:rPr>
              <w:t xml:space="preserve">kyc_applications, kyc_document_types, kyc_documents, kyc_verifications, kyc_audit_logs</w:t>
            </w:r>
          </w:p>
        </w:tc>
      </w:tr>
      <w:tr>
        <w:tc>
          <w:tcPr>
            <w:tcW w:type="dxa" w:w="2600"/>
            <w:shd w:fill="FFFFFF" w:val="clear"/>
            <w:tcMar>
              <w:top w:type="dxa" w:w="70"/>
              <w:left w:type="dxa" w:w="110"/>
              <w:bottom w:type="dxa" w:w="70"/>
              <w:right w:type="dxa" w:w="110"/>
            </w:tcMar>
            <w:vAlign w:val="center"/>
          </w:tcPr>
          <w:p>
            <w:r>
              <w:rPr>
                <w:sz w:val="19"/>
                <w:szCs w:val="19"/>
              </w:rPr>
              <w:t xml:space="preserve">Brokers</w:t>
            </w:r>
          </w:p>
        </w:tc>
        <w:tc>
          <w:tcPr>
            <w:tcW w:type="dxa" w:w="6600"/>
            <w:shd w:fill="FFFFFF" w:val="clear"/>
            <w:tcMar>
              <w:top w:type="dxa" w:w="70"/>
              <w:left w:type="dxa" w:w="110"/>
              <w:bottom w:type="dxa" w:w="70"/>
              <w:right w:type="dxa" w:w="110"/>
            </w:tcMar>
            <w:vAlign w:val="center"/>
          </w:tcPr>
          <w:p>
            <w:r>
              <w:rPr>
                <w:sz w:val="19"/>
                <w:szCs w:val="19"/>
              </w:rPr>
              <w:t xml:space="preserve">brokers, broker_accounts, account_snapshots</w:t>
            </w:r>
          </w:p>
        </w:tc>
      </w:tr>
      <w:tr>
        <w:tc>
          <w:tcPr>
            <w:tcW w:type="dxa" w:w="2600"/>
            <w:shd w:fill="EEF2F8" w:val="clear"/>
            <w:tcMar>
              <w:top w:type="dxa" w:w="70"/>
              <w:left w:type="dxa" w:w="110"/>
              <w:bottom w:type="dxa" w:w="70"/>
              <w:right w:type="dxa" w:w="110"/>
            </w:tcMar>
            <w:vAlign w:val="center"/>
          </w:tcPr>
          <w:p>
            <w:r>
              <w:rPr>
                <w:sz w:val="19"/>
                <w:szCs w:val="19"/>
              </w:rPr>
              <w:t xml:space="preserve">Signal Sources</w:t>
            </w:r>
          </w:p>
        </w:tc>
        <w:tc>
          <w:tcPr>
            <w:tcW w:type="dxa" w:w="6600"/>
            <w:shd w:fill="EEF2F8" w:val="clear"/>
            <w:tcMar>
              <w:top w:type="dxa" w:w="70"/>
              <w:left w:type="dxa" w:w="110"/>
              <w:bottom w:type="dxa" w:w="70"/>
              <w:right w:type="dxa" w:w="110"/>
            </w:tcMar>
            <w:vAlign w:val="center"/>
          </w:tcPr>
          <w:p>
            <w:r>
              <w:rPr>
                <w:sz w:val="19"/>
                <w:szCs w:val="19"/>
              </w:rPr>
              <w:t xml:space="preserve">signal_sources, telegram_connections, telegram_channels, source_messages</w:t>
            </w:r>
          </w:p>
        </w:tc>
      </w:tr>
      <w:tr>
        <w:tc>
          <w:tcPr>
            <w:tcW w:type="dxa" w:w="2600"/>
            <w:shd w:fill="FFFFFF" w:val="clear"/>
            <w:tcMar>
              <w:top w:type="dxa" w:w="70"/>
              <w:left w:type="dxa" w:w="110"/>
              <w:bottom w:type="dxa" w:w="70"/>
              <w:right w:type="dxa" w:w="110"/>
            </w:tcMar>
            <w:vAlign w:val="center"/>
          </w:tcPr>
          <w:p>
            <w:r>
              <w:rPr>
                <w:sz w:val="19"/>
                <w:szCs w:val="19"/>
              </w:rPr>
              <w:t xml:space="preserve">Signal Intelligence</w:t>
            </w:r>
          </w:p>
        </w:tc>
        <w:tc>
          <w:tcPr>
            <w:tcW w:type="dxa" w:w="6600"/>
            <w:shd w:fill="FFFFFF" w:val="clear"/>
            <w:tcMar>
              <w:top w:type="dxa" w:w="70"/>
              <w:left w:type="dxa" w:w="110"/>
              <w:bottom w:type="dxa" w:w="70"/>
              <w:right w:type="dxa" w:w="110"/>
            </w:tcMar>
            <w:vAlign w:val="center"/>
          </w:tcPr>
          <w:p>
            <w:r>
              <w:rPr>
                <w:sz w:val="19"/>
                <w:szCs w:val="19"/>
              </w:rPr>
              <w:t xml:space="preserve">signals, signal_parses, provider_dna, provider_dna_rules, signal_fingerprints, signal_consensus, signal_consensus_members</w:t>
            </w:r>
          </w:p>
        </w:tc>
      </w:tr>
      <w:tr>
        <w:tc>
          <w:tcPr>
            <w:tcW w:type="dxa" w:w="2600"/>
            <w:shd w:fill="EEF2F8" w:val="clear"/>
            <w:tcMar>
              <w:top w:type="dxa" w:w="70"/>
              <w:left w:type="dxa" w:w="110"/>
              <w:bottom w:type="dxa" w:w="70"/>
              <w:right w:type="dxa" w:w="110"/>
            </w:tcMar>
            <w:vAlign w:val="center"/>
          </w:tcPr>
          <w:p>
            <w:r>
              <w:rPr>
                <w:sz w:val="19"/>
                <w:szCs w:val="19"/>
              </w:rPr>
              <w:t xml:space="preserve">Providers</w:t>
            </w:r>
          </w:p>
        </w:tc>
        <w:tc>
          <w:tcPr>
            <w:tcW w:type="dxa" w:w="6600"/>
            <w:shd w:fill="EEF2F8" w:val="clear"/>
            <w:tcMar>
              <w:top w:type="dxa" w:w="70"/>
              <w:left w:type="dxa" w:w="110"/>
              <w:bottom w:type="dxa" w:w="70"/>
              <w:right w:type="dxa" w:w="110"/>
            </w:tcMar>
            <w:vAlign w:val="center"/>
          </w:tcPr>
          <w:p>
            <w:r>
              <w:rPr>
                <w:sz w:val="19"/>
                <w:szCs w:val="19"/>
              </w:rPr>
              <w:t xml:space="preserve">providers, provider_certifications, provider_subscriptions, provider_revenue</w:t>
            </w:r>
          </w:p>
        </w:tc>
      </w:tr>
      <w:tr>
        <w:tc>
          <w:tcPr>
            <w:tcW w:type="dxa" w:w="2600"/>
            <w:shd w:fill="FFFFFF" w:val="clear"/>
            <w:tcMar>
              <w:top w:type="dxa" w:w="70"/>
              <w:left w:type="dxa" w:w="110"/>
              <w:bottom w:type="dxa" w:w="70"/>
              <w:right w:type="dxa" w:w="110"/>
            </w:tcMar>
            <w:vAlign w:val="center"/>
          </w:tcPr>
          <w:p>
            <w:r>
              <w:rPr>
                <w:sz w:val="19"/>
                <w:szCs w:val="19"/>
              </w:rPr>
              <w:t xml:space="preserve">Trading</w:t>
            </w:r>
          </w:p>
        </w:tc>
        <w:tc>
          <w:tcPr>
            <w:tcW w:type="dxa" w:w="6600"/>
            <w:shd w:fill="FFFFFF" w:val="clear"/>
            <w:tcMar>
              <w:top w:type="dxa" w:w="70"/>
              <w:left w:type="dxa" w:w="110"/>
              <w:bottom w:type="dxa" w:w="70"/>
              <w:right w:type="dxa" w:w="110"/>
            </w:tcMar>
            <w:vAlign w:val="center"/>
          </w:tcPr>
          <w:p>
            <w:r>
              <w:rPr>
                <w:sz w:val="19"/>
                <w:szCs w:val="19"/>
              </w:rPr>
              <w:t xml:space="preserve">trades, trade_events, trade_shadows, risk_profiles, automation_rules</w:t>
            </w:r>
          </w:p>
        </w:tc>
      </w:tr>
      <w:tr>
        <w:tc>
          <w:tcPr>
            <w:tcW w:type="dxa" w:w="2600"/>
            <w:shd w:fill="EEF2F8" w:val="clear"/>
            <w:tcMar>
              <w:top w:type="dxa" w:w="70"/>
              <w:left w:type="dxa" w:w="110"/>
              <w:bottom w:type="dxa" w:w="70"/>
              <w:right w:type="dxa" w:w="110"/>
            </w:tcMar>
            <w:vAlign w:val="center"/>
          </w:tcPr>
          <w:p>
            <w:r>
              <w:rPr>
                <w:sz w:val="19"/>
                <w:szCs w:val="19"/>
              </w:rPr>
              <w:t xml:space="preserve">Performance</w:t>
            </w:r>
          </w:p>
        </w:tc>
        <w:tc>
          <w:tcPr>
            <w:tcW w:type="dxa" w:w="6600"/>
            <w:shd w:fill="EEF2F8" w:val="clear"/>
            <w:tcMar>
              <w:top w:type="dxa" w:w="70"/>
              <w:left w:type="dxa" w:w="110"/>
              <w:bottom w:type="dxa" w:w="70"/>
              <w:right w:type="dxa" w:w="110"/>
            </w:tcMar>
            <w:vAlign w:val="center"/>
          </w:tcPr>
          <w:p>
            <w:r>
              <w:rPr>
                <w:sz w:val="19"/>
                <w:szCs w:val="19"/>
              </w:rPr>
              <w:t xml:space="preserve">performance_periods, performance_metrics, equity_snapshots</w:t>
            </w:r>
          </w:p>
        </w:tc>
      </w:tr>
      <w:tr>
        <w:tc>
          <w:tcPr>
            <w:tcW w:type="dxa" w:w="2600"/>
            <w:shd w:fill="FFFFFF" w:val="clear"/>
            <w:tcMar>
              <w:top w:type="dxa" w:w="70"/>
              <w:left w:type="dxa" w:w="110"/>
              <w:bottom w:type="dxa" w:w="70"/>
              <w:right w:type="dxa" w:w="110"/>
            </w:tcMar>
            <w:vAlign w:val="center"/>
          </w:tcPr>
          <w:p>
            <w:r>
              <w:rPr>
                <w:sz w:val="19"/>
                <w:szCs w:val="19"/>
              </w:rPr>
              <w:t xml:space="preserve">Referral</w:t>
            </w:r>
          </w:p>
        </w:tc>
        <w:tc>
          <w:tcPr>
            <w:tcW w:type="dxa" w:w="6600"/>
            <w:shd w:fill="FFFFFF" w:val="clear"/>
            <w:tcMar>
              <w:top w:type="dxa" w:w="70"/>
              <w:left w:type="dxa" w:w="110"/>
              <w:bottom w:type="dxa" w:w="70"/>
              <w:right w:type="dxa" w:w="110"/>
            </w:tcMar>
            <w:vAlign w:val="center"/>
          </w:tcPr>
          <w:p>
            <w:r>
              <w:rPr>
                <w:sz w:val="19"/>
                <w:szCs w:val="19"/>
              </w:rPr>
              <w:t xml:space="preserve">referral_codes, referral_relationships, referral_rewards, referral_settlements, referral_wallets, referral_ledger</w:t>
            </w:r>
          </w:p>
        </w:tc>
      </w:tr>
      <w:tr>
        <w:tc>
          <w:tcPr>
            <w:tcW w:type="dxa" w:w="2600"/>
            <w:shd w:fill="EEF2F8" w:val="clear"/>
            <w:tcMar>
              <w:top w:type="dxa" w:w="70"/>
              <w:left w:type="dxa" w:w="110"/>
              <w:bottom w:type="dxa" w:w="70"/>
              <w:right w:type="dxa" w:w="110"/>
            </w:tcMar>
            <w:vAlign w:val="center"/>
          </w:tcPr>
          <w:p>
            <w:r>
              <w:rPr>
                <w:sz w:val="19"/>
                <w:szCs w:val="19"/>
              </w:rPr>
              <w:t xml:space="preserve">Payments</w:t>
            </w:r>
          </w:p>
        </w:tc>
        <w:tc>
          <w:tcPr>
            <w:tcW w:type="dxa" w:w="6600"/>
            <w:shd w:fill="EEF2F8" w:val="clear"/>
            <w:tcMar>
              <w:top w:type="dxa" w:w="70"/>
              <w:left w:type="dxa" w:w="110"/>
              <w:bottom w:type="dxa" w:w="70"/>
              <w:right w:type="dxa" w:w="110"/>
            </w:tcMar>
            <w:vAlign w:val="center"/>
          </w:tcPr>
          <w:p>
            <w:r>
              <w:rPr>
                <w:sz w:val="19"/>
                <w:szCs w:val="19"/>
              </w:rPr>
              <w:t xml:space="preserve">subscription_plans, subscriptions, payments, payment_events</w:t>
            </w:r>
          </w:p>
        </w:tc>
      </w:tr>
      <w:tr>
        <w:tc>
          <w:tcPr>
            <w:tcW w:type="dxa" w:w="2600"/>
            <w:shd w:fill="FFFFFF" w:val="clear"/>
            <w:tcMar>
              <w:top w:type="dxa" w:w="70"/>
              <w:left w:type="dxa" w:w="110"/>
              <w:bottom w:type="dxa" w:w="70"/>
              <w:right w:type="dxa" w:w="110"/>
            </w:tcMar>
            <w:vAlign w:val="center"/>
          </w:tcPr>
          <w:p>
            <w:r>
              <w:rPr>
                <w:sz w:val="19"/>
                <w:szCs w:val="19"/>
              </w:rPr>
              <w:t xml:space="preserve">Marketplace</w:t>
            </w:r>
          </w:p>
        </w:tc>
        <w:tc>
          <w:tcPr>
            <w:tcW w:type="dxa" w:w="6600"/>
            <w:shd w:fill="FFFFFF" w:val="clear"/>
            <w:tcMar>
              <w:top w:type="dxa" w:w="70"/>
              <w:left w:type="dxa" w:w="110"/>
              <w:bottom w:type="dxa" w:w="70"/>
              <w:right w:type="dxa" w:w="110"/>
            </w:tcMar>
            <w:vAlign w:val="center"/>
          </w:tcPr>
          <w:p>
            <w:r>
              <w:rPr>
                <w:sz w:val="19"/>
                <w:szCs w:val="19"/>
              </w:rPr>
              <w:t xml:space="preserve">marketplace_listings, reviews, trader_profiles, trader_followers, trader_behavior_metrics, trading_styles, trader_style_assignments</w:t>
            </w:r>
          </w:p>
        </w:tc>
      </w:tr>
      <w:tr>
        <w:tc>
          <w:tcPr>
            <w:tcW w:type="dxa" w:w="2600"/>
            <w:shd w:fill="EEF2F8" w:val="clear"/>
            <w:tcMar>
              <w:top w:type="dxa" w:w="70"/>
              <w:left w:type="dxa" w:w="110"/>
              <w:bottom w:type="dxa" w:w="70"/>
              <w:right w:type="dxa" w:w="110"/>
            </w:tcMar>
            <w:vAlign w:val="center"/>
          </w:tcPr>
          <w:p>
            <w:r>
              <w:rPr>
                <w:sz w:val="19"/>
                <w:szCs w:val="19"/>
              </w:rPr>
              <w:t xml:space="preserve">Affiliate / IB</w:t>
            </w:r>
          </w:p>
        </w:tc>
        <w:tc>
          <w:tcPr>
            <w:tcW w:type="dxa" w:w="6600"/>
            <w:shd w:fill="EEF2F8" w:val="clear"/>
            <w:tcMar>
              <w:top w:type="dxa" w:w="70"/>
              <w:left w:type="dxa" w:w="110"/>
              <w:bottom w:type="dxa" w:w="70"/>
              <w:right w:type="dxa" w:w="110"/>
            </w:tcMar>
            <w:vAlign w:val="center"/>
          </w:tcPr>
          <w:p>
            <w:r>
              <w:rPr>
                <w:sz w:val="19"/>
                <w:szCs w:val="19"/>
              </w:rPr>
              <w:t xml:space="preserve">affiliate_partners, affiliate_referrals, affiliate_commissions, ib_links, ib_referrals</w:t>
            </w:r>
          </w:p>
        </w:tc>
      </w:tr>
      <w:tr>
        <w:tc>
          <w:tcPr>
            <w:tcW w:type="dxa" w:w="2600"/>
            <w:shd w:fill="FFFFFF" w:val="clear"/>
            <w:tcMar>
              <w:top w:type="dxa" w:w="70"/>
              <w:left w:type="dxa" w:w="110"/>
              <w:bottom w:type="dxa" w:w="70"/>
              <w:right w:type="dxa" w:w="110"/>
            </w:tcMar>
            <w:vAlign w:val="center"/>
          </w:tcPr>
          <w:p>
            <w:r>
              <w:rPr>
                <w:sz w:val="19"/>
                <w:szCs w:val="19"/>
              </w:rPr>
              <w:t xml:space="preserve">White Label</w:t>
            </w:r>
          </w:p>
        </w:tc>
        <w:tc>
          <w:tcPr>
            <w:tcW w:type="dxa" w:w="6600"/>
            <w:shd w:fill="FFFFFF" w:val="clear"/>
            <w:tcMar>
              <w:top w:type="dxa" w:w="70"/>
              <w:left w:type="dxa" w:w="110"/>
              <w:bottom w:type="dxa" w:w="70"/>
              <w:right w:type="dxa" w:w="110"/>
            </w:tcMar>
            <w:vAlign w:val="center"/>
          </w:tcPr>
          <w:p>
            <w:r>
              <w:rPr>
                <w:sz w:val="19"/>
                <w:szCs w:val="19"/>
              </w:rPr>
              <w:t xml:space="preserve">white_label_projects</w:t>
            </w:r>
          </w:p>
        </w:tc>
      </w:tr>
      <w:tr>
        <w:tc>
          <w:tcPr>
            <w:tcW w:type="dxa" w:w="2600"/>
            <w:shd w:fill="EEF2F8" w:val="clear"/>
            <w:tcMar>
              <w:top w:type="dxa" w:w="70"/>
              <w:left w:type="dxa" w:w="110"/>
              <w:bottom w:type="dxa" w:w="70"/>
              <w:right w:type="dxa" w:w="110"/>
            </w:tcMar>
            <w:vAlign w:val="center"/>
          </w:tcPr>
          <w:p>
            <w:r>
              <w:rPr>
                <w:sz w:val="19"/>
                <w:szCs w:val="19"/>
              </w:rPr>
              <w:t xml:space="preserve">Financial Ops</w:t>
            </w:r>
          </w:p>
        </w:tc>
        <w:tc>
          <w:tcPr>
            <w:tcW w:type="dxa" w:w="6600"/>
            <w:shd w:fill="EEF2F8" w:val="clear"/>
            <w:tcMar>
              <w:top w:type="dxa" w:w="70"/>
              <w:left w:type="dxa" w:w="110"/>
              <w:bottom w:type="dxa" w:w="70"/>
              <w:right w:type="dxa" w:w="110"/>
            </w:tcMar>
            <w:vAlign w:val="center"/>
          </w:tcPr>
          <w:p>
            <w:r>
              <w:rPr>
                <w:sz w:val="19"/>
                <w:szCs w:val="19"/>
              </w:rPr>
              <w:t xml:space="preserve">withdrawal_requests</w:t>
            </w:r>
          </w:p>
        </w:tc>
      </w:tr>
      <w:tr>
        <w:tc>
          <w:tcPr>
            <w:tcW w:type="dxa" w:w="2600"/>
            <w:shd w:fill="FFFFFF" w:val="clear"/>
            <w:tcMar>
              <w:top w:type="dxa" w:w="70"/>
              <w:left w:type="dxa" w:w="110"/>
              <w:bottom w:type="dxa" w:w="70"/>
              <w:right w:type="dxa" w:w="110"/>
            </w:tcMar>
            <w:vAlign w:val="center"/>
          </w:tcPr>
          <w:p>
            <w:r>
              <w:rPr>
                <w:sz w:val="19"/>
                <w:szCs w:val="19"/>
              </w:rPr>
              <w:t xml:space="preserve">System</w:t>
            </w:r>
          </w:p>
        </w:tc>
        <w:tc>
          <w:tcPr>
            <w:tcW w:type="dxa" w:w="6600"/>
            <w:shd w:fill="FFFFFF" w:val="clear"/>
            <w:tcMar>
              <w:top w:type="dxa" w:w="70"/>
              <w:left w:type="dxa" w:w="110"/>
              <w:bottom w:type="dxa" w:w="70"/>
              <w:right w:type="dxa" w:w="110"/>
            </w:tcMar>
            <w:vAlign w:val="center"/>
          </w:tcPr>
          <w:p>
            <w:r>
              <w:rPr>
                <w:sz w:val="19"/>
                <w:szCs w:val="19"/>
              </w:rPr>
              <w:t xml:space="preserve">notifications, jobs, system_settings, api_keys</w:t>
            </w:r>
          </w:p>
        </w:tc>
      </w:tr>
      <w:tr>
        <w:tc>
          <w:tcPr>
            <w:tcW w:type="dxa" w:w="2600"/>
            <w:shd w:fill="EEF2F8" w:val="clear"/>
            <w:tcMar>
              <w:top w:type="dxa" w:w="70"/>
              <w:left w:type="dxa" w:w="110"/>
              <w:bottom w:type="dxa" w:w="70"/>
              <w:right w:type="dxa" w:w="110"/>
            </w:tcMar>
            <w:vAlign w:val="center"/>
          </w:tcPr>
          <w:p>
            <w:r>
              <w:rPr>
                <w:sz w:val="19"/>
                <w:szCs w:val="19"/>
              </w:rPr>
              <w:t xml:space="preserve">Security / Audit</w:t>
            </w:r>
          </w:p>
        </w:tc>
        <w:tc>
          <w:tcPr>
            <w:tcW w:type="dxa" w:w="6600"/>
            <w:shd w:fill="EEF2F8" w:val="clear"/>
            <w:tcMar>
              <w:top w:type="dxa" w:w="70"/>
              <w:left w:type="dxa" w:w="110"/>
              <w:bottom w:type="dxa" w:w="70"/>
              <w:right w:type="dxa" w:w="110"/>
            </w:tcMar>
            <w:vAlign w:val="center"/>
          </w:tcPr>
          <w:p>
            <w:r>
              <w:rPr>
                <w:sz w:val="19"/>
                <w:szCs w:val="19"/>
              </w:rPr>
              <w:t xml:space="preserve">audit_logs</w:t>
            </w:r>
          </w:p>
        </w:tc>
      </w:tr>
    </w:tbl>
    <w:p>
      <w:pPr>
        <w:pStyle w:val="Heading2"/>
        <w:spacing w:after="140" w:before="320"/>
      </w:pPr>
      <w:r>
        <w:rPr>
          <w:b/>
          <w:bCs/>
          <w:color w:val="2F5597"/>
          <w:sz w:val="24"/>
          <w:szCs w:val="24"/>
        </w:rPr>
        <w:t xml:space="preserve">14.2 Core Identity Tables</w:t>
      </w:r>
    </w:p>
    <w:p>
      <w:pPr>
        <w:pStyle w:val="Heading3"/>
        <w:spacing w:after="100" w:before="220"/>
      </w:pPr>
      <w:r>
        <w:rPr>
          <w:b/>
          <w:bCs/>
          <w:color w:val="1F2A44"/>
          <w:sz w:val="21"/>
          <w:szCs w:val="21"/>
        </w:rPr>
        <w:t xml:space="preserve">users</w:t>
      </w:r>
    </w:p>
    <w:p>
      <w:pPr>
        <w:spacing w:after="140" w:line="276"/>
      </w:pPr>
      <w:r>
        <w:rPr>
          <w:color w:val="222222"/>
          <w:sz w:val="21"/>
          <w:szCs w:val="21"/>
        </w:rPr>
        <w:t xml:space="preserve">id, email, phone, password_hash, first_name, middle_name, last_name, username, avatar_url, status, kyc_status, account_type, email_verified_at, phone_verified_at, last_login_at, created_at, updated_at, deleted_at.</w:t>
      </w:r>
    </w:p>
    <w:p>
      <w:pPr>
        <w:spacing w:after="140" w:line="276"/>
      </w:pPr>
      <w:r>
        <w:rPr>
          <w:color w:val="222222"/>
          <w:sz w:val="21"/>
          <w:szCs w:val="21"/>
        </w:rPr>
        <w:t xml:space="preserve">Account status values: ACTIVE, SUSPENDED, LOCKED, BANNED, DEACTIVATED. The users table holds only the current high-level KYC state — detailed KYC data lives in the dedicated KYC domain.</w:t>
      </w:r>
    </w:p>
    <w:p>
      <w:pPr>
        <w:pStyle w:val="Heading3"/>
        <w:spacing w:after="100" w:before="220"/>
      </w:pPr>
      <w:r>
        <w:rPr>
          <w:b/>
          <w:bCs/>
          <w:color w:val="1F2A44"/>
          <w:sz w:val="21"/>
          <w:szCs w:val="21"/>
        </w:rPr>
        <w:t xml:space="preserve">Roles</w:t>
      </w:r>
    </w:p>
    <w:p>
      <w:pPr>
        <w:spacing w:after="140" w:line="276"/>
      </w:pPr>
      <w:r>
        <w:rPr>
          <w:color w:val="222222"/>
          <w:sz w:val="21"/>
          <w:szCs w:val="21"/>
        </w:rPr>
        <w:t xml:space="preserve">Supported roles: USER, PROVIDER, TRADER, MODERATOR, COMPLIANCE_OFFICER, FINANCE_ADMIN, SUPPORT, ADMIN, SUPER_ADMIN, mapped through user_roles. Permissions include VIEW_KYC, REVIEW_KYC, APPROVE_KYC, MANAGE_USERS, MANAGE_PROVIDERS, MANAGE_REFERRALS, MANAGE_PAYMENTS, MANAGE_BROKERS, VIEW_AUDIT_LOGS.</w:t>
      </w:r>
    </w:p>
    <w:p>
      <w:pPr>
        <w:pStyle w:val="Heading2"/>
        <w:spacing w:after="140" w:before="320"/>
      </w:pPr>
      <w:r>
        <w:rPr>
          <w:b/>
          <w:bCs/>
          <w:color w:val="2F5597"/>
          <w:sz w:val="24"/>
          <w:szCs w:val="24"/>
        </w:rPr>
        <w:t xml:space="preserve">14.3 KYC Domain</w:t>
      </w:r>
    </w:p>
    <w:p>
      <w:pPr>
        <w:spacing w:after="140" w:line="276"/>
      </w:pPr>
      <w:r>
        <w:rPr>
          <w:color w:val="222222"/>
          <w:sz w:val="21"/>
          <w:szCs w:val="21"/>
        </w:rPr>
        <w:t xml:space="preserve">kyc_applications (status, provider, provider_reference, submitted/reviewed/verified/expires timestamps, rejection_reason, review_notes) links to kyc_document_types (admin-configurable list), kyc_documents (encrypted document number, storage_key referencing private object storage — never raw blobs in Postgres), kyc_verifications (document_check, identity_check, liveness_check, name_match, dob_match, risk_score, result), and kyc_audit_logs (actor, action, old_status, new_status, reason).</w:t>
      </w:r>
    </w:p>
    <w:p>
      <w:pPr>
        <w:pStyle w:val="Heading2"/>
        <w:spacing w:after="140" w:before="320"/>
      </w:pPr>
      <w:r>
        <w:rPr>
          <w:b/>
          <w:bCs/>
          <w:color w:val="2F5597"/>
          <w:sz w:val="24"/>
          <w:szCs w:val="24"/>
        </w:rPr>
        <w:t xml:space="preserve">14.4 Trading Domain</w:t>
      </w:r>
    </w:p>
    <w:p>
      <w:pPr>
        <w:spacing w:after="140" w:line="276"/>
      </w:pPr>
      <w:r>
        <w:rPr>
          <w:color w:val="222222"/>
          <w:sz w:val="21"/>
          <w:szCs w:val="21"/>
        </w:rPr>
        <w:t xml:space="preserve">broker_accounts stores encrypted account_number/server, a metaapi_account_id, platform (MT4/MT5), account_type (demo/real), and live balance/equity/margin, snapshotted historically in account_snapshots for equity-curve reconstruction.</w:t>
      </w:r>
    </w:p>
    <w:p>
      <w:pPr>
        <w:spacing w:after="140" w:line="276"/>
      </w:pPr>
      <w:r>
        <w:rPr>
          <w:color w:val="222222"/>
          <w:sz w:val="21"/>
          <w:szCs w:val="21"/>
        </w:rPr>
        <w:t xml:space="preserve">trades records the full order (symbol, direction, volume, entry/SL/TP, exit_price, realized_profit, commission, swap, status, opened/closed timestamps and actors) with a companion trade_events table for every lifecycle transition (SIGNAL_RECEIVED, PARSED, EXECUTION_REQUESTED, EXECUTED, SL_MODIFIED, TP_MODIFIED, BREAK_EVEN, TRAILING_STOP, PARTIAL_CLOSE, MANUAL_CLOSE, AUTO_CLOSE, PROVIDER_CLOSE, RISK_CLOSE, STOP_LOSS, TAKE_PROFIT, CLOSED, ARCHIVED) sourced from SYSTEM, USER, PROVIDER, AUTO_RULE, or BROKER.</w:t>
      </w:r>
    </w:p>
    <w:p>
      <w:pPr>
        <w:spacing w:after="140" w:line="276"/>
      </w:pPr>
      <w:r>
        <w:rPr>
          <w:color w:val="222222"/>
          <w:sz w:val="21"/>
          <w:szCs w:val="21"/>
        </w:rPr>
        <w:t xml:space="preserve">risk_profiles holds per-user risk_percent, max_daily_loss, max_drawdown, max_open_trades, trading_sessions, and toggles for trailing stop, break-even, profit lock, partial close, correlation protection, news filter, and emergency stop — mirroring the Risk Engine's checks directly. automation_rules stores condition/action pairs with priority and an enabled flag.</w:t>
      </w:r>
    </w:p>
    <w:p>
      <w:pPr>
        <w:pStyle w:val="Heading2"/>
        <w:spacing w:after="140" w:before="320"/>
      </w:pPr>
      <w:r>
        <w:rPr>
          <w:b/>
          <w:bCs/>
          <w:color w:val="2F5597"/>
          <w:sz w:val="24"/>
          <w:szCs w:val="24"/>
        </w:rPr>
        <w:t xml:space="preserve">14.5 Signal Intelligence Domain</w:t>
      </w:r>
    </w:p>
    <w:p>
      <w:pPr>
        <w:spacing w:after="140" w:line="276"/>
      </w:pPr>
      <w:r>
        <w:rPr>
          <w:color w:val="222222"/>
          <w:sz w:val="21"/>
          <w:szCs w:val="21"/>
        </w:rPr>
        <w:t xml:space="preserve">source_messages preserves every original message (external_message_id, sender, message_text, media_reference, timestamps, raw_payload_encrypted, processing_status) for reprocessing, debugging, auditing, and Provider DNA training. signals holds the parsed trade attributes; signal_parses records parser_type/version, confidence_score, AI model, and latency — explicitly supporting the Fast Path (regex/DNA) vs. Learning Path (AI) distinction. provider_dna and provider_dna_rules store the learned pattern-to-action mappings (e.g. “Secure Profit” → MOVE_SL_TO_BREAK_EVEN). signal_fingerprints enables duplicate-signal detection across equivalent phrasings (“BUY GOLD”, “BUY XAUUSD”, “LONG GOLD”).</w:t>
      </w:r>
    </w:p>
    <w:p>
      <w:pPr>
        <w:pStyle w:val="Heading2"/>
        <w:spacing w:after="140" w:before="320"/>
      </w:pPr>
      <w:r>
        <w:rPr>
          <w:b/>
          <w:bCs/>
          <w:color w:val="2F5597"/>
          <w:sz w:val="24"/>
          <w:szCs w:val="24"/>
        </w:rPr>
        <w:t xml:space="preserve">14.6 Performance &amp; Referral Domain</w:t>
      </w:r>
    </w:p>
    <w:p>
      <w:pPr>
        <w:spacing w:after="140" w:line="276"/>
      </w:pPr>
      <w:r>
        <w:rPr>
          <w:color w:val="222222"/>
          <w:sz w:val="21"/>
          <w:szCs w:val="21"/>
        </w:rPr>
        <w:t xml:space="preserve">performance_periods (opening/closing balance, gross_profit, gross_loss, trading_costs, eligible_net_profit, status) is the direct input to referral_rewards (eligible_net_profit, reward_rate, reward_amount, status, approved_at, settled_at), which credits referral_wallets (pending_balance, available_balance, lifetime_earned/withdrawn) exclusively through referral_ledger entries, with monthly runs summarized in referral_settlements.</w:t>
      </w:r>
    </w:p>
    <w:p>
      <w:pPr>
        <w:pStyle w:val="Heading2"/>
        <w:spacing w:after="140" w:before="320"/>
      </w:pPr>
      <w:r>
        <w:rPr>
          <w:b/>
          <w:bCs/>
          <w:color w:val="2F5597"/>
          <w:sz w:val="24"/>
          <w:szCs w:val="24"/>
        </w:rPr>
        <w:t xml:space="preserve">14.7 Key Relationships</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User   →   KYC Application → Documents → Verifications   →   Broker Account → Snapshots → Trades → Trade Events   →   Referral Code → Referral Relationship → Referred User → Performance Period → Referral Reward → Ledger → Wallet   →   Subscription → Payment</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 Source   →   Source Message   →   Signal   →   Signal Parse   →   Risk Engine   →   Execution   →   Broker Account   →   Trade   →   Trade Events   →   Performance</w:t>
      </w:r>
    </w:p>
    <w:p>
      <w:r>
        <w:br w:type="page"/>
      </w:r>
    </w:p>
    <w:p>
      <w:pPr>
        <w:pStyle w:val="Heading1"/>
        <w:pBdr>
          <w:bottom w:val="single" w:color="2F5597" w:sz="6" w:space="4"/>
        </w:pBdr>
        <w:spacing w:after="200" w:before="480"/>
      </w:pPr>
      <w:r>
        <w:rPr>
          <w:b/>
          <w:bCs/>
          <w:color w:val="1F2A44"/>
          <w:sz w:val="30"/>
          <w:szCs w:val="30"/>
        </w:rPr>
        <w:t xml:space="preserve">15. Security &amp; Compliance Architecture</w:t>
      </w:r>
    </w:p>
    <w:p>
      <w:pPr>
        <w:pStyle w:val="Heading2"/>
        <w:spacing w:after="140" w:before="320"/>
      </w:pPr>
      <w:r>
        <w:rPr>
          <w:b/>
          <w:bCs/>
          <w:color w:val="2F5597"/>
          <w:sz w:val="24"/>
          <w:szCs w:val="24"/>
        </w:rPr>
        <w:t xml:space="preserve">15.1 Request-Level Security Chain</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Request   →   Authentication   →   Authorization   →   Account Status   →   KYC Verification   →   Risk / Compliance   →   Feature Access</w:t>
      </w:r>
    </w:p>
    <w:p>
      <w:pPr>
        <w:spacing w:after="140" w:line="276"/>
      </w:pPr>
      <w:r>
        <w:rPr>
          <w:color w:val="222222"/>
          <w:sz w:val="21"/>
          <w:szCs w:val="21"/>
        </w:rPr>
        <w:t xml:space="preserve">This is deliberately stronger than a simple “is the user logged in” check — authorization is composed of explicit guard functions applied per endpoint:</w:t>
      </w:r>
    </w:p>
    <w:p>
      <w:pPr>
        <w:pStyle w:val="ListParagraph"/>
        <w:numPr>
          <w:ilvl w:val="0"/>
          <w:numId w:val="2"/>
        </w:numPr>
        <w:spacing w:after="80"/>
      </w:pPr>
      <w:r>
        <w:rPr>
          <w:sz w:val="21"/>
          <w:szCs w:val="21"/>
        </w:rPr>
        <w:t xml:space="preserve">requireAuthenticated()</w:t>
      </w:r>
    </w:p>
    <w:p>
      <w:pPr>
        <w:pStyle w:val="ListParagraph"/>
        <w:numPr>
          <w:ilvl w:val="0"/>
          <w:numId w:val="2"/>
        </w:numPr>
        <w:spacing w:after="80"/>
      </w:pPr>
      <w:r>
        <w:rPr>
          <w:sz w:val="21"/>
          <w:szCs w:val="21"/>
        </w:rPr>
        <w:t xml:space="preserve">requireEmailVerified()</w:t>
      </w:r>
    </w:p>
    <w:p>
      <w:pPr>
        <w:pStyle w:val="ListParagraph"/>
        <w:numPr>
          <w:ilvl w:val="0"/>
          <w:numId w:val="2"/>
        </w:numPr>
        <w:spacing w:after="80"/>
      </w:pPr>
      <w:r>
        <w:rPr>
          <w:sz w:val="21"/>
          <w:szCs w:val="21"/>
        </w:rPr>
        <w:t xml:space="preserve">requireKycVerified()</w:t>
      </w:r>
    </w:p>
    <w:p>
      <w:pPr>
        <w:pStyle w:val="ListParagraph"/>
        <w:numPr>
          <w:ilvl w:val="0"/>
          <w:numId w:val="2"/>
        </w:numPr>
        <w:spacing w:after="80"/>
      </w:pPr>
      <w:r>
        <w:rPr>
          <w:sz w:val="21"/>
          <w:szCs w:val="21"/>
        </w:rPr>
        <w:t xml:space="preserve">requireActiveAccount()</w:t>
      </w:r>
    </w:p>
    <w:p>
      <w:pPr>
        <w:pStyle w:val="ListParagraph"/>
        <w:numPr>
          <w:ilvl w:val="0"/>
          <w:numId w:val="2"/>
        </w:numPr>
        <w:spacing w:after="80"/>
      </w:pPr>
      <w:r>
        <w:rPr>
          <w:sz w:val="21"/>
          <w:szCs w:val="21"/>
        </w:rPr>
        <w:t xml:space="preserve">requireFeaturePermission()</w:t>
      </w:r>
    </w:p>
    <w:p>
      <w:pPr>
        <w:pStyle w:val="Heading2"/>
        <w:spacing w:after="140" w:before="320"/>
      </w:pPr>
      <w:r>
        <w:rPr>
          <w:b/>
          <w:bCs/>
          <w:color w:val="2F5597"/>
          <w:sz w:val="24"/>
          <w:szCs w:val="24"/>
        </w:rPr>
        <w:t xml:space="preserve">15.2 Platform-Wide Security Controls</w:t>
      </w:r>
    </w:p>
    <w:p>
      <w:pPr>
        <w:pStyle w:val="ListParagraph"/>
        <w:numPr>
          <w:ilvl w:val="0"/>
          <w:numId w:val="2"/>
        </w:numPr>
        <w:spacing w:after="80"/>
      </w:pPr>
      <w:r>
        <w:rPr>
          <w:sz w:val="21"/>
          <w:szCs w:val="21"/>
        </w:rPr>
        <w:t xml:space="preserve">Encryption of credentials, sessions, and identity documents at rest and in transit</w:t>
      </w:r>
    </w:p>
    <w:p>
      <w:pPr>
        <w:pStyle w:val="ListParagraph"/>
        <w:numPr>
          <w:ilvl w:val="0"/>
          <w:numId w:val="2"/>
        </w:numPr>
        <w:spacing w:after="80"/>
      </w:pPr>
      <w:r>
        <w:rPr>
          <w:sz w:val="21"/>
          <w:szCs w:val="21"/>
        </w:rPr>
        <w:t xml:space="preserve">Secrets vault for broker credentials and Telegram session tokens</w:t>
      </w:r>
    </w:p>
    <w:p>
      <w:pPr>
        <w:pStyle w:val="ListParagraph"/>
        <w:numPr>
          <w:ilvl w:val="0"/>
          <w:numId w:val="2"/>
        </w:numPr>
        <w:spacing w:after="80"/>
      </w:pPr>
      <w:r>
        <w:rPr>
          <w:sz w:val="21"/>
          <w:szCs w:val="21"/>
        </w:rPr>
        <w:t xml:space="preserve">Comprehensive audit logging (audit_logs) covering user, admin, KYC, trade, payment, referral, broker, and security actions</w:t>
      </w:r>
    </w:p>
    <w:p>
      <w:pPr>
        <w:pStyle w:val="ListParagraph"/>
        <w:numPr>
          <w:ilvl w:val="0"/>
          <w:numId w:val="2"/>
        </w:numPr>
        <w:spacing w:after="80"/>
      </w:pPr>
      <w:r>
        <w:rPr>
          <w:sz w:val="21"/>
          <w:szCs w:val="21"/>
        </w:rPr>
        <w:t xml:space="preserve">Role-Based Access Control across all administrative and compliance functions</w:t>
      </w:r>
    </w:p>
    <w:p>
      <w:pPr>
        <w:pStyle w:val="ListParagraph"/>
        <w:numPr>
          <w:ilvl w:val="0"/>
          <w:numId w:val="2"/>
        </w:numPr>
        <w:spacing w:after="80"/>
      </w:pPr>
      <w:r>
        <w:rPr>
          <w:sz w:val="21"/>
          <w:szCs w:val="21"/>
        </w:rPr>
        <w:t xml:space="preserve">Two-factor authentication</w:t>
      </w:r>
    </w:p>
    <w:p>
      <w:pPr>
        <w:pStyle w:val="ListParagraph"/>
        <w:numPr>
          <w:ilvl w:val="0"/>
          <w:numId w:val="2"/>
        </w:numPr>
        <w:spacing w:after="80"/>
      </w:pPr>
      <w:r>
        <w:rPr>
          <w:sz w:val="21"/>
          <w:szCs w:val="21"/>
        </w:rPr>
        <w:t xml:space="preserve">API key security — keys are hashed, never stored in plaintext, with per-key permissions and expiry</w:t>
      </w:r>
    </w:p>
    <w:p>
      <w:pPr>
        <w:pStyle w:val="ListParagraph"/>
        <w:numPr>
          <w:ilvl w:val="0"/>
          <w:numId w:val="2"/>
        </w:numPr>
        <w:spacing w:after="80"/>
      </w:pPr>
      <w:r>
        <w:rPr>
          <w:sz w:val="21"/>
          <w:szCs w:val="21"/>
        </w:rPr>
        <w:t xml:space="preserve">Session monitoring and device management</w:t>
      </w:r>
    </w:p>
    <w:p>
      <w:pPr>
        <w:pStyle w:val="ListParagraph"/>
        <w:numPr>
          <w:ilvl w:val="0"/>
          <w:numId w:val="2"/>
        </w:numPr>
        <w:spacing w:after="80"/>
      </w:pPr>
      <w:r>
        <w:rPr>
          <w:sz w:val="21"/>
          <w:szCs w:val="21"/>
        </w:rPr>
        <w:t xml:space="preserve">Threat detection</w:t>
      </w:r>
    </w:p>
    <w:p>
      <w:pPr>
        <w:pStyle w:val="Heading2"/>
        <w:spacing w:after="140" w:before="320"/>
      </w:pPr>
      <w:r>
        <w:rPr>
          <w:b/>
          <w:bCs/>
          <w:color w:val="2F5597"/>
          <w:sz w:val="24"/>
          <w:szCs w:val="24"/>
        </w:rPr>
        <w:t xml:space="preserve">15.3 Financial Integrity Principles</w:t>
      </w:r>
    </w:p>
    <w:p>
      <w:pPr>
        <w:pStyle w:val="ListParagraph"/>
        <w:numPr>
          <w:ilvl w:val="0"/>
          <w:numId w:val="2"/>
        </w:numPr>
        <w:spacing w:after="80"/>
      </w:pPr>
      <w:r>
        <w:rPr>
          <w:sz w:val="21"/>
          <w:szCs w:val="21"/>
        </w:rPr>
        <w:t xml:space="preserve">Every monetary change (referral rewards, wallet balances) is backed by an explicit ledger entry — balances are never mutated directly.</w:t>
      </w:r>
    </w:p>
    <w:p>
      <w:pPr>
        <w:pStyle w:val="ListParagraph"/>
        <w:numPr>
          <w:ilvl w:val="0"/>
          <w:numId w:val="2"/>
        </w:numPr>
        <w:spacing w:after="80"/>
      </w:pPr>
      <w:r>
        <w:rPr>
          <w:sz w:val="21"/>
          <w:szCs w:val="21"/>
        </w:rPr>
        <w:t xml:space="preserve">Trading money and referral money are architecturally separated and never mixed internally.</w:t>
      </w:r>
    </w:p>
    <w:p>
      <w:pPr>
        <w:pStyle w:val="ListParagraph"/>
        <w:numPr>
          <w:ilvl w:val="0"/>
          <w:numId w:val="2"/>
        </w:numPr>
        <w:spacing w:after="80"/>
      </w:pPr>
      <w:r>
        <w:rPr>
          <w:sz w:val="21"/>
          <w:szCs w:val="21"/>
        </w:rPr>
        <w:t xml:space="preserve">Payment status is driven by provider webhooks, never trusted from the frontend.</w:t>
      </w:r>
    </w:p>
    <w:p>
      <w:pPr>
        <w:pStyle w:val="ListParagraph"/>
        <w:numPr>
          <w:ilvl w:val="0"/>
          <w:numId w:val="2"/>
        </w:numPr>
        <w:spacing w:after="80"/>
      </w:pPr>
      <w:r>
        <w:rPr>
          <w:sz w:val="21"/>
          <w:szCs w:val="21"/>
        </w:rPr>
        <w:t xml:space="preserve">Reward and payout status can be placed under manual review before funds are released.</w:t>
      </w:r>
    </w:p>
    <w:p>
      <w:pPr>
        <w:pStyle w:val="Heading2"/>
        <w:spacing w:after="140" w:before="320"/>
      </w:pPr>
      <w:r>
        <w:rPr>
          <w:b/>
          <w:bCs/>
          <w:color w:val="2F5597"/>
          <w:sz w:val="24"/>
          <w:szCs w:val="24"/>
        </w:rPr>
        <w:t xml:space="preserve">15.4 Background Processing</w:t>
      </w:r>
    </w:p>
    <w:p>
      <w:pPr>
        <w:spacing w:after="140" w:line="276"/>
      </w:pPr>
      <w:r>
        <w:rPr>
          <w:color w:val="222222"/>
          <w:sz w:val="21"/>
          <w:szCs w:val="21"/>
        </w:rPr>
        <w:t xml:space="preserve">Scheduled and asynchronous work runs through a jobs table (job_type, payload, status, attempts/max_attempts, scheduled/started/completed timestamps, error) covering operations such as PROCESS_TELEGRAM_MESSAGE, SYNC_BROKER_ACCOUNT, CALCULATE_PERFORMANCE, MONTHLY_REFERRAL_SETTLEMENT, SEND_NOTIFICATION, UPDATE_PROVIDER_DNA, and GENERATE_ANALYTICS.</w:t>
      </w:r>
    </w:p>
    <w:p>
      <w:pPr>
        <w:pStyle w:val="Heading2"/>
        <w:spacing w:after="140" w:before="320"/>
      </w:pPr>
      <w:r>
        <w:rPr>
          <w:b/>
          <w:bCs/>
          <w:color w:val="2F5597"/>
          <w:sz w:val="24"/>
          <w:szCs w:val="24"/>
        </w:rPr>
        <w:t xml:space="preserve">15.5 Configuration, Not Hard-Coding</w:t>
      </w:r>
    </w:p>
    <w:p>
      <w:pPr>
        <w:spacing w:after="140" w:line="276"/>
      </w:pPr>
      <w:r>
        <w:rPr>
          <w:color w:val="222222"/>
          <w:sz w:val="21"/>
          <w:szCs w:val="21"/>
        </w:rPr>
        <w:t xml:space="preserve">Operational policy is stored in system_settings so it can change without a deployment, for example:</w:t>
      </w:r>
    </w:p>
    <w:p>
      <w:pPr>
        <w:pStyle w:val="ListParagraph"/>
        <w:numPr>
          <w:ilvl w:val="0"/>
          <w:numId w:val="2"/>
        </w:numPr>
        <w:spacing w:after="80"/>
      </w:pPr>
      <w:r>
        <w:rPr>
          <w:sz w:val="21"/>
          <w:szCs w:val="21"/>
        </w:rPr>
        <w:t xml:space="preserve">referral.reward_rate = 0.001</w:t>
      </w:r>
    </w:p>
    <w:p>
      <w:pPr>
        <w:pStyle w:val="ListParagraph"/>
        <w:numPr>
          <w:ilvl w:val="0"/>
          <w:numId w:val="2"/>
        </w:numPr>
        <w:spacing w:after="80"/>
      </w:pPr>
      <w:r>
        <w:rPr>
          <w:sz w:val="21"/>
          <w:szCs w:val="21"/>
        </w:rPr>
        <w:t xml:space="preserve">referral.settlement = monthly</w:t>
      </w:r>
    </w:p>
    <w:p>
      <w:pPr>
        <w:pStyle w:val="ListParagraph"/>
        <w:numPr>
          <w:ilvl w:val="0"/>
          <w:numId w:val="2"/>
        </w:numPr>
        <w:spacing w:after="80"/>
      </w:pPr>
      <w:r>
        <w:rPr>
          <w:sz w:val="21"/>
          <w:szCs w:val="21"/>
        </w:rPr>
        <w:t xml:space="preserve">kyc.required_for_subscription = true</w:t>
      </w:r>
    </w:p>
    <w:p>
      <w:pPr>
        <w:pStyle w:val="ListParagraph"/>
        <w:numPr>
          <w:ilvl w:val="0"/>
          <w:numId w:val="2"/>
        </w:numPr>
        <w:spacing w:after="80"/>
      </w:pPr>
      <w:r>
        <w:rPr>
          <w:sz w:val="21"/>
          <w:szCs w:val="21"/>
        </w:rPr>
        <w:t xml:space="preserve">kyc.required_for_referral = true</w:t>
      </w:r>
    </w:p>
    <w:p>
      <w:r>
        <w:br w:type="page"/>
      </w:r>
    </w:p>
    <w:p>
      <w:pPr>
        <w:pStyle w:val="Heading1"/>
        <w:pBdr>
          <w:bottom w:val="single" w:color="2F5597" w:sz="6" w:space="4"/>
        </w:pBdr>
        <w:spacing w:after="200" w:before="480"/>
      </w:pPr>
      <w:r>
        <w:rPr>
          <w:b/>
          <w:bCs/>
          <w:color w:val="1F2A44"/>
          <w:sz w:val="30"/>
          <w:szCs w:val="30"/>
        </w:rPr>
        <w:t xml:space="preserve">16. Complete UI Sitemap &amp; Navigation Architecture</w:t>
      </w:r>
    </w:p>
    <w:p>
      <w:pPr>
        <w:spacing w:after="140" w:line="276"/>
      </w:pPr>
      <w:r>
        <w:rPr>
          <w:color w:val="222222"/>
          <w:sz w:val="21"/>
          <w:szCs w:val="21"/>
        </w:rPr>
        <w:t xml:space="preserve">The application is organized into 29 major navigation categories spanning the public marketing site, the authenticated user experience, the provider business platform, and three distinct internal operating consoles (Admin, Compliance, and Executive/BI). The KYC layer is deliberately integrated throughout the UI — rather than existing as an isolated section — so that any gated feature can surface an in-context prompt such as “Account not verified — Complete KYC to unlock this feature.”</w:t>
      </w:r>
    </w:p>
    <w:p>
      <w:pPr>
        <w:pStyle w:val="Heading2"/>
        <w:spacing w:after="140" w:before="320"/>
      </w:pPr>
      <w:r>
        <w:rPr>
          <w:b/>
          <w:bCs/>
          <w:color w:val="2F5597"/>
          <w:sz w:val="24"/>
          <w:szCs w:val="24"/>
        </w:rPr>
        <w:t xml:space="preserve">16.1 Sitemap Overview — All 29 Categories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00"/>
      </w:tblGrid>
      <w:tr>
        <w:trPr>
          <w:tblHeader/>
        </w:trPr>
        <w:tc>
          <w:tcPr>
            <w:tcW w:type="dxa" w:w="500"/>
            <w:shd w:fill="2F5597" w:val="clear"/>
            <w:tcMar>
              <w:top w:type="dxa" w:w="90"/>
              <w:left w:type="dxa" w:w="110"/>
              <w:bottom w:type="dxa" w:w="90"/>
              <w:right w:type="dxa" w:w="110"/>
            </w:tcMar>
            <w:vAlign w:val="center"/>
          </w:tcPr>
          <w:p>
            <w:r>
              <w:rPr>
                <w:b/>
                <w:bCs/>
                <w:color w:val="FFFFFF"/>
                <w:sz w:val="19"/>
                <w:szCs w:val="19"/>
              </w:rPr>
              <w:t xml:space="preserve">#</w:t>
            </w:r>
          </w:p>
        </w:tc>
        <w:tc>
          <w:tcPr>
            <w:tcW w:type="dxa" w:w="2200"/>
            <w:shd w:fill="2F5597" w:val="clear"/>
            <w:tcMar>
              <w:top w:type="dxa" w:w="90"/>
              <w:left w:type="dxa" w:w="110"/>
              <w:bottom w:type="dxa" w:w="90"/>
              <w:right w:type="dxa" w:w="110"/>
            </w:tcMar>
            <w:vAlign w:val="center"/>
          </w:tcPr>
          <w:p>
            <w:r>
              <w:rPr>
                <w:b/>
                <w:bCs/>
                <w:color w:val="FFFFFF"/>
                <w:sz w:val="19"/>
                <w:szCs w:val="19"/>
              </w:rPr>
              <w:t xml:space="preserve">Category</w:t>
            </w:r>
          </w:p>
        </w:tc>
        <w:tc>
          <w:tcPr>
            <w:tcW w:type="dxa" w:w="6600"/>
            <w:shd w:fill="2F5597" w:val="clear"/>
            <w:tcMar>
              <w:top w:type="dxa" w:w="90"/>
              <w:left w:type="dxa" w:w="110"/>
              <w:bottom w:type="dxa" w:w="90"/>
              <w:right w:type="dxa" w:w="110"/>
            </w:tcMar>
            <w:vAlign w:val="center"/>
          </w:tcPr>
          <w:p>
            <w:r>
              <w:rPr>
                <w:b/>
                <w:bCs/>
                <w:color w:val="FFFFFF"/>
                <w:sz w:val="19"/>
                <w:szCs w:val="19"/>
              </w:rPr>
              <w:t xml:space="preserve">Representative Pages</w:t>
            </w:r>
          </w:p>
        </w:tc>
      </w:tr>
      <w:tr>
        <w:tc>
          <w:tcPr>
            <w:tcW w:type="dxa" w:w="500"/>
            <w:shd w:fill="FFFFFF" w:val="clear"/>
            <w:tcMar>
              <w:top w:type="dxa" w:w="70"/>
              <w:left w:type="dxa" w:w="110"/>
              <w:bottom w:type="dxa" w:w="70"/>
              <w:right w:type="dxa" w:w="110"/>
            </w:tcMar>
            <w:vAlign w:val="center"/>
          </w:tcPr>
          <w:p>
            <w:r>
              <w:rPr>
                <w:sz w:val="19"/>
                <w:szCs w:val="19"/>
              </w:rPr>
              <w:t xml:space="preserve">1</w:t>
            </w:r>
          </w:p>
        </w:tc>
        <w:tc>
          <w:tcPr>
            <w:tcW w:type="dxa" w:w="2200"/>
            <w:shd w:fill="FFFFFF" w:val="clear"/>
            <w:tcMar>
              <w:top w:type="dxa" w:w="70"/>
              <w:left w:type="dxa" w:w="110"/>
              <w:bottom w:type="dxa" w:w="70"/>
              <w:right w:type="dxa" w:w="110"/>
            </w:tcMar>
            <w:vAlign w:val="center"/>
          </w:tcPr>
          <w:p>
            <w:r>
              <w:rPr>
                <w:sz w:val="19"/>
                <w:szCs w:val="19"/>
              </w:rPr>
              <w:t xml:space="preserve">Public Website</w:t>
            </w:r>
          </w:p>
        </w:tc>
        <w:tc>
          <w:tcPr>
            <w:tcW w:type="dxa" w:w="6600"/>
            <w:shd w:fill="FFFFFF" w:val="clear"/>
            <w:tcMar>
              <w:top w:type="dxa" w:w="70"/>
              <w:left w:type="dxa" w:w="110"/>
              <w:bottom w:type="dxa" w:w="70"/>
              <w:right w:type="dxa" w:w="110"/>
            </w:tcMar>
            <w:vAlign w:val="center"/>
          </w:tcPr>
          <w:p>
            <w:r>
              <w:rPr>
                <w:sz w:val="19"/>
                <w:szCs w:val="19"/>
              </w:rPr>
              <w:t xml:space="preserve">Home; How SignalForge Works; Features (AI Signal Intelligence, Automated Trading, Risk Management, Copy Trading, Analytics, Provider/Trader Marketplace); Pricing; Enterprise; White Label; API Platform; Security; About; Contact; FAQ</w:t>
            </w:r>
          </w:p>
        </w:tc>
      </w:tr>
      <w:tr>
        <w:tc>
          <w:tcPr>
            <w:tcW w:type="dxa" w:w="500"/>
            <w:shd w:fill="EEF2F8" w:val="clear"/>
            <w:tcMar>
              <w:top w:type="dxa" w:w="70"/>
              <w:left w:type="dxa" w:w="110"/>
              <w:bottom w:type="dxa" w:w="70"/>
              <w:right w:type="dxa" w:w="110"/>
            </w:tcMar>
            <w:vAlign w:val="center"/>
          </w:tcPr>
          <w:p>
            <w:r>
              <w:rPr>
                <w:sz w:val="19"/>
                <w:szCs w:val="19"/>
              </w:rPr>
              <w:t xml:space="preserve">2</w:t>
            </w:r>
          </w:p>
        </w:tc>
        <w:tc>
          <w:tcPr>
            <w:tcW w:type="dxa" w:w="2200"/>
            <w:shd w:fill="EEF2F8" w:val="clear"/>
            <w:tcMar>
              <w:top w:type="dxa" w:w="70"/>
              <w:left w:type="dxa" w:w="110"/>
              <w:bottom w:type="dxa" w:w="70"/>
              <w:right w:type="dxa" w:w="110"/>
            </w:tcMar>
            <w:vAlign w:val="center"/>
          </w:tcPr>
          <w:p>
            <w:r>
              <w:rPr>
                <w:sz w:val="19"/>
                <w:szCs w:val="19"/>
              </w:rPr>
              <w:t xml:space="preserve">Authentication</w:t>
            </w:r>
          </w:p>
        </w:tc>
        <w:tc>
          <w:tcPr>
            <w:tcW w:type="dxa" w:w="6600"/>
            <w:shd w:fill="EEF2F8" w:val="clear"/>
            <w:tcMar>
              <w:top w:type="dxa" w:w="70"/>
              <w:left w:type="dxa" w:w="110"/>
              <w:bottom w:type="dxa" w:w="70"/>
              <w:right w:type="dxa" w:w="110"/>
            </w:tcMar>
            <w:vAlign w:val="center"/>
          </w:tcPr>
          <w:p>
            <w:r>
              <w:rPr>
                <w:sz w:val="19"/>
                <w:szCs w:val="19"/>
              </w:rPr>
              <w:t xml:space="preserve">Login; Register; Email/Phone Verification; Forgot/Reset Password; Two-Factor Authentication; 2FA Verification; Account Recovery; Session/Device Verification</w:t>
            </w:r>
          </w:p>
        </w:tc>
      </w:tr>
      <w:tr>
        <w:tc>
          <w:tcPr>
            <w:tcW w:type="dxa" w:w="500"/>
            <w:shd w:fill="FFFFFF" w:val="clear"/>
            <w:tcMar>
              <w:top w:type="dxa" w:w="70"/>
              <w:left w:type="dxa" w:w="110"/>
              <w:bottom w:type="dxa" w:w="70"/>
              <w:right w:type="dxa" w:w="110"/>
            </w:tcMar>
            <w:vAlign w:val="center"/>
          </w:tcPr>
          <w:p>
            <w:r>
              <w:rPr>
                <w:sz w:val="19"/>
                <w:szCs w:val="19"/>
              </w:rPr>
              <w:t xml:space="preserve">3</w:t>
            </w:r>
          </w:p>
        </w:tc>
        <w:tc>
          <w:tcPr>
            <w:tcW w:type="dxa" w:w="2200"/>
            <w:shd w:fill="FFFFFF" w:val="clear"/>
            <w:tcMar>
              <w:top w:type="dxa" w:w="70"/>
              <w:left w:type="dxa" w:w="110"/>
              <w:bottom w:type="dxa" w:w="70"/>
              <w:right w:type="dxa" w:w="110"/>
            </w:tcMar>
            <w:vAlign w:val="center"/>
          </w:tcPr>
          <w:p>
            <w:r>
              <w:rPr>
                <w:sz w:val="19"/>
                <w:szCs w:val="19"/>
              </w:rPr>
              <w:t xml:space="preserve">KYC &amp; Identity</w:t>
            </w:r>
          </w:p>
        </w:tc>
        <w:tc>
          <w:tcPr>
            <w:tcW w:type="dxa" w:w="6600"/>
            <w:shd w:fill="FFFFFF" w:val="clear"/>
            <w:tcMar>
              <w:top w:type="dxa" w:w="70"/>
              <w:left w:type="dxa" w:w="110"/>
              <w:bottom w:type="dxa" w:w="70"/>
              <w:right w:type="dxa" w:w="110"/>
            </w:tcMar>
            <w:vAlign w:val="center"/>
          </w:tcPr>
          <w:p>
            <w:r>
              <w:rPr>
                <w:sz w:val="19"/>
                <w:szCs w:val="19"/>
              </w:rPr>
              <w:t xml:space="preserve">KYC Introduction; Personal Information; Select/Upload Identity Document; Document Verification; Selfie/Liveness Verification; KYC Review Status; Verification Result; Re-submission; Expired/Re-verification; KYC Help; KYC Status Dashboard</w:t>
            </w:r>
          </w:p>
        </w:tc>
      </w:tr>
      <w:tr>
        <w:tc>
          <w:tcPr>
            <w:tcW w:type="dxa" w:w="500"/>
            <w:shd w:fill="EEF2F8" w:val="clear"/>
            <w:tcMar>
              <w:top w:type="dxa" w:w="70"/>
              <w:left w:type="dxa" w:w="110"/>
              <w:bottom w:type="dxa" w:w="70"/>
              <w:right w:type="dxa" w:w="110"/>
            </w:tcMar>
            <w:vAlign w:val="center"/>
          </w:tcPr>
          <w:p>
            <w:r>
              <w:rPr>
                <w:sz w:val="19"/>
                <w:szCs w:val="19"/>
              </w:rPr>
              <w:t xml:space="preserve">4</w:t>
            </w:r>
          </w:p>
        </w:tc>
        <w:tc>
          <w:tcPr>
            <w:tcW w:type="dxa" w:w="2200"/>
            <w:shd w:fill="EEF2F8" w:val="clear"/>
            <w:tcMar>
              <w:top w:type="dxa" w:w="70"/>
              <w:left w:type="dxa" w:w="110"/>
              <w:bottom w:type="dxa" w:w="70"/>
              <w:right w:type="dxa" w:w="110"/>
            </w:tcMar>
            <w:vAlign w:val="center"/>
          </w:tcPr>
          <w:p>
            <w:r>
              <w:rPr>
                <w:sz w:val="19"/>
                <w:szCs w:val="19"/>
              </w:rPr>
              <w:t xml:space="preserve">User Dashboard</w:t>
            </w:r>
          </w:p>
        </w:tc>
        <w:tc>
          <w:tcPr>
            <w:tcW w:type="dxa" w:w="6600"/>
            <w:shd w:fill="EEF2F8" w:val="clear"/>
            <w:tcMar>
              <w:top w:type="dxa" w:w="70"/>
              <w:left w:type="dxa" w:w="110"/>
              <w:bottom w:type="dxa" w:w="70"/>
              <w:right w:type="dxa" w:w="110"/>
            </w:tcMar>
            <w:vAlign w:val="center"/>
          </w:tcPr>
          <w:p>
            <w:r>
              <w:rPr>
                <w:sz w:val="19"/>
                <w:szCs w:val="19"/>
              </w:rPr>
              <w:t xml:space="preserve">Dashboard Overview; Account Summary; Portfolio Overview; Live Trading Status; Active Signals; Open/Recent Trades; Profit &amp; Loss; Risk Overview; Account Health; KYC Status; Subscription Status; Referral Summary</w:t>
            </w:r>
          </w:p>
        </w:tc>
      </w:tr>
      <w:tr>
        <w:tc>
          <w:tcPr>
            <w:tcW w:type="dxa" w:w="500"/>
            <w:shd w:fill="FFFFFF" w:val="clear"/>
            <w:tcMar>
              <w:top w:type="dxa" w:w="70"/>
              <w:left w:type="dxa" w:w="110"/>
              <w:bottom w:type="dxa" w:w="70"/>
              <w:right w:type="dxa" w:w="110"/>
            </w:tcMar>
            <w:vAlign w:val="center"/>
          </w:tcPr>
          <w:p>
            <w:r>
              <w:rPr>
                <w:sz w:val="19"/>
                <w:szCs w:val="19"/>
              </w:rPr>
              <w:t xml:space="preserve">5</w:t>
            </w:r>
          </w:p>
        </w:tc>
        <w:tc>
          <w:tcPr>
            <w:tcW w:type="dxa" w:w="2200"/>
            <w:shd w:fill="FFFFFF" w:val="clear"/>
            <w:tcMar>
              <w:top w:type="dxa" w:w="70"/>
              <w:left w:type="dxa" w:w="110"/>
              <w:bottom w:type="dxa" w:w="70"/>
              <w:right w:type="dxa" w:w="110"/>
            </w:tcMar>
            <w:vAlign w:val="center"/>
          </w:tcPr>
          <w:p>
            <w:r>
              <w:rPr>
                <w:sz w:val="19"/>
                <w:szCs w:val="19"/>
              </w:rPr>
              <w:t xml:space="preserve">Signal Center</w:t>
            </w:r>
          </w:p>
        </w:tc>
        <w:tc>
          <w:tcPr>
            <w:tcW w:type="dxa" w:w="6600"/>
            <w:shd w:fill="FFFFFF" w:val="clear"/>
            <w:tcMar>
              <w:top w:type="dxa" w:w="70"/>
              <w:left w:type="dxa" w:w="110"/>
              <w:bottom w:type="dxa" w:w="70"/>
              <w:right w:type="dxa" w:w="110"/>
            </w:tcMar>
            <w:vAlign w:val="center"/>
          </w:tcPr>
          <w:p>
            <w:r>
              <w:rPr>
                <w:sz w:val="19"/>
                <w:szCs w:val="19"/>
              </w:rPr>
              <w:t xml:space="preserve">Live Signals; Signal History; Signal Details; Processing Timeline; Signal Confidence; Signal Risk Analysis; Provider Signals; Duplicate Signals; Consensus Signals; Rejected Signals; Signal Replay</w:t>
            </w:r>
          </w:p>
        </w:tc>
      </w:tr>
      <w:tr>
        <w:tc>
          <w:tcPr>
            <w:tcW w:type="dxa" w:w="500"/>
            <w:shd w:fill="EEF2F8" w:val="clear"/>
            <w:tcMar>
              <w:top w:type="dxa" w:w="70"/>
              <w:left w:type="dxa" w:w="110"/>
              <w:bottom w:type="dxa" w:w="70"/>
              <w:right w:type="dxa" w:w="110"/>
            </w:tcMar>
            <w:vAlign w:val="center"/>
          </w:tcPr>
          <w:p>
            <w:r>
              <w:rPr>
                <w:sz w:val="19"/>
                <w:szCs w:val="19"/>
              </w:rPr>
              <w:t xml:space="preserve">6</w:t>
            </w:r>
          </w:p>
        </w:tc>
        <w:tc>
          <w:tcPr>
            <w:tcW w:type="dxa" w:w="2200"/>
            <w:shd w:fill="EEF2F8" w:val="clear"/>
            <w:tcMar>
              <w:top w:type="dxa" w:w="70"/>
              <w:left w:type="dxa" w:w="110"/>
              <w:bottom w:type="dxa" w:w="70"/>
              <w:right w:type="dxa" w:w="110"/>
            </w:tcMar>
            <w:vAlign w:val="center"/>
          </w:tcPr>
          <w:p>
            <w:r>
              <w:rPr>
                <w:sz w:val="19"/>
                <w:szCs w:val="19"/>
              </w:rPr>
              <w:t xml:space="preserve">Signal Sources</w:t>
            </w:r>
          </w:p>
        </w:tc>
        <w:tc>
          <w:tcPr>
            <w:tcW w:type="dxa" w:w="6600"/>
            <w:shd w:fill="EEF2F8" w:val="clear"/>
            <w:tcMar>
              <w:top w:type="dxa" w:w="70"/>
              <w:left w:type="dxa" w:w="110"/>
              <w:bottom w:type="dxa" w:w="70"/>
              <w:right w:type="dxa" w:w="110"/>
            </w:tcMar>
            <w:vAlign w:val="center"/>
          </w:tcPr>
          <w:p>
            <w:r>
              <w:rPr>
                <w:sz w:val="19"/>
                <w:szCs w:val="19"/>
              </w:rPr>
              <w:t xml:space="preserve">Signal Sources; Add Signal Source; Telegram/Discord/WhatsApp Connection &amp; Channels; TradingView Webhooks; REST API Sources; Email Sources; Source Message Inbox &amp; Details; Source Processing Logs</w:t>
            </w:r>
          </w:p>
        </w:tc>
      </w:tr>
      <w:tr>
        <w:tc>
          <w:tcPr>
            <w:tcW w:type="dxa" w:w="500"/>
            <w:shd w:fill="FFFFFF" w:val="clear"/>
            <w:tcMar>
              <w:top w:type="dxa" w:w="70"/>
              <w:left w:type="dxa" w:w="110"/>
              <w:bottom w:type="dxa" w:w="70"/>
              <w:right w:type="dxa" w:w="110"/>
            </w:tcMar>
            <w:vAlign w:val="center"/>
          </w:tcPr>
          <w:p>
            <w:r>
              <w:rPr>
                <w:sz w:val="19"/>
                <w:szCs w:val="19"/>
              </w:rPr>
              <w:t xml:space="preserve">7</w:t>
            </w:r>
          </w:p>
        </w:tc>
        <w:tc>
          <w:tcPr>
            <w:tcW w:type="dxa" w:w="2200"/>
            <w:shd w:fill="FFFFFF" w:val="clear"/>
            <w:tcMar>
              <w:top w:type="dxa" w:w="70"/>
              <w:left w:type="dxa" w:w="110"/>
              <w:bottom w:type="dxa" w:w="70"/>
              <w:right w:type="dxa" w:w="110"/>
            </w:tcMar>
            <w:vAlign w:val="center"/>
          </w:tcPr>
          <w:p>
            <w:r>
              <w:rPr>
                <w:sz w:val="19"/>
                <w:szCs w:val="19"/>
              </w:rPr>
              <w:t xml:space="preserve">AI Signal Intelligence</w:t>
            </w:r>
          </w:p>
        </w:tc>
        <w:tc>
          <w:tcPr>
            <w:tcW w:type="dxa" w:w="6600"/>
            <w:shd w:fill="FFFFFF" w:val="clear"/>
            <w:tcMar>
              <w:top w:type="dxa" w:w="70"/>
              <w:left w:type="dxa" w:w="110"/>
              <w:bottom w:type="dxa" w:w="70"/>
              <w:right w:type="dxa" w:w="110"/>
            </w:tcMar>
            <w:vAlign w:val="center"/>
          </w:tcPr>
          <w:p>
            <w:r>
              <w:rPr>
                <w:sz w:val="19"/>
                <w:szCs w:val="19"/>
              </w:rPr>
              <w:t xml:space="preserve">AI Intelligence Overview; AI Signal Parser; Signal Interpretation; Provider DNA; Provider DNA Rules; AI Learning Activity; Confidence Engine; Risk Intelligence; Multi-Language Processing; Consensus Engine; Duplicate Detection; AI Processing Logs; AI Model Performance; Learning History</w:t>
            </w:r>
          </w:p>
        </w:tc>
      </w:tr>
      <w:tr>
        <w:tc>
          <w:tcPr>
            <w:tcW w:type="dxa" w:w="500"/>
            <w:shd w:fill="EEF2F8" w:val="clear"/>
            <w:tcMar>
              <w:top w:type="dxa" w:w="70"/>
              <w:left w:type="dxa" w:w="110"/>
              <w:bottom w:type="dxa" w:w="70"/>
              <w:right w:type="dxa" w:w="110"/>
            </w:tcMar>
            <w:vAlign w:val="center"/>
          </w:tcPr>
          <w:p>
            <w:r>
              <w:rPr>
                <w:sz w:val="19"/>
                <w:szCs w:val="19"/>
              </w:rPr>
              <w:t xml:space="preserve">8</w:t>
            </w:r>
          </w:p>
        </w:tc>
        <w:tc>
          <w:tcPr>
            <w:tcW w:type="dxa" w:w="2200"/>
            <w:shd w:fill="EEF2F8" w:val="clear"/>
            <w:tcMar>
              <w:top w:type="dxa" w:w="70"/>
              <w:left w:type="dxa" w:w="110"/>
              <w:bottom w:type="dxa" w:w="70"/>
              <w:right w:type="dxa" w:w="110"/>
            </w:tcMar>
            <w:vAlign w:val="center"/>
          </w:tcPr>
          <w:p>
            <w:r>
              <w:rPr>
                <w:sz w:val="19"/>
                <w:szCs w:val="19"/>
              </w:rPr>
              <w:t xml:space="preserve">Provider DNA</w:t>
            </w:r>
          </w:p>
        </w:tc>
        <w:tc>
          <w:tcPr>
            <w:tcW w:type="dxa" w:w="6600"/>
            <w:shd w:fill="EEF2F8" w:val="clear"/>
            <w:tcMar>
              <w:top w:type="dxa" w:w="70"/>
              <w:left w:type="dxa" w:w="110"/>
              <w:bottom w:type="dxa" w:w="70"/>
              <w:right w:type="dxa" w:w="110"/>
            </w:tcMar>
            <w:vAlign w:val="center"/>
          </w:tcPr>
          <w:p>
            <w:r>
              <w:rPr>
                <w:sz w:val="19"/>
                <w:szCs w:val="19"/>
              </w:rPr>
              <w:t xml:space="preserve">DNA Overview; Provider Language Profile; Symbol Mapping; Abbreviation Mapping; Trade Management Rules; Risk Behavior; Learned Patterns; DNA Confidence; DNA Version History; Training Messages; Provider DNA Test</w:t>
            </w:r>
          </w:p>
        </w:tc>
      </w:tr>
      <w:tr>
        <w:tc>
          <w:tcPr>
            <w:tcW w:type="dxa" w:w="500"/>
            <w:shd w:fill="FFFFFF" w:val="clear"/>
            <w:tcMar>
              <w:top w:type="dxa" w:w="70"/>
              <w:left w:type="dxa" w:w="110"/>
              <w:bottom w:type="dxa" w:w="70"/>
              <w:right w:type="dxa" w:w="110"/>
            </w:tcMar>
            <w:vAlign w:val="center"/>
          </w:tcPr>
          <w:p>
            <w:r>
              <w:rPr>
                <w:sz w:val="19"/>
                <w:szCs w:val="19"/>
              </w:rPr>
              <w:t xml:space="preserve">9</w:t>
            </w:r>
          </w:p>
        </w:tc>
        <w:tc>
          <w:tcPr>
            <w:tcW w:type="dxa" w:w="2200"/>
            <w:shd w:fill="FFFFFF" w:val="clear"/>
            <w:tcMar>
              <w:top w:type="dxa" w:w="70"/>
              <w:left w:type="dxa" w:w="110"/>
              <w:bottom w:type="dxa" w:w="70"/>
              <w:right w:type="dxa" w:w="110"/>
            </w:tcMar>
            <w:vAlign w:val="center"/>
          </w:tcPr>
          <w:p>
            <w:r>
              <w:rPr>
                <w:sz w:val="19"/>
                <w:szCs w:val="19"/>
              </w:rPr>
              <w:t xml:space="preserve">Trading</w:t>
            </w:r>
          </w:p>
        </w:tc>
        <w:tc>
          <w:tcPr>
            <w:tcW w:type="dxa" w:w="6600"/>
            <w:shd w:fill="FFFFFF" w:val="clear"/>
            <w:tcMar>
              <w:top w:type="dxa" w:w="70"/>
              <w:left w:type="dxa" w:w="110"/>
              <w:bottom w:type="dxa" w:w="70"/>
              <w:right w:type="dxa" w:w="110"/>
            </w:tcMar>
            <w:vAlign w:val="center"/>
          </w:tcPr>
          <w:p>
            <w:r>
              <w:rPr>
                <w:sz w:val="19"/>
                <w:szCs w:val="19"/>
              </w:rPr>
              <w:t xml:space="preserve">Trading Overview; Open Positions; Trade History &amp; Details; Pending Orders; Closed Trades; Manual Interventions; Trade Events; Trade Timeline; Trade Shadow; Trade Replay; Execution History</w:t>
            </w:r>
          </w:p>
        </w:tc>
      </w:tr>
      <w:tr>
        <w:tc>
          <w:tcPr>
            <w:tcW w:type="dxa" w:w="500"/>
            <w:shd w:fill="EEF2F8" w:val="clear"/>
            <w:tcMar>
              <w:top w:type="dxa" w:w="70"/>
              <w:left w:type="dxa" w:w="110"/>
              <w:bottom w:type="dxa" w:w="70"/>
              <w:right w:type="dxa" w:w="110"/>
            </w:tcMar>
            <w:vAlign w:val="center"/>
          </w:tcPr>
          <w:p>
            <w:r>
              <w:rPr>
                <w:sz w:val="19"/>
                <w:szCs w:val="19"/>
              </w:rPr>
              <w:t xml:space="preserve">10</w:t>
            </w:r>
          </w:p>
        </w:tc>
        <w:tc>
          <w:tcPr>
            <w:tcW w:type="dxa" w:w="2200"/>
            <w:shd w:fill="EEF2F8" w:val="clear"/>
            <w:tcMar>
              <w:top w:type="dxa" w:w="70"/>
              <w:left w:type="dxa" w:w="110"/>
              <w:bottom w:type="dxa" w:w="70"/>
              <w:right w:type="dxa" w:w="110"/>
            </w:tcMar>
            <w:vAlign w:val="center"/>
          </w:tcPr>
          <w:p>
            <w:r>
              <w:rPr>
                <w:sz w:val="19"/>
                <w:szCs w:val="19"/>
              </w:rPr>
              <w:t xml:space="preserve">Risk &amp; Automation</w:t>
            </w:r>
          </w:p>
        </w:tc>
        <w:tc>
          <w:tcPr>
            <w:tcW w:type="dxa" w:w="6600"/>
            <w:shd w:fill="EEF2F8" w:val="clear"/>
            <w:tcMar>
              <w:top w:type="dxa" w:w="70"/>
              <w:left w:type="dxa" w:w="110"/>
              <w:bottom w:type="dxa" w:w="70"/>
              <w:right w:type="dxa" w:w="110"/>
            </w:tcMar>
            <w:vAlign w:val="center"/>
          </w:tcPr>
          <w:p>
            <w:r>
              <w:rPr>
                <w:sz w:val="19"/>
                <w:szCs w:val="19"/>
              </w:rPr>
              <w:t xml:space="preserve">Risk Management Overview; Risk Profile &amp; Rules; Daily Loss Limits; Drawdown Protection; Max Open Trades; Trading Sessions; Trailing Stop; Break-Even; Profit Lock; Partial Close; Correlation Protection; News Filter; Emergency Stop; Automation Rules; Create IF/THEN Rule; Provider-Specific Rules; Risk Events</w:t>
            </w:r>
          </w:p>
        </w:tc>
      </w:tr>
      <w:tr>
        <w:tc>
          <w:tcPr>
            <w:tcW w:type="dxa" w:w="500"/>
            <w:shd w:fill="FFFFFF" w:val="clear"/>
            <w:tcMar>
              <w:top w:type="dxa" w:w="70"/>
              <w:left w:type="dxa" w:w="110"/>
              <w:bottom w:type="dxa" w:w="70"/>
              <w:right w:type="dxa" w:w="110"/>
            </w:tcMar>
            <w:vAlign w:val="center"/>
          </w:tcPr>
          <w:p>
            <w:r>
              <w:rPr>
                <w:sz w:val="19"/>
                <w:szCs w:val="19"/>
              </w:rPr>
              <w:t xml:space="preserve">11</w:t>
            </w:r>
          </w:p>
        </w:tc>
        <w:tc>
          <w:tcPr>
            <w:tcW w:type="dxa" w:w="2200"/>
            <w:shd w:fill="FFFFFF" w:val="clear"/>
            <w:tcMar>
              <w:top w:type="dxa" w:w="70"/>
              <w:left w:type="dxa" w:w="110"/>
              <w:bottom w:type="dxa" w:w="70"/>
              <w:right w:type="dxa" w:w="110"/>
            </w:tcMar>
            <w:vAlign w:val="center"/>
          </w:tcPr>
          <w:p>
            <w:r>
              <w:rPr>
                <w:sz w:val="19"/>
                <w:szCs w:val="19"/>
              </w:rPr>
              <w:t xml:space="preserve">Brokers &amp; Accounts</w:t>
            </w:r>
          </w:p>
        </w:tc>
        <w:tc>
          <w:tcPr>
            <w:tcW w:type="dxa" w:w="6600"/>
            <w:shd w:fill="FFFFFF" w:val="clear"/>
            <w:tcMar>
              <w:top w:type="dxa" w:w="70"/>
              <w:left w:type="dxa" w:w="110"/>
              <w:bottom w:type="dxa" w:w="70"/>
              <w:right w:type="dxa" w:w="110"/>
            </w:tcMar>
            <w:vAlign w:val="center"/>
          </w:tcPr>
          <w:p>
            <w:r>
              <w:rPr>
                <w:sz w:val="19"/>
                <w:szCs w:val="19"/>
              </w:rPr>
              <w:t xml:space="preserve">Broker Accounts; Connect Broker; MT4/MT5 Connection; Account Details; Connection Status; Balance/Equity/Margin/Free Margin; Account Sync; Connection Logs; Disconnect Broker</w:t>
            </w:r>
          </w:p>
        </w:tc>
      </w:tr>
      <w:tr>
        <w:tc>
          <w:tcPr>
            <w:tcW w:type="dxa" w:w="500"/>
            <w:shd w:fill="EEF2F8" w:val="clear"/>
            <w:tcMar>
              <w:top w:type="dxa" w:w="70"/>
              <w:left w:type="dxa" w:w="110"/>
              <w:bottom w:type="dxa" w:w="70"/>
              <w:right w:type="dxa" w:w="110"/>
            </w:tcMar>
            <w:vAlign w:val="center"/>
          </w:tcPr>
          <w:p>
            <w:r>
              <w:rPr>
                <w:sz w:val="19"/>
                <w:szCs w:val="19"/>
              </w:rPr>
              <w:t xml:space="preserve">12</w:t>
            </w:r>
          </w:p>
        </w:tc>
        <w:tc>
          <w:tcPr>
            <w:tcW w:type="dxa" w:w="2200"/>
            <w:shd w:fill="EEF2F8" w:val="clear"/>
            <w:tcMar>
              <w:top w:type="dxa" w:w="70"/>
              <w:left w:type="dxa" w:w="110"/>
              <w:bottom w:type="dxa" w:w="70"/>
              <w:right w:type="dxa" w:w="110"/>
            </w:tcMar>
            <w:vAlign w:val="center"/>
          </w:tcPr>
          <w:p>
            <w:r>
              <w:rPr>
                <w:sz w:val="19"/>
                <w:szCs w:val="19"/>
              </w:rPr>
              <w:t xml:space="preserve">Analytics &amp; Performance</w:t>
            </w:r>
          </w:p>
        </w:tc>
        <w:tc>
          <w:tcPr>
            <w:tcW w:type="dxa" w:w="6600"/>
            <w:shd w:fill="EEF2F8" w:val="clear"/>
            <w:tcMar>
              <w:top w:type="dxa" w:w="70"/>
              <w:left w:type="dxa" w:w="110"/>
              <w:bottom w:type="dxa" w:w="70"/>
              <w:right w:type="dxa" w:w="110"/>
            </w:tcMar>
            <w:vAlign w:val="center"/>
          </w:tcPr>
          <w:p>
            <w:r>
              <w:rPr>
                <w:sz w:val="19"/>
                <w:szCs w:val="19"/>
              </w:rPr>
              <w:t xml:space="preserve">Analytics Overview; Performance Dashboard; Equity Curve; Profit/Drawdown Analysis; Win Rate; Risk/Reward Analysis; Sharpe &amp; Sortino Ratios; Best/Worst Symbols; Execution Latency &amp; Time; Risk &amp; Behavior Analysis; Trading Calendar; Performance Reports; Export Reports</w:t>
            </w:r>
          </w:p>
        </w:tc>
      </w:tr>
      <w:tr>
        <w:tc>
          <w:tcPr>
            <w:tcW w:type="dxa" w:w="500"/>
            <w:shd w:fill="FFFFFF" w:val="clear"/>
            <w:tcMar>
              <w:top w:type="dxa" w:w="70"/>
              <w:left w:type="dxa" w:w="110"/>
              <w:bottom w:type="dxa" w:w="70"/>
              <w:right w:type="dxa" w:w="110"/>
            </w:tcMar>
            <w:vAlign w:val="center"/>
          </w:tcPr>
          <w:p>
            <w:r>
              <w:rPr>
                <w:sz w:val="19"/>
                <w:szCs w:val="19"/>
              </w:rPr>
              <w:t xml:space="preserve">13</w:t>
            </w:r>
          </w:p>
        </w:tc>
        <w:tc>
          <w:tcPr>
            <w:tcW w:type="dxa" w:w="2200"/>
            <w:shd w:fill="FFFFFF" w:val="clear"/>
            <w:tcMar>
              <w:top w:type="dxa" w:w="70"/>
              <w:left w:type="dxa" w:w="110"/>
              <w:bottom w:type="dxa" w:w="70"/>
              <w:right w:type="dxa" w:w="110"/>
            </w:tcMar>
            <w:vAlign w:val="center"/>
          </w:tcPr>
          <w:p>
            <w:r>
              <w:rPr>
                <w:sz w:val="19"/>
                <w:szCs w:val="19"/>
              </w:rPr>
              <w:t xml:space="preserve">Provider Marketplace</w:t>
            </w:r>
          </w:p>
        </w:tc>
        <w:tc>
          <w:tcPr>
            <w:tcW w:type="dxa" w:w="6600"/>
            <w:shd w:fill="FFFFFF" w:val="clear"/>
            <w:tcMar>
              <w:top w:type="dxa" w:w="70"/>
              <w:left w:type="dxa" w:w="110"/>
              <w:bottom w:type="dxa" w:w="70"/>
              <w:right w:type="dxa" w:w="110"/>
            </w:tcMar>
            <w:vAlign w:val="center"/>
          </w:tcPr>
          <w:p>
            <w:r>
              <w:rPr>
                <w:sz w:val="19"/>
                <w:szCs w:val="19"/>
              </w:rPr>
              <w:t xml:space="preserve">Browse/Search Providers; Provider Categories; Provider Profile, Performance, Signals, Reviews, Risk Analysis, Subscribers, Subscription Plans; Subscribe to Provider; My Providers; Provider Comparison; Provider Consensus</w:t>
            </w:r>
          </w:p>
        </w:tc>
      </w:tr>
      <w:tr>
        <w:tc>
          <w:tcPr>
            <w:tcW w:type="dxa" w:w="500"/>
            <w:shd w:fill="EEF2F8" w:val="clear"/>
            <w:tcMar>
              <w:top w:type="dxa" w:w="70"/>
              <w:left w:type="dxa" w:w="110"/>
              <w:bottom w:type="dxa" w:w="70"/>
              <w:right w:type="dxa" w:w="110"/>
            </w:tcMar>
            <w:vAlign w:val="center"/>
          </w:tcPr>
          <w:p>
            <w:r>
              <w:rPr>
                <w:sz w:val="19"/>
                <w:szCs w:val="19"/>
              </w:rPr>
              <w:t xml:space="preserve">14</w:t>
            </w:r>
          </w:p>
        </w:tc>
        <w:tc>
          <w:tcPr>
            <w:tcW w:type="dxa" w:w="2200"/>
            <w:shd w:fill="EEF2F8" w:val="clear"/>
            <w:tcMar>
              <w:top w:type="dxa" w:w="70"/>
              <w:left w:type="dxa" w:w="110"/>
              <w:bottom w:type="dxa" w:w="70"/>
              <w:right w:type="dxa" w:w="110"/>
            </w:tcMar>
            <w:vAlign w:val="center"/>
          </w:tcPr>
          <w:p>
            <w:r>
              <w:rPr>
                <w:sz w:val="19"/>
                <w:szCs w:val="19"/>
              </w:rPr>
              <w:t xml:space="preserve">Trader Marketplace</w:t>
            </w:r>
          </w:p>
        </w:tc>
        <w:tc>
          <w:tcPr>
            <w:tcW w:type="dxa" w:w="6600"/>
            <w:shd w:fill="EEF2F8" w:val="clear"/>
            <w:tcMar>
              <w:top w:type="dxa" w:w="70"/>
              <w:left w:type="dxa" w:w="110"/>
              <w:bottom w:type="dxa" w:w="70"/>
              <w:right w:type="dxa" w:w="110"/>
            </w:tcMar>
            <w:vAlign w:val="center"/>
          </w:tcPr>
          <w:p>
            <w:r>
              <w:rPr>
                <w:sz w:val="19"/>
                <w:szCs w:val="19"/>
              </w:rPr>
              <w:t xml:space="preserve">Browse/Search Traders; Trader Categories; Trader Profile, Performance, Risk, Behavior, Intelligence, Trading Style, Reviews; Follow Trader; Copy Trading Settings; My Followed Traders</w:t>
            </w:r>
          </w:p>
        </w:tc>
      </w:tr>
      <w:tr>
        <w:tc>
          <w:tcPr>
            <w:tcW w:type="dxa" w:w="500"/>
            <w:shd w:fill="FFFFFF" w:val="clear"/>
            <w:tcMar>
              <w:top w:type="dxa" w:w="70"/>
              <w:left w:type="dxa" w:w="110"/>
              <w:bottom w:type="dxa" w:w="70"/>
              <w:right w:type="dxa" w:w="110"/>
            </w:tcMar>
            <w:vAlign w:val="center"/>
          </w:tcPr>
          <w:p>
            <w:r>
              <w:rPr>
                <w:sz w:val="19"/>
                <w:szCs w:val="19"/>
              </w:rPr>
              <w:t xml:space="preserve">15</w:t>
            </w:r>
          </w:p>
        </w:tc>
        <w:tc>
          <w:tcPr>
            <w:tcW w:type="dxa" w:w="2200"/>
            <w:shd w:fill="FFFFFF" w:val="clear"/>
            <w:tcMar>
              <w:top w:type="dxa" w:w="70"/>
              <w:left w:type="dxa" w:w="110"/>
              <w:bottom w:type="dxa" w:w="70"/>
              <w:right w:type="dxa" w:w="110"/>
            </w:tcMar>
            <w:vAlign w:val="center"/>
          </w:tcPr>
          <w:p>
            <w:r>
              <w:rPr>
                <w:sz w:val="19"/>
                <w:szCs w:val="19"/>
              </w:rPr>
              <w:t xml:space="preserve">Trader Intelligence</w:t>
            </w:r>
          </w:p>
        </w:tc>
        <w:tc>
          <w:tcPr>
            <w:tcW w:type="dxa" w:w="6600"/>
            <w:shd w:fill="FFFFFF" w:val="clear"/>
            <w:tcMar>
              <w:top w:type="dxa" w:w="70"/>
              <w:left w:type="dxa" w:w="110"/>
              <w:bottom w:type="dxa" w:w="70"/>
              <w:right w:type="dxa" w:w="110"/>
            </w:tcMar>
            <w:vAlign w:val="center"/>
          </w:tcPr>
          <w:p>
            <w:r>
              <w:rPr>
                <w:sz w:val="19"/>
                <w:szCs w:val="19"/>
              </w:rPr>
              <w:t xml:space="preserve">Intelligence Overview; Consistency &amp; Discipline Analysis; Average RR; Holding Time; Risk Behavior; Martingale/Grid Detection; News Exposure; Recovery Trading; Trading Style Classification; Behavior Timeline</w:t>
            </w:r>
          </w:p>
        </w:tc>
      </w:tr>
      <w:tr>
        <w:tc>
          <w:tcPr>
            <w:tcW w:type="dxa" w:w="500"/>
            <w:shd w:fill="EEF2F8" w:val="clear"/>
            <w:tcMar>
              <w:top w:type="dxa" w:w="70"/>
              <w:left w:type="dxa" w:w="110"/>
              <w:bottom w:type="dxa" w:w="70"/>
              <w:right w:type="dxa" w:w="110"/>
            </w:tcMar>
            <w:vAlign w:val="center"/>
          </w:tcPr>
          <w:p>
            <w:r>
              <w:rPr>
                <w:sz w:val="19"/>
                <w:szCs w:val="19"/>
              </w:rPr>
              <w:t xml:space="preserve">16</w:t>
            </w:r>
          </w:p>
        </w:tc>
        <w:tc>
          <w:tcPr>
            <w:tcW w:type="dxa" w:w="2200"/>
            <w:shd w:fill="EEF2F8" w:val="clear"/>
            <w:tcMar>
              <w:top w:type="dxa" w:w="70"/>
              <w:left w:type="dxa" w:w="110"/>
              <w:bottom w:type="dxa" w:w="70"/>
              <w:right w:type="dxa" w:w="110"/>
            </w:tcMar>
            <w:vAlign w:val="center"/>
          </w:tcPr>
          <w:p>
            <w:r>
              <w:rPr>
                <w:sz w:val="19"/>
                <w:szCs w:val="19"/>
              </w:rPr>
              <w:t xml:space="preserve">Referral &amp; Rewards</w:t>
            </w:r>
          </w:p>
        </w:tc>
        <w:tc>
          <w:tcPr>
            <w:tcW w:type="dxa" w:w="6600"/>
            <w:shd w:fill="EEF2F8" w:val="clear"/>
            <w:tcMar>
              <w:top w:type="dxa" w:w="70"/>
              <w:left w:type="dxa" w:w="110"/>
              <w:bottom w:type="dxa" w:w="70"/>
              <w:right w:type="dxa" w:w="110"/>
            </w:tcMar>
            <w:vAlign w:val="center"/>
          </w:tcPr>
          <w:p>
            <w:r>
              <w:rPr>
                <w:sz w:val="19"/>
                <w:szCs w:val="19"/>
              </w:rPr>
              <w:t xml:space="preserve">Referral Dashboard; My Referral Link/Code; Invite Friends; Referral Network; Referred Users; Referral Performance &amp; Earnings; Pending/Available Rewards; Referral Wallet; Reward History; Monthly Settlement; Referral Leaderboard; Referral Terms</w:t>
            </w:r>
          </w:p>
        </w:tc>
      </w:tr>
      <w:tr>
        <w:tc>
          <w:tcPr>
            <w:tcW w:type="dxa" w:w="500"/>
            <w:shd w:fill="FFFFFF" w:val="clear"/>
            <w:tcMar>
              <w:top w:type="dxa" w:w="70"/>
              <w:left w:type="dxa" w:w="110"/>
              <w:bottom w:type="dxa" w:w="70"/>
              <w:right w:type="dxa" w:w="110"/>
            </w:tcMar>
            <w:vAlign w:val="center"/>
          </w:tcPr>
          <w:p>
            <w:r>
              <w:rPr>
                <w:sz w:val="19"/>
                <w:szCs w:val="19"/>
              </w:rPr>
              <w:t xml:space="preserve">17</w:t>
            </w:r>
          </w:p>
        </w:tc>
        <w:tc>
          <w:tcPr>
            <w:tcW w:type="dxa" w:w="2200"/>
            <w:shd w:fill="FFFFFF" w:val="clear"/>
            <w:tcMar>
              <w:top w:type="dxa" w:w="70"/>
              <w:left w:type="dxa" w:w="110"/>
              <w:bottom w:type="dxa" w:w="70"/>
              <w:right w:type="dxa" w:w="110"/>
            </w:tcMar>
            <w:vAlign w:val="center"/>
          </w:tcPr>
          <w:p>
            <w:r>
              <w:rPr>
                <w:sz w:val="19"/>
                <w:szCs w:val="19"/>
              </w:rPr>
              <w:t xml:space="preserve">Subscriptions &amp; Billing</w:t>
            </w:r>
          </w:p>
        </w:tc>
        <w:tc>
          <w:tcPr>
            <w:tcW w:type="dxa" w:w="6600"/>
            <w:shd w:fill="FFFFFF" w:val="clear"/>
            <w:tcMar>
              <w:top w:type="dxa" w:w="70"/>
              <w:left w:type="dxa" w:w="110"/>
              <w:bottom w:type="dxa" w:w="70"/>
              <w:right w:type="dxa" w:w="110"/>
            </w:tcMar>
            <w:vAlign w:val="center"/>
          </w:tcPr>
          <w:p>
            <w:r>
              <w:rPr>
                <w:sz w:val="19"/>
                <w:szCs w:val="19"/>
              </w:rPr>
              <w:t xml:space="preserve">Pricing Plans; Subscription; My Subscription; Upgrade/Downgrade Plan; Billing History; Invoices; Payment Methods &amp; Details; Subscription Usage; Cancel Subscription</w:t>
            </w:r>
          </w:p>
        </w:tc>
      </w:tr>
      <w:tr>
        <w:tc>
          <w:tcPr>
            <w:tcW w:type="dxa" w:w="500"/>
            <w:shd w:fill="EEF2F8" w:val="clear"/>
            <w:tcMar>
              <w:top w:type="dxa" w:w="70"/>
              <w:left w:type="dxa" w:w="110"/>
              <w:bottom w:type="dxa" w:w="70"/>
              <w:right w:type="dxa" w:w="110"/>
            </w:tcMar>
            <w:vAlign w:val="center"/>
          </w:tcPr>
          <w:p>
            <w:r>
              <w:rPr>
                <w:sz w:val="19"/>
                <w:szCs w:val="19"/>
              </w:rPr>
              <w:t xml:space="preserve">18</w:t>
            </w:r>
          </w:p>
        </w:tc>
        <w:tc>
          <w:tcPr>
            <w:tcW w:type="dxa" w:w="2200"/>
            <w:shd w:fill="EEF2F8" w:val="clear"/>
            <w:tcMar>
              <w:top w:type="dxa" w:w="70"/>
              <w:left w:type="dxa" w:w="110"/>
              <w:bottom w:type="dxa" w:w="70"/>
              <w:right w:type="dxa" w:w="110"/>
            </w:tcMar>
            <w:vAlign w:val="center"/>
          </w:tcPr>
          <w:p>
            <w:r>
              <w:rPr>
                <w:sz w:val="19"/>
                <w:szCs w:val="19"/>
              </w:rPr>
              <w:t xml:space="preserve">Wallet &amp; Withdrawals</w:t>
            </w:r>
          </w:p>
        </w:tc>
        <w:tc>
          <w:tcPr>
            <w:tcW w:type="dxa" w:w="6600"/>
            <w:shd w:fill="EEF2F8" w:val="clear"/>
            <w:tcMar>
              <w:top w:type="dxa" w:w="70"/>
              <w:left w:type="dxa" w:w="110"/>
              <w:bottom w:type="dxa" w:w="70"/>
              <w:right w:type="dxa" w:w="110"/>
            </w:tcMar>
            <w:vAlign w:val="center"/>
          </w:tcPr>
          <w:p>
            <w:r>
              <w:rPr>
                <w:sz w:val="19"/>
                <w:szCs w:val="19"/>
              </w:rPr>
              <w:t xml:space="preserve">Wallet Overview; Available/Pending Balance; Transaction History; Withdrawal Request, Status &amp; History; Payment Accounts</w:t>
            </w:r>
          </w:p>
        </w:tc>
      </w:tr>
      <w:tr>
        <w:tc>
          <w:tcPr>
            <w:tcW w:type="dxa" w:w="500"/>
            <w:shd w:fill="FFFFFF" w:val="clear"/>
            <w:tcMar>
              <w:top w:type="dxa" w:w="70"/>
              <w:left w:type="dxa" w:w="110"/>
              <w:bottom w:type="dxa" w:w="70"/>
              <w:right w:type="dxa" w:w="110"/>
            </w:tcMar>
            <w:vAlign w:val="center"/>
          </w:tcPr>
          <w:p>
            <w:r>
              <w:rPr>
                <w:sz w:val="19"/>
                <w:szCs w:val="19"/>
              </w:rPr>
              <w:t xml:space="preserve">19</w:t>
            </w:r>
          </w:p>
        </w:tc>
        <w:tc>
          <w:tcPr>
            <w:tcW w:type="dxa" w:w="2200"/>
            <w:shd w:fill="FFFFFF" w:val="clear"/>
            <w:tcMar>
              <w:top w:type="dxa" w:w="70"/>
              <w:left w:type="dxa" w:w="110"/>
              <w:bottom w:type="dxa" w:w="70"/>
              <w:right w:type="dxa" w:w="110"/>
            </w:tcMar>
            <w:vAlign w:val="center"/>
          </w:tcPr>
          <w:p>
            <w:r>
              <w:rPr>
                <w:sz w:val="19"/>
                <w:szCs w:val="19"/>
              </w:rPr>
              <w:t xml:space="preserve">Provider Business Platform</w:t>
            </w:r>
          </w:p>
        </w:tc>
        <w:tc>
          <w:tcPr>
            <w:tcW w:type="dxa" w:w="6600"/>
            <w:shd w:fill="FFFFFF" w:val="clear"/>
            <w:tcMar>
              <w:top w:type="dxa" w:w="70"/>
              <w:left w:type="dxa" w:w="110"/>
              <w:bottom w:type="dxa" w:w="70"/>
              <w:right w:type="dxa" w:w="110"/>
            </w:tcMar>
            <w:vAlign w:val="center"/>
          </w:tcPr>
          <w:p>
            <w:r>
              <w:rPr>
                <w:sz w:val="19"/>
                <w:szCs w:val="19"/>
              </w:rPr>
              <w:t xml:space="preserve">Provider Dashboard; Profile Management; Subscribers; Revenue; Analytics; Signals; Provider DNA; Certification; Subscription Plans; Withdrawals; IB Management; Affiliate Management; Marketing Tools; Promotions; Reviews; Provider Settings</w:t>
            </w:r>
          </w:p>
        </w:tc>
      </w:tr>
      <w:tr>
        <w:tc>
          <w:tcPr>
            <w:tcW w:type="dxa" w:w="500"/>
            <w:shd w:fill="EEF2F8" w:val="clear"/>
            <w:tcMar>
              <w:top w:type="dxa" w:w="70"/>
              <w:left w:type="dxa" w:w="110"/>
              <w:bottom w:type="dxa" w:w="70"/>
              <w:right w:type="dxa" w:w="110"/>
            </w:tcMar>
            <w:vAlign w:val="center"/>
          </w:tcPr>
          <w:p>
            <w:r>
              <w:rPr>
                <w:sz w:val="19"/>
                <w:szCs w:val="19"/>
              </w:rPr>
              <w:t xml:space="preserve">20</w:t>
            </w:r>
          </w:p>
        </w:tc>
        <w:tc>
          <w:tcPr>
            <w:tcW w:type="dxa" w:w="2200"/>
            <w:shd w:fill="EEF2F8" w:val="clear"/>
            <w:tcMar>
              <w:top w:type="dxa" w:w="70"/>
              <w:left w:type="dxa" w:w="110"/>
              <w:bottom w:type="dxa" w:w="70"/>
              <w:right w:type="dxa" w:w="110"/>
            </w:tcMar>
            <w:vAlign w:val="center"/>
          </w:tcPr>
          <w:p>
            <w:r>
              <w:rPr>
                <w:sz w:val="19"/>
                <w:szCs w:val="19"/>
              </w:rPr>
              <w:t xml:space="preserve">Provider Certification</w:t>
            </w:r>
          </w:p>
        </w:tc>
        <w:tc>
          <w:tcPr>
            <w:tcW w:type="dxa" w:w="6600"/>
            <w:shd w:fill="EEF2F8" w:val="clear"/>
            <w:tcMar>
              <w:top w:type="dxa" w:w="70"/>
              <w:left w:type="dxa" w:w="110"/>
              <w:bottom w:type="dxa" w:w="70"/>
              <w:right w:type="dxa" w:w="110"/>
            </w:tcMar>
            <w:vAlign w:val="center"/>
          </w:tcPr>
          <w:p>
            <w:r>
              <w:rPr>
                <w:sz w:val="19"/>
                <w:szCs w:val="19"/>
              </w:rPr>
              <w:t xml:space="preserve">Certification Dashboard; Import Historical Messages; Training Dataset; Parsing Accuracy; Backtesting; Expected Performance; Risk Assessment; Consistency Score; Quality Score; Certification Result &amp; History</w:t>
            </w:r>
          </w:p>
        </w:tc>
      </w:tr>
      <w:tr>
        <w:tc>
          <w:tcPr>
            <w:tcW w:type="dxa" w:w="500"/>
            <w:shd w:fill="FFFFFF" w:val="clear"/>
            <w:tcMar>
              <w:top w:type="dxa" w:w="70"/>
              <w:left w:type="dxa" w:w="110"/>
              <w:bottom w:type="dxa" w:w="70"/>
              <w:right w:type="dxa" w:w="110"/>
            </w:tcMar>
            <w:vAlign w:val="center"/>
          </w:tcPr>
          <w:p>
            <w:r>
              <w:rPr>
                <w:sz w:val="19"/>
                <w:szCs w:val="19"/>
              </w:rPr>
              <w:t xml:space="preserve">21</w:t>
            </w:r>
          </w:p>
        </w:tc>
        <w:tc>
          <w:tcPr>
            <w:tcW w:type="dxa" w:w="2200"/>
            <w:shd w:fill="FFFFFF" w:val="clear"/>
            <w:tcMar>
              <w:top w:type="dxa" w:w="70"/>
              <w:left w:type="dxa" w:w="110"/>
              <w:bottom w:type="dxa" w:w="70"/>
              <w:right w:type="dxa" w:w="110"/>
            </w:tcMar>
            <w:vAlign w:val="center"/>
          </w:tcPr>
          <w:p>
            <w:r>
              <w:rPr>
                <w:sz w:val="19"/>
                <w:szCs w:val="19"/>
              </w:rPr>
              <w:t xml:space="preserve">Affiliate &amp; IB</w:t>
            </w:r>
          </w:p>
        </w:tc>
        <w:tc>
          <w:tcPr>
            <w:tcW w:type="dxa" w:w="6600"/>
            <w:shd w:fill="FFFFFF" w:val="clear"/>
            <w:tcMar>
              <w:top w:type="dxa" w:w="70"/>
              <w:left w:type="dxa" w:w="110"/>
              <w:bottom w:type="dxa" w:w="70"/>
              <w:right w:type="dxa" w:w="110"/>
            </w:tcMar>
            <w:vAlign w:val="center"/>
          </w:tcPr>
          <w:p>
            <w:r>
              <w:rPr>
                <w:sz w:val="19"/>
                <w:szCs w:val="19"/>
              </w:rPr>
              <w:t xml:space="preserve">Affiliate Dashboard; Affiliate Links, Referrals, Commissions; IB Dashboard; Broker Referral Links; IB Referrals &amp; Revenue; Commission History</w:t>
            </w:r>
          </w:p>
        </w:tc>
      </w:tr>
      <w:tr>
        <w:tc>
          <w:tcPr>
            <w:tcW w:type="dxa" w:w="500"/>
            <w:shd w:fill="EEF2F8" w:val="clear"/>
            <w:tcMar>
              <w:top w:type="dxa" w:w="70"/>
              <w:left w:type="dxa" w:w="110"/>
              <w:bottom w:type="dxa" w:w="70"/>
              <w:right w:type="dxa" w:w="110"/>
            </w:tcMar>
            <w:vAlign w:val="center"/>
          </w:tcPr>
          <w:p>
            <w:r>
              <w:rPr>
                <w:sz w:val="19"/>
                <w:szCs w:val="19"/>
              </w:rPr>
              <w:t xml:space="preserve">22</w:t>
            </w:r>
          </w:p>
        </w:tc>
        <w:tc>
          <w:tcPr>
            <w:tcW w:type="dxa" w:w="2200"/>
            <w:shd w:fill="EEF2F8" w:val="clear"/>
            <w:tcMar>
              <w:top w:type="dxa" w:w="70"/>
              <w:left w:type="dxa" w:w="110"/>
              <w:bottom w:type="dxa" w:w="70"/>
              <w:right w:type="dxa" w:w="110"/>
            </w:tcMar>
            <w:vAlign w:val="center"/>
          </w:tcPr>
          <w:p>
            <w:r>
              <w:rPr>
                <w:sz w:val="19"/>
                <w:szCs w:val="19"/>
              </w:rPr>
              <w:t xml:space="preserve">White-Label Platform</w:t>
            </w:r>
          </w:p>
        </w:tc>
        <w:tc>
          <w:tcPr>
            <w:tcW w:type="dxa" w:w="6600"/>
            <w:shd w:fill="EEF2F8" w:val="clear"/>
            <w:tcMar>
              <w:top w:type="dxa" w:w="70"/>
              <w:left w:type="dxa" w:w="110"/>
              <w:bottom w:type="dxa" w:w="70"/>
              <w:right w:type="dxa" w:w="110"/>
            </w:tcMar>
            <w:vAlign w:val="center"/>
          </w:tcPr>
          <w:p>
            <w:r>
              <w:rPr>
                <w:sz w:val="19"/>
                <w:szCs w:val="19"/>
              </w:rPr>
              <w:t xml:space="preserve">White Label Dashboard; Brand Configuration; Logo &amp; Branding; Domain Configuration; Theme Configuration; Custom Pricing; White Label Analytics, Users, Revenue, Settings</w:t>
            </w:r>
          </w:p>
        </w:tc>
      </w:tr>
      <w:tr>
        <w:tc>
          <w:tcPr>
            <w:tcW w:type="dxa" w:w="500"/>
            <w:shd w:fill="FFFFFF" w:val="clear"/>
            <w:tcMar>
              <w:top w:type="dxa" w:w="70"/>
              <w:left w:type="dxa" w:w="110"/>
              <w:bottom w:type="dxa" w:w="70"/>
              <w:right w:type="dxa" w:w="110"/>
            </w:tcMar>
            <w:vAlign w:val="center"/>
          </w:tcPr>
          <w:p>
            <w:r>
              <w:rPr>
                <w:sz w:val="19"/>
                <w:szCs w:val="19"/>
              </w:rPr>
              <w:t xml:space="preserve">23</w:t>
            </w:r>
          </w:p>
        </w:tc>
        <w:tc>
          <w:tcPr>
            <w:tcW w:type="dxa" w:w="2200"/>
            <w:shd w:fill="FFFFFF" w:val="clear"/>
            <w:tcMar>
              <w:top w:type="dxa" w:w="70"/>
              <w:left w:type="dxa" w:w="110"/>
              <w:bottom w:type="dxa" w:w="70"/>
              <w:right w:type="dxa" w:w="110"/>
            </w:tcMar>
            <w:vAlign w:val="center"/>
          </w:tcPr>
          <w:p>
            <w:r>
              <w:rPr>
                <w:sz w:val="19"/>
                <w:szCs w:val="19"/>
              </w:rPr>
              <w:t xml:space="preserve">Notifications</w:t>
            </w:r>
          </w:p>
        </w:tc>
        <w:tc>
          <w:tcPr>
            <w:tcW w:type="dxa" w:w="6600"/>
            <w:shd w:fill="FFFFFF" w:val="clear"/>
            <w:tcMar>
              <w:top w:type="dxa" w:w="70"/>
              <w:left w:type="dxa" w:w="110"/>
              <w:bottom w:type="dxa" w:w="70"/>
              <w:right w:type="dxa" w:w="110"/>
            </w:tcMar>
            <w:vAlign w:val="center"/>
          </w:tcPr>
          <w:p>
            <w:r>
              <w:rPr>
                <w:sz w:val="19"/>
                <w:szCs w:val="19"/>
              </w:rPr>
              <w:t xml:space="preserve">Notification Center; Trade/Signal/KYC/Referral/Payment/Security/System Notifications; Notification Preferences</w:t>
            </w:r>
          </w:p>
        </w:tc>
      </w:tr>
      <w:tr>
        <w:tc>
          <w:tcPr>
            <w:tcW w:type="dxa" w:w="500"/>
            <w:shd w:fill="EEF2F8" w:val="clear"/>
            <w:tcMar>
              <w:top w:type="dxa" w:w="70"/>
              <w:left w:type="dxa" w:w="110"/>
              <w:bottom w:type="dxa" w:w="70"/>
              <w:right w:type="dxa" w:w="110"/>
            </w:tcMar>
            <w:vAlign w:val="center"/>
          </w:tcPr>
          <w:p>
            <w:r>
              <w:rPr>
                <w:sz w:val="19"/>
                <w:szCs w:val="19"/>
              </w:rPr>
              <w:t xml:space="preserve">24</w:t>
            </w:r>
          </w:p>
        </w:tc>
        <w:tc>
          <w:tcPr>
            <w:tcW w:type="dxa" w:w="2200"/>
            <w:shd w:fill="EEF2F8" w:val="clear"/>
            <w:tcMar>
              <w:top w:type="dxa" w:w="70"/>
              <w:left w:type="dxa" w:w="110"/>
              <w:bottom w:type="dxa" w:w="70"/>
              <w:right w:type="dxa" w:w="110"/>
            </w:tcMar>
            <w:vAlign w:val="center"/>
          </w:tcPr>
          <w:p>
            <w:r>
              <w:rPr>
                <w:sz w:val="19"/>
                <w:szCs w:val="19"/>
              </w:rPr>
              <w:t xml:space="preserve">User Settings</w:t>
            </w:r>
          </w:p>
        </w:tc>
        <w:tc>
          <w:tcPr>
            <w:tcW w:type="dxa" w:w="6600"/>
            <w:shd w:fill="EEF2F8" w:val="clear"/>
            <w:tcMar>
              <w:top w:type="dxa" w:w="70"/>
              <w:left w:type="dxa" w:w="110"/>
              <w:bottom w:type="dxa" w:w="70"/>
              <w:right w:type="dxa" w:w="110"/>
            </w:tcMar>
            <w:vAlign w:val="center"/>
          </w:tcPr>
          <w:p>
            <w:r>
              <w:rPr>
                <w:sz w:val="19"/>
                <w:szCs w:val="19"/>
              </w:rPr>
              <w:t xml:space="preserve">Profile &amp; Account Settings; Security Settings; 2FA Settings; Connected Devices/Accounts; Broker &amp; Signal Source Settings; Trading &amp; Risk Preferences; Notification Settings; Privacy Settings; API Keys; Data &amp; Privacy; Delete Account</w:t>
            </w:r>
          </w:p>
        </w:tc>
      </w:tr>
      <w:tr>
        <w:tc>
          <w:tcPr>
            <w:tcW w:type="dxa" w:w="500"/>
            <w:shd w:fill="FFFFFF" w:val="clear"/>
            <w:tcMar>
              <w:top w:type="dxa" w:w="70"/>
              <w:left w:type="dxa" w:w="110"/>
              <w:bottom w:type="dxa" w:w="70"/>
              <w:right w:type="dxa" w:w="110"/>
            </w:tcMar>
            <w:vAlign w:val="center"/>
          </w:tcPr>
          <w:p>
            <w:r>
              <w:rPr>
                <w:sz w:val="19"/>
                <w:szCs w:val="19"/>
              </w:rPr>
              <w:t xml:space="preserve">25</w:t>
            </w:r>
          </w:p>
        </w:tc>
        <w:tc>
          <w:tcPr>
            <w:tcW w:type="dxa" w:w="2200"/>
            <w:shd w:fill="FFFFFF" w:val="clear"/>
            <w:tcMar>
              <w:top w:type="dxa" w:w="70"/>
              <w:left w:type="dxa" w:w="110"/>
              <w:bottom w:type="dxa" w:w="70"/>
              <w:right w:type="dxa" w:w="110"/>
            </w:tcMar>
            <w:vAlign w:val="center"/>
          </w:tcPr>
          <w:p>
            <w:r>
              <w:rPr>
                <w:sz w:val="19"/>
                <w:szCs w:val="19"/>
              </w:rPr>
              <w:t xml:space="preserve">Admin Dashboard</w:t>
            </w:r>
          </w:p>
        </w:tc>
        <w:tc>
          <w:tcPr>
            <w:tcW w:type="dxa" w:w="6600"/>
            <w:shd w:fill="FFFFFF" w:val="clear"/>
            <w:tcMar>
              <w:top w:type="dxa" w:w="70"/>
              <w:left w:type="dxa" w:w="110"/>
              <w:bottom w:type="dxa" w:w="70"/>
              <w:right w:type="dxa" w:w="110"/>
            </w:tcMar>
            <w:vAlign w:val="center"/>
          </w:tcPr>
          <w:p>
            <w:r>
              <w:rPr>
                <w:sz w:val="19"/>
                <w:szCs w:val="19"/>
              </w:rPr>
              <w:t xml:space="preserve">Admin Overview; User Management &amp; Restrictions; KYC Management &amp; Queue; Provider/Trader Management; Signal Source Management; Broker Management; Live Trade &amp; Signal Monitor; AI &amp; Provider DNA Monitoring; Risk Monitoring; Referral/Subscription/Payment/Withdrawal/Affiliate Management; Marketplace Moderation; Reports; System Analytics; Audit Logs; Security Center; System Settings</w:t>
            </w:r>
          </w:p>
        </w:tc>
      </w:tr>
      <w:tr>
        <w:tc>
          <w:tcPr>
            <w:tcW w:type="dxa" w:w="500"/>
            <w:shd w:fill="EEF2F8" w:val="clear"/>
            <w:tcMar>
              <w:top w:type="dxa" w:w="70"/>
              <w:left w:type="dxa" w:w="110"/>
              <w:bottom w:type="dxa" w:w="70"/>
              <w:right w:type="dxa" w:w="110"/>
            </w:tcMar>
            <w:vAlign w:val="center"/>
          </w:tcPr>
          <w:p>
            <w:r>
              <w:rPr>
                <w:sz w:val="19"/>
                <w:szCs w:val="19"/>
              </w:rPr>
              <w:t xml:space="preserve">26</w:t>
            </w:r>
          </w:p>
        </w:tc>
        <w:tc>
          <w:tcPr>
            <w:tcW w:type="dxa" w:w="2200"/>
            <w:shd w:fill="EEF2F8" w:val="clear"/>
            <w:tcMar>
              <w:top w:type="dxa" w:w="70"/>
              <w:left w:type="dxa" w:w="110"/>
              <w:bottom w:type="dxa" w:w="70"/>
              <w:right w:type="dxa" w:w="110"/>
            </w:tcMar>
            <w:vAlign w:val="center"/>
          </w:tcPr>
          <w:p>
            <w:r>
              <w:rPr>
                <w:sz w:val="19"/>
                <w:szCs w:val="19"/>
              </w:rPr>
              <w:t xml:space="preserve">Compliance / KYC Admin</w:t>
            </w:r>
          </w:p>
        </w:tc>
        <w:tc>
          <w:tcPr>
            <w:tcW w:type="dxa" w:w="6600"/>
            <w:shd w:fill="EEF2F8" w:val="clear"/>
            <w:tcMar>
              <w:top w:type="dxa" w:w="70"/>
              <w:left w:type="dxa" w:w="110"/>
              <w:bottom w:type="dxa" w:w="70"/>
              <w:right w:type="dxa" w:w="110"/>
            </w:tcMar>
            <w:vAlign w:val="center"/>
          </w:tcPr>
          <w:p>
            <w:r>
              <w:rPr>
                <w:sz w:val="19"/>
                <w:szCs w:val="19"/>
              </w:rPr>
              <w:t xml:space="preserve">Compliance Dashboard; KYC Queue (Pending, Under Review, Verified, Rejected, Suspended); Document Types; Verification Providers; Risk Flags; Compliance Reports; KYC Audit Trail</w:t>
            </w:r>
          </w:p>
        </w:tc>
      </w:tr>
      <w:tr>
        <w:tc>
          <w:tcPr>
            <w:tcW w:type="dxa" w:w="500"/>
            <w:shd w:fill="FFFFFF" w:val="clear"/>
            <w:tcMar>
              <w:top w:type="dxa" w:w="70"/>
              <w:left w:type="dxa" w:w="110"/>
              <w:bottom w:type="dxa" w:w="70"/>
              <w:right w:type="dxa" w:w="110"/>
            </w:tcMar>
            <w:vAlign w:val="center"/>
          </w:tcPr>
          <w:p>
            <w:r>
              <w:rPr>
                <w:sz w:val="19"/>
                <w:szCs w:val="19"/>
              </w:rPr>
              <w:t xml:space="preserve">27</w:t>
            </w:r>
          </w:p>
        </w:tc>
        <w:tc>
          <w:tcPr>
            <w:tcW w:type="dxa" w:w="2200"/>
            <w:shd w:fill="FFFFFF" w:val="clear"/>
            <w:tcMar>
              <w:top w:type="dxa" w:w="70"/>
              <w:left w:type="dxa" w:w="110"/>
              <w:bottom w:type="dxa" w:w="70"/>
              <w:right w:type="dxa" w:w="110"/>
            </w:tcMar>
            <w:vAlign w:val="center"/>
          </w:tcPr>
          <w:p>
            <w:r>
              <w:rPr>
                <w:sz w:val="19"/>
                <w:szCs w:val="19"/>
              </w:rPr>
              <w:t xml:space="preserve">Executive / Business Intelligence</w:t>
            </w:r>
          </w:p>
        </w:tc>
        <w:tc>
          <w:tcPr>
            <w:tcW w:type="dxa" w:w="6600"/>
            <w:shd w:fill="FFFFFF" w:val="clear"/>
            <w:tcMar>
              <w:top w:type="dxa" w:w="70"/>
              <w:left w:type="dxa" w:w="110"/>
              <w:bottom w:type="dxa" w:w="70"/>
              <w:right w:type="dxa" w:w="110"/>
            </w:tcMar>
            <w:vAlign w:val="center"/>
          </w:tcPr>
          <w:p>
            <w:r>
              <w:rPr>
                <w:sz w:val="19"/>
                <w:szCs w:val="19"/>
              </w:rPr>
              <w:t xml:space="preserve">Executive Dashboard; Subscription/Marketplace/Provider/Affiliate/IB Revenue; Referral Cost; Net Platform Revenue; User/Provider/Trader Growth; Trading Volume; Platform Performance; Retention &amp; Conversion Analytics; Financial Reports</w:t>
            </w:r>
          </w:p>
        </w:tc>
      </w:tr>
      <w:tr>
        <w:tc>
          <w:tcPr>
            <w:tcW w:type="dxa" w:w="500"/>
            <w:shd w:fill="EEF2F8" w:val="clear"/>
            <w:tcMar>
              <w:top w:type="dxa" w:w="70"/>
              <w:left w:type="dxa" w:w="110"/>
              <w:bottom w:type="dxa" w:w="70"/>
              <w:right w:type="dxa" w:w="110"/>
            </w:tcMar>
            <w:vAlign w:val="center"/>
          </w:tcPr>
          <w:p>
            <w:r>
              <w:rPr>
                <w:sz w:val="19"/>
                <w:szCs w:val="19"/>
              </w:rPr>
              <w:t xml:space="preserve">28</w:t>
            </w:r>
          </w:p>
        </w:tc>
        <w:tc>
          <w:tcPr>
            <w:tcW w:type="dxa" w:w="2200"/>
            <w:shd w:fill="EEF2F8" w:val="clear"/>
            <w:tcMar>
              <w:top w:type="dxa" w:w="70"/>
              <w:left w:type="dxa" w:w="110"/>
              <w:bottom w:type="dxa" w:w="70"/>
              <w:right w:type="dxa" w:w="110"/>
            </w:tcMar>
            <w:vAlign w:val="center"/>
          </w:tcPr>
          <w:p>
            <w:r>
              <w:rPr>
                <w:sz w:val="19"/>
                <w:szCs w:val="19"/>
              </w:rPr>
              <w:t xml:space="preserve">Support</w:t>
            </w:r>
          </w:p>
        </w:tc>
        <w:tc>
          <w:tcPr>
            <w:tcW w:type="dxa" w:w="6600"/>
            <w:shd w:fill="EEF2F8" w:val="clear"/>
            <w:tcMar>
              <w:top w:type="dxa" w:w="70"/>
              <w:left w:type="dxa" w:w="110"/>
              <w:bottom w:type="dxa" w:w="70"/>
              <w:right w:type="dxa" w:w="110"/>
            </w:tcMar>
            <w:vAlign w:val="center"/>
          </w:tcPr>
          <w:p>
            <w:r>
              <w:rPr>
                <w:sz w:val="19"/>
                <w:szCs w:val="19"/>
              </w:rPr>
              <w:t xml:space="preserve">Help Center; Support Dashboard; Create/View Tickets; Knowledge Base; Trading/KYC/Billing FAQ; Technical Support</w:t>
            </w:r>
          </w:p>
        </w:tc>
      </w:tr>
      <w:tr>
        <w:tc>
          <w:tcPr>
            <w:tcW w:type="dxa" w:w="500"/>
            <w:shd w:fill="FFFFFF" w:val="clear"/>
            <w:tcMar>
              <w:top w:type="dxa" w:w="70"/>
              <w:left w:type="dxa" w:w="110"/>
              <w:bottom w:type="dxa" w:w="70"/>
              <w:right w:type="dxa" w:w="110"/>
            </w:tcMar>
            <w:vAlign w:val="center"/>
          </w:tcPr>
          <w:p>
            <w:r>
              <w:rPr>
                <w:sz w:val="19"/>
                <w:szCs w:val="19"/>
              </w:rPr>
              <w:t xml:space="preserve">29</w:t>
            </w:r>
          </w:p>
        </w:tc>
        <w:tc>
          <w:tcPr>
            <w:tcW w:type="dxa" w:w="2200"/>
            <w:shd w:fill="FFFFFF" w:val="clear"/>
            <w:tcMar>
              <w:top w:type="dxa" w:w="70"/>
              <w:left w:type="dxa" w:w="110"/>
              <w:bottom w:type="dxa" w:w="70"/>
              <w:right w:type="dxa" w:w="110"/>
            </w:tcMar>
            <w:vAlign w:val="center"/>
          </w:tcPr>
          <w:p>
            <w:r>
              <w:rPr>
                <w:sz w:val="19"/>
                <w:szCs w:val="19"/>
              </w:rPr>
              <w:t xml:space="preserve">Replay &amp; Debugging</w:t>
            </w:r>
          </w:p>
        </w:tc>
        <w:tc>
          <w:tcPr>
            <w:tcW w:type="dxa" w:w="6600"/>
            <w:shd w:fill="FFFFFF" w:val="clear"/>
            <w:tcMar>
              <w:top w:type="dxa" w:w="70"/>
              <w:left w:type="dxa" w:w="110"/>
              <w:bottom w:type="dxa" w:w="70"/>
              <w:right w:type="dxa" w:w="110"/>
            </w:tcMar>
            <w:vAlign w:val="center"/>
          </w:tcPr>
          <w:p>
            <w:r>
              <w:rPr>
                <w:sz w:val="19"/>
                <w:szCs w:val="19"/>
              </w:rPr>
              <w:t xml:space="preserve">Replay Center; Trade/Signal/AI Processing/Risk Decision/Execution/Provider Message Replay; System Event Timeline</w:t>
            </w:r>
          </w:p>
        </w:tc>
      </w:tr>
    </w:tbl>
    <w:p>
      <w:pPr>
        <w:spacing w:after="100"/>
      </w:pPr>
    </w:p>
    <w:p>
      <w:pPr>
        <w:pStyle w:val="Heading2"/>
        <w:spacing w:after="140" w:before="320"/>
      </w:pPr>
      <w:r>
        <w:rPr>
          <w:b/>
          <w:bCs/>
          <w:color w:val="2F5597"/>
          <w:sz w:val="24"/>
          <w:szCs w:val="24"/>
        </w:rPr>
        <w:t xml:space="preserve">16.2 Category Notes &amp; Key Flows</w:t>
      </w:r>
    </w:p>
    <w:p>
      <w:pPr>
        <w:pStyle w:val="Heading3"/>
        <w:spacing w:after="100" w:before="220"/>
      </w:pPr>
      <w:r>
        <w:rPr>
          <w:b/>
          <w:bCs/>
          <w:color w:val="1F2A44"/>
          <w:sz w:val="21"/>
          <w:szCs w:val="21"/>
        </w:rPr>
        <w:t xml:space="preserve">Public Website</w:t>
      </w:r>
    </w:p>
    <w:p>
      <w:pPr>
        <w:spacing w:after="140" w:line="276"/>
      </w:pPr>
      <w:r>
        <w:rPr>
          <w:color w:val="222222"/>
          <w:sz w:val="21"/>
          <w:szCs w:val="21"/>
        </w:rPr>
        <w:t xml:space="preserve">Marketing pages must communicate that SignalForge is more than a Telegram copier — it is positioned as an AI-powered trading intelligence platform combining signal understanding, execution, copy trading, risk management, analytics, and marketplaces.</w:t>
      </w:r>
    </w:p>
    <w:p>
      <w:pPr>
        <w:pStyle w:val="Heading3"/>
        <w:spacing w:after="100" w:before="220"/>
      </w:pPr>
      <w:r>
        <w:rPr>
          <w:b/>
          <w:bCs/>
          <w:color w:val="1F2A44"/>
          <w:sz w:val="21"/>
          <w:szCs w:val="21"/>
        </w:rPr>
        <w:t xml:space="preserve">KYC &amp; Identity</w:t>
      </w:r>
    </w:p>
    <w:p>
      <w:pPr>
        <w:spacing w:after="140" w:line="276"/>
      </w:pPr>
      <w:r>
        <w:rPr>
          <w:color w:val="222222"/>
          <w:sz w:val="21"/>
          <w:szCs w:val="21"/>
        </w:rPr>
        <w:t xml:space="preserve">The KYC status dashboard drives a linear verification flow, with an explicit resubmission loop on rejection:</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NOT VERIFIED   →   PENDING   →   UNDER REVIEW   →   VERIFIED</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REJECTED   →   RESUBMIT</w:t>
      </w:r>
    </w:p>
    <w:p>
      <w:pPr>
        <w:spacing w:after="140" w:line="276"/>
      </w:pPr>
      <w:r>
        <w:rPr>
          <w:color w:val="222222"/>
          <w:sz w:val="21"/>
          <w:szCs w:val="21"/>
        </w:rPr>
        <w:t xml:space="preserve">Rather than existing as an isolated section, KYC status is surfaced contextually wherever a gated feature is reached (e.g. “Account not verified — Complete KYC to unlock this feature”).</w:t>
      </w:r>
    </w:p>
    <w:p>
      <w:pPr>
        <w:pStyle w:val="Heading3"/>
        <w:spacing w:after="100" w:before="220"/>
      </w:pPr>
      <w:r>
        <w:rPr>
          <w:b/>
          <w:bCs/>
          <w:color w:val="1F2A44"/>
          <w:sz w:val="21"/>
          <w:szCs w:val="21"/>
        </w:rPr>
        <w:t xml:space="preserve">User Dashboard</w:t>
      </w:r>
    </w:p>
    <w:p>
      <w:pPr>
        <w:spacing w:after="140" w:line="276"/>
      </w:pPr>
      <w:r>
        <w:rPr>
          <w:color w:val="222222"/>
          <w:sz w:val="21"/>
          <w:szCs w:val="21"/>
        </w:rPr>
        <w:t xml:space="preserve">The dashboard is the user's operating center, unifying trading activity, account health, signals, performance, and security in one view rather than forcing navigation across separate systems.</w:t>
      </w:r>
    </w:p>
    <w:p>
      <w:pPr>
        <w:pStyle w:val="Heading3"/>
        <w:spacing w:after="100" w:before="220"/>
      </w:pPr>
      <w:r>
        <w:rPr>
          <w:b/>
          <w:bCs/>
          <w:color w:val="1F2A44"/>
          <w:sz w:val="21"/>
          <w:szCs w:val="21"/>
        </w:rPr>
        <w:t xml:space="preserve">Signal Sources — Telegram User Session Flow</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Telegram Account   →   Telegram User Session   →   Connected Channels   →   Incoming Messages   →   Signal Detection   →   AI / Provider DNA   →   Risk Engine   →   Execution</w:t>
      </w:r>
    </w:p>
    <w:p>
      <w:pPr>
        <w:pStyle w:val="Heading3"/>
        <w:spacing w:after="100" w:before="220"/>
      </w:pPr>
      <w:r>
        <w:rPr>
          <w:b/>
          <w:bCs/>
          <w:color w:val="1F2A44"/>
          <w:sz w:val="21"/>
          <w:szCs w:val="21"/>
        </w:rPr>
        <w:t xml:space="preserve">Provider DNA — Example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5597" w:val="clear"/>
            <w:tcMar>
              <w:top w:type="dxa" w:w="90"/>
              <w:left w:type="dxa" w:w="110"/>
              <w:bottom w:type="dxa" w:w="90"/>
              <w:right w:type="dxa" w:w="110"/>
            </w:tcMar>
            <w:vAlign w:val="center"/>
          </w:tcPr>
          <w:p>
            <w:r>
              <w:rPr>
                <w:b/>
                <w:bCs/>
                <w:color w:val="FFFFFF"/>
                <w:sz w:val="19"/>
                <w:szCs w:val="19"/>
              </w:rPr>
              <w:t xml:space="preserve">Attribute</w:t>
            </w:r>
          </w:p>
        </w:tc>
        <w:tc>
          <w:tcPr>
            <w:tcW w:type="dxa" w:w="5800"/>
            <w:shd w:fill="2F5597" w:val="clear"/>
            <w:tcMar>
              <w:top w:type="dxa" w:w="90"/>
              <w:left w:type="dxa" w:w="110"/>
              <w:bottom w:type="dxa" w:w="90"/>
              <w:right w:type="dxa" w:w="110"/>
            </w:tcMar>
            <w:vAlign w:val="center"/>
          </w:tcPr>
          <w:p>
            <w:r>
              <w:rPr>
                <w:b/>
                <w:bCs/>
                <w:color w:val="FFFFFF"/>
                <w:sz w:val="19"/>
                <w:szCs w:val="19"/>
              </w:rPr>
              <w:t xml:space="preserve">Value</w:t>
            </w:r>
          </w:p>
        </w:tc>
      </w:tr>
      <w:tr>
        <w:tc>
          <w:tcPr>
            <w:tcW w:type="dxa" w:w="3200"/>
            <w:shd w:fill="FFFFFF" w:val="clear"/>
            <w:tcMar>
              <w:top w:type="dxa" w:w="70"/>
              <w:left w:type="dxa" w:w="110"/>
              <w:bottom w:type="dxa" w:w="70"/>
              <w:right w:type="dxa" w:w="110"/>
            </w:tcMar>
            <w:vAlign w:val="center"/>
          </w:tcPr>
          <w:p>
            <w:r>
              <w:rPr>
                <w:sz w:val="19"/>
                <w:szCs w:val="19"/>
              </w:rPr>
              <w:t xml:space="preserve">Provider</w:t>
            </w:r>
          </w:p>
        </w:tc>
        <w:tc>
          <w:tcPr>
            <w:tcW w:type="dxa" w:w="5800"/>
            <w:shd w:fill="FFFFFF" w:val="clear"/>
            <w:tcMar>
              <w:top w:type="dxa" w:w="70"/>
              <w:left w:type="dxa" w:w="110"/>
              <w:bottom w:type="dxa" w:w="70"/>
              <w:right w:type="dxa" w:w="110"/>
            </w:tcMar>
            <w:vAlign w:val="center"/>
          </w:tcPr>
          <w:p>
            <w:r>
              <w:rPr>
                <w:sz w:val="19"/>
                <w:szCs w:val="19"/>
              </w:rPr>
              <w:t xml:space="preserve">Trader X</w:t>
            </w:r>
          </w:p>
        </w:tc>
      </w:tr>
      <w:tr>
        <w:tc>
          <w:tcPr>
            <w:tcW w:type="dxa" w:w="3200"/>
            <w:shd w:fill="EEF2F8" w:val="clear"/>
            <w:tcMar>
              <w:top w:type="dxa" w:w="70"/>
              <w:left w:type="dxa" w:w="110"/>
              <w:bottom w:type="dxa" w:w="70"/>
              <w:right w:type="dxa" w:w="110"/>
            </w:tcMar>
            <w:vAlign w:val="center"/>
          </w:tcPr>
          <w:p>
            <w:r>
              <w:rPr>
                <w:sz w:val="19"/>
                <w:szCs w:val="19"/>
              </w:rPr>
              <w:t xml:space="preserve">Language</w:t>
            </w:r>
          </w:p>
        </w:tc>
        <w:tc>
          <w:tcPr>
            <w:tcW w:type="dxa" w:w="5800"/>
            <w:shd w:fill="EEF2F8" w:val="clear"/>
            <w:tcMar>
              <w:top w:type="dxa" w:w="70"/>
              <w:left w:type="dxa" w:w="110"/>
              <w:bottom w:type="dxa" w:w="70"/>
              <w:right w:type="dxa" w:w="110"/>
            </w:tcMar>
            <w:vAlign w:val="center"/>
          </w:tcPr>
          <w:p>
            <w:r>
              <w:rPr>
                <w:sz w:val="19"/>
                <w:szCs w:val="19"/>
              </w:rPr>
              <w:t xml:space="preserve">Portuguese</w:t>
            </w:r>
          </w:p>
        </w:tc>
      </w:tr>
      <w:tr>
        <w:tc>
          <w:tcPr>
            <w:tcW w:type="dxa" w:w="3200"/>
            <w:shd w:fill="FFFFFF" w:val="clear"/>
            <w:tcMar>
              <w:top w:type="dxa" w:w="70"/>
              <w:left w:type="dxa" w:w="110"/>
              <w:bottom w:type="dxa" w:w="70"/>
              <w:right w:type="dxa" w:w="110"/>
            </w:tcMar>
            <w:vAlign w:val="center"/>
          </w:tcPr>
          <w:p>
            <w:r>
              <w:rPr>
                <w:sz w:val="19"/>
                <w:szCs w:val="19"/>
              </w:rPr>
              <w:t xml:space="preserve">Gold</w:t>
            </w:r>
          </w:p>
        </w:tc>
        <w:tc>
          <w:tcPr>
            <w:tcW w:type="dxa" w:w="5800"/>
            <w:shd w:fill="FFFFFF" w:val="clear"/>
            <w:tcMar>
              <w:top w:type="dxa" w:w="70"/>
              <w:left w:type="dxa" w:w="110"/>
              <w:bottom w:type="dxa" w:w="70"/>
              <w:right w:type="dxa" w:w="110"/>
            </w:tcMar>
            <w:vAlign w:val="center"/>
          </w:tcPr>
          <w:p>
            <w:r>
              <w:rPr>
                <w:sz w:val="19"/>
                <w:szCs w:val="19"/>
              </w:rPr>
              <w:t xml:space="preserve">XAUUSD</w:t>
            </w:r>
          </w:p>
        </w:tc>
      </w:tr>
      <w:tr>
        <w:tc>
          <w:tcPr>
            <w:tcW w:type="dxa" w:w="3200"/>
            <w:shd w:fill="EEF2F8" w:val="clear"/>
            <w:tcMar>
              <w:top w:type="dxa" w:w="70"/>
              <w:left w:type="dxa" w:w="110"/>
              <w:bottom w:type="dxa" w:w="70"/>
              <w:right w:type="dxa" w:w="110"/>
            </w:tcMar>
            <w:vAlign w:val="center"/>
          </w:tcPr>
          <w:p>
            <w:r>
              <w:rPr>
                <w:sz w:val="19"/>
                <w:szCs w:val="19"/>
              </w:rPr>
              <w:t xml:space="preserve">“Secure Profit”</w:t>
            </w:r>
          </w:p>
        </w:tc>
        <w:tc>
          <w:tcPr>
            <w:tcW w:type="dxa" w:w="5800"/>
            <w:shd w:fill="EEF2F8" w:val="clear"/>
            <w:tcMar>
              <w:top w:type="dxa" w:w="70"/>
              <w:left w:type="dxa" w:w="110"/>
              <w:bottom w:type="dxa" w:w="70"/>
              <w:right w:type="dxa" w:w="110"/>
            </w:tcMar>
            <w:vAlign w:val="center"/>
          </w:tcPr>
          <w:p>
            <w:r>
              <w:rPr>
                <w:sz w:val="19"/>
                <w:szCs w:val="19"/>
              </w:rPr>
              <w:t xml:space="preserve">Break Even</w:t>
            </w:r>
          </w:p>
        </w:tc>
      </w:tr>
      <w:tr>
        <w:tc>
          <w:tcPr>
            <w:tcW w:type="dxa" w:w="3200"/>
            <w:shd w:fill="FFFFFF" w:val="clear"/>
            <w:tcMar>
              <w:top w:type="dxa" w:w="70"/>
              <w:left w:type="dxa" w:w="110"/>
              <w:bottom w:type="dxa" w:w="70"/>
              <w:right w:type="dxa" w:w="110"/>
            </w:tcMar>
            <w:vAlign w:val="center"/>
          </w:tcPr>
          <w:p>
            <w:r>
              <w:rPr>
                <w:sz w:val="19"/>
                <w:szCs w:val="19"/>
              </w:rPr>
              <w:t xml:space="preserve">“Close Some”</w:t>
            </w:r>
          </w:p>
        </w:tc>
        <w:tc>
          <w:tcPr>
            <w:tcW w:type="dxa" w:w="5800"/>
            <w:shd w:fill="FFFFFF" w:val="clear"/>
            <w:tcMar>
              <w:top w:type="dxa" w:w="70"/>
              <w:left w:type="dxa" w:w="110"/>
              <w:bottom w:type="dxa" w:w="70"/>
              <w:right w:type="dxa" w:w="110"/>
            </w:tcMar>
            <w:vAlign w:val="center"/>
          </w:tcPr>
          <w:p>
            <w:r>
              <w:rPr>
                <w:sz w:val="19"/>
                <w:szCs w:val="19"/>
              </w:rPr>
              <w:t xml:space="preserve">Partial Close 50%</w:t>
            </w:r>
          </w:p>
        </w:tc>
      </w:tr>
      <w:tr>
        <w:tc>
          <w:tcPr>
            <w:tcW w:type="dxa" w:w="3200"/>
            <w:shd w:fill="EEF2F8" w:val="clear"/>
            <w:tcMar>
              <w:top w:type="dxa" w:w="70"/>
              <w:left w:type="dxa" w:w="110"/>
              <w:bottom w:type="dxa" w:w="70"/>
              <w:right w:type="dxa" w:w="110"/>
            </w:tcMar>
            <w:vAlign w:val="center"/>
          </w:tcPr>
          <w:p>
            <w:r>
              <w:rPr>
                <w:sz w:val="19"/>
                <w:szCs w:val="19"/>
              </w:rPr>
              <w:t xml:space="preserve">Preferred Entry</w:t>
            </w:r>
          </w:p>
        </w:tc>
        <w:tc>
          <w:tcPr>
            <w:tcW w:type="dxa" w:w="5800"/>
            <w:shd w:fill="EEF2F8" w:val="clear"/>
            <w:tcMar>
              <w:top w:type="dxa" w:w="70"/>
              <w:left w:type="dxa" w:w="110"/>
              <w:bottom w:type="dxa" w:w="70"/>
              <w:right w:type="dxa" w:w="110"/>
            </w:tcMar>
            <w:vAlign w:val="center"/>
          </w:tcPr>
          <w:p>
            <w:r>
              <w:rPr>
                <w:sz w:val="19"/>
                <w:szCs w:val="19"/>
              </w:rPr>
              <w:t xml:space="preserve">Market</w:t>
            </w:r>
          </w:p>
        </w:tc>
      </w:tr>
    </w:tbl>
    <w:p>
      <w:pPr>
        <w:pStyle w:val="Heading3"/>
        <w:spacing w:after="100" w:before="220"/>
      </w:pPr>
      <w:r>
        <w:rPr>
          <w:b/>
          <w:bCs/>
          <w:color w:val="1F2A44"/>
          <w:sz w:val="21"/>
          <w:szCs w:val="21"/>
        </w:rPr>
        <w:t xml:space="preserve">Trading — Trade Details Lifecycle View</w:t>
      </w:r>
    </w:p>
    <w:p>
      <w:pPr>
        <w:spacing w:after="140" w:line="276"/>
      </w:pPr>
      <w:r>
        <w:rPr>
          <w:color w:val="222222"/>
          <w:sz w:val="21"/>
          <w:szCs w:val="21"/>
        </w:rPr>
        <w:t xml:space="preserve">The Trade Details page visually surfaces the full lifecycle, with every transition attributed to the system, user, provider, automation rule, or broker:</w:t>
      </w:r>
    </w:p>
    <w:p>
      <w:pPr>
        <w:pBdr>
          <w:top w:val="single" w:color="C7D2E4" w:sz="4" w:space="6"/>
          <w:bottom w:val="single" w:color="C7D2E4" w:sz="4" w:space="6"/>
          <w:left w:val="single" w:color="C7D2E4" w:sz="4" w:space="6"/>
          <w:right w:val="single" w:color="C7D2E4" w:sz="4" w:space="6"/>
        </w:pBdr>
        <w:shd w:fill="EEF2F8" w:val="clear"/>
        <w:spacing w:after="220"/>
      </w:pPr>
      <w:r>
        <w:rPr>
          <w:b/>
          <w:bCs/>
          <w:color w:val="1F2A44"/>
          <w:sz w:val="20"/>
          <w:szCs w:val="20"/>
        </w:rPr>
        <w:t xml:space="preserve">Signal Received   →   Parsed   →   Risk Check   →   Execution   →   Break Even   →   Trailing Stop   →   Partial Close   →   Closed   →   Archived</w:t>
      </w:r>
    </w:p>
    <w:p>
      <w:pPr>
        <w:pStyle w:val="Heading3"/>
        <w:spacing w:after="100" w:before="220"/>
      </w:pPr>
      <w:r>
        <w:rPr>
          <w:b/>
          <w:bCs/>
          <w:color w:val="1F2A44"/>
          <w:sz w:val="21"/>
          <w:szCs w:val="21"/>
        </w:rPr>
        <w:t xml:space="preserve">Brokers &amp; Accounts</w:t>
      </w:r>
    </w:p>
    <w:p>
      <w:pPr>
        <w:spacing w:after="140" w:line="276"/>
      </w:pPr>
      <w:r>
        <w:rPr>
          <w:color w:val="222222"/>
          <w:sz w:val="21"/>
          <w:szCs w:val="21"/>
        </w:rPr>
        <w:t xml:space="preserve">Connection screens reflect the MetaApi Cloud execution model for MT4/MT5 — no EA installation, VPS, or local PC required — while keeping the execution layer abstract for future broker adapters.</w:t>
      </w:r>
    </w:p>
    <w:p>
      <w:pPr>
        <w:pStyle w:val="Heading3"/>
        <w:spacing w:after="100" w:before="220"/>
      </w:pPr>
      <w:r>
        <w:rPr>
          <w:b/>
          <w:bCs/>
          <w:color w:val="1F2A44"/>
          <w:sz w:val="21"/>
          <w:szCs w:val="21"/>
        </w:rPr>
        <w:t xml:space="preserve">Referral &amp; Rewards — Dashboard Example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F5597" w:val="clear"/>
            <w:tcMar>
              <w:top w:type="dxa" w:w="90"/>
              <w:left w:type="dxa" w:w="110"/>
              <w:bottom w:type="dxa" w:w="90"/>
              <w:right w:type="dxa" w:w="110"/>
            </w:tcMar>
            <w:vAlign w:val="center"/>
          </w:tcPr>
          <w:p>
            <w:r>
              <w:rPr>
                <w:b/>
                <w:bCs/>
                <w:color w:val="FFFFFF"/>
                <w:sz w:val="19"/>
                <w:szCs w:val="19"/>
              </w:rPr>
              <w:t xml:space="preserve">Metric</w:t>
            </w:r>
          </w:p>
        </w:tc>
        <w:tc>
          <w:tcPr>
            <w:tcW w:type="dxa" w:w="4700"/>
            <w:shd w:fill="2F5597" w:val="clear"/>
            <w:tcMar>
              <w:top w:type="dxa" w:w="90"/>
              <w:left w:type="dxa" w:w="110"/>
              <w:bottom w:type="dxa" w:w="90"/>
              <w:right w:type="dxa" w:w="110"/>
            </w:tcMar>
            <w:vAlign w:val="center"/>
          </w:tcPr>
          <w:p>
            <w:r>
              <w:rPr>
                <w:b/>
                <w:bCs/>
                <w:color w:val="FFFFFF"/>
                <w:sz w:val="19"/>
                <w:szCs w:val="19"/>
              </w:rPr>
              <w:t xml:space="preserve">Value</w:t>
            </w:r>
          </w:p>
        </w:tc>
      </w:tr>
      <w:tr>
        <w:tc>
          <w:tcPr>
            <w:tcW w:type="dxa" w:w="4700"/>
            <w:shd w:fill="FFFFFF" w:val="clear"/>
            <w:tcMar>
              <w:top w:type="dxa" w:w="70"/>
              <w:left w:type="dxa" w:w="110"/>
              <w:bottom w:type="dxa" w:w="70"/>
              <w:right w:type="dxa" w:w="110"/>
            </w:tcMar>
            <w:vAlign w:val="center"/>
          </w:tcPr>
          <w:p>
            <w:r>
              <w:rPr>
                <w:sz w:val="19"/>
                <w:szCs w:val="19"/>
              </w:rPr>
              <w:t xml:space="preserve">Referred Users</w:t>
            </w:r>
          </w:p>
        </w:tc>
        <w:tc>
          <w:tcPr>
            <w:tcW w:type="dxa" w:w="4700"/>
            <w:shd w:fill="FFFFFF" w:val="clear"/>
            <w:tcMar>
              <w:top w:type="dxa" w:w="70"/>
              <w:left w:type="dxa" w:w="110"/>
              <w:bottom w:type="dxa" w:w="70"/>
              <w:right w:type="dxa" w:w="110"/>
            </w:tcMar>
            <w:vAlign w:val="center"/>
          </w:tcPr>
          <w:p>
            <w:r>
              <w:rPr>
                <w:sz w:val="19"/>
                <w:szCs w:val="19"/>
              </w:rPr>
              <w:t xml:space="preserve">24</w:t>
            </w:r>
          </w:p>
        </w:tc>
      </w:tr>
      <w:tr>
        <w:tc>
          <w:tcPr>
            <w:tcW w:type="dxa" w:w="4700"/>
            <w:shd w:fill="EEF2F8" w:val="clear"/>
            <w:tcMar>
              <w:top w:type="dxa" w:w="70"/>
              <w:left w:type="dxa" w:w="110"/>
              <w:bottom w:type="dxa" w:w="70"/>
              <w:right w:type="dxa" w:w="110"/>
            </w:tcMar>
            <w:vAlign w:val="center"/>
          </w:tcPr>
          <w:p>
            <w:r>
              <w:rPr>
                <w:sz w:val="19"/>
                <w:szCs w:val="19"/>
              </w:rPr>
              <w:t xml:space="preserve">Active Traders</w:t>
            </w:r>
          </w:p>
        </w:tc>
        <w:tc>
          <w:tcPr>
            <w:tcW w:type="dxa" w:w="4700"/>
            <w:shd w:fill="EEF2F8" w:val="clear"/>
            <w:tcMar>
              <w:top w:type="dxa" w:w="70"/>
              <w:left w:type="dxa" w:w="110"/>
              <w:bottom w:type="dxa" w:w="70"/>
              <w:right w:type="dxa" w:w="110"/>
            </w:tcMar>
            <w:vAlign w:val="center"/>
          </w:tcPr>
          <w:p>
            <w:r>
              <w:rPr>
                <w:sz w:val="19"/>
                <w:szCs w:val="19"/>
              </w:rPr>
              <w:t xml:space="preserve">18</w:t>
            </w:r>
          </w:p>
        </w:tc>
      </w:tr>
      <w:tr>
        <w:tc>
          <w:tcPr>
            <w:tcW w:type="dxa" w:w="4700"/>
            <w:shd w:fill="FFFFFF" w:val="clear"/>
            <w:tcMar>
              <w:top w:type="dxa" w:w="70"/>
              <w:left w:type="dxa" w:w="110"/>
              <w:bottom w:type="dxa" w:w="70"/>
              <w:right w:type="dxa" w:w="110"/>
            </w:tcMar>
            <w:vAlign w:val="center"/>
          </w:tcPr>
          <w:p>
            <w:r>
              <w:rPr>
                <w:sz w:val="19"/>
                <w:szCs w:val="19"/>
              </w:rPr>
              <w:t xml:space="preserve">Monthly Eligible Performance</w:t>
            </w:r>
          </w:p>
        </w:tc>
        <w:tc>
          <w:tcPr>
            <w:tcW w:type="dxa" w:w="4700"/>
            <w:shd w:fill="FFFFFF" w:val="clear"/>
            <w:tcMar>
              <w:top w:type="dxa" w:w="70"/>
              <w:left w:type="dxa" w:w="110"/>
              <w:bottom w:type="dxa" w:w="70"/>
              <w:right w:type="dxa" w:w="110"/>
            </w:tcMar>
            <w:vAlign w:val="center"/>
          </w:tcPr>
          <w:p>
            <w:r>
              <w:rPr>
                <w:sz w:val="19"/>
                <w:szCs w:val="19"/>
              </w:rPr>
              <w:t xml:space="preserve">$42,500</w:t>
            </w:r>
          </w:p>
        </w:tc>
      </w:tr>
      <w:tr>
        <w:tc>
          <w:tcPr>
            <w:tcW w:type="dxa" w:w="4700"/>
            <w:shd w:fill="EEF2F8" w:val="clear"/>
            <w:tcMar>
              <w:top w:type="dxa" w:w="70"/>
              <w:left w:type="dxa" w:w="110"/>
              <w:bottom w:type="dxa" w:w="70"/>
              <w:right w:type="dxa" w:w="110"/>
            </w:tcMar>
            <w:vAlign w:val="center"/>
          </w:tcPr>
          <w:p>
            <w:r>
              <w:rPr>
                <w:sz w:val="19"/>
                <w:szCs w:val="19"/>
              </w:rPr>
              <w:t xml:space="preserve">Reward Rate</w:t>
            </w:r>
          </w:p>
        </w:tc>
        <w:tc>
          <w:tcPr>
            <w:tcW w:type="dxa" w:w="4700"/>
            <w:shd w:fill="EEF2F8" w:val="clear"/>
            <w:tcMar>
              <w:top w:type="dxa" w:w="70"/>
              <w:left w:type="dxa" w:w="110"/>
              <w:bottom w:type="dxa" w:w="70"/>
              <w:right w:type="dxa" w:w="110"/>
            </w:tcMar>
            <w:vAlign w:val="center"/>
          </w:tcPr>
          <w:p>
            <w:r>
              <w:rPr>
                <w:sz w:val="19"/>
                <w:szCs w:val="19"/>
              </w:rPr>
              <w:t xml:space="preserve">0.10%</w:t>
            </w:r>
          </w:p>
        </w:tc>
      </w:tr>
      <w:tr>
        <w:tc>
          <w:tcPr>
            <w:tcW w:type="dxa" w:w="4700"/>
            <w:shd w:fill="FFFFFF" w:val="clear"/>
            <w:tcMar>
              <w:top w:type="dxa" w:w="70"/>
              <w:left w:type="dxa" w:w="110"/>
              <w:bottom w:type="dxa" w:w="70"/>
              <w:right w:type="dxa" w:w="110"/>
            </w:tcMar>
            <w:vAlign w:val="center"/>
          </w:tcPr>
          <w:p>
            <w:r>
              <w:rPr>
                <w:sz w:val="19"/>
                <w:szCs w:val="19"/>
              </w:rPr>
              <w:t xml:space="preserve">Estimated Reward</w:t>
            </w:r>
          </w:p>
        </w:tc>
        <w:tc>
          <w:tcPr>
            <w:tcW w:type="dxa" w:w="4700"/>
            <w:shd w:fill="FFFFFF" w:val="clear"/>
            <w:tcMar>
              <w:top w:type="dxa" w:w="70"/>
              <w:left w:type="dxa" w:w="110"/>
              <w:bottom w:type="dxa" w:w="70"/>
              <w:right w:type="dxa" w:w="110"/>
            </w:tcMar>
            <w:vAlign w:val="center"/>
          </w:tcPr>
          <w:p>
            <w:r>
              <w:rPr>
                <w:sz w:val="19"/>
                <w:szCs w:val="19"/>
              </w:rPr>
              <w:t xml:space="preserve">$42.50</w:t>
            </w:r>
          </w:p>
        </w:tc>
      </w:tr>
    </w:tbl>
    <w:p>
      <w:pPr>
        <w:spacing w:after="140" w:line="276"/>
      </w:pPr>
      <w:r>
        <w:rPr>
          <w:color w:val="222222"/>
          <w:sz w:val="21"/>
          <w:szCs w:val="21"/>
        </w:rPr>
        <w:t xml:space="preserve">The reward is funded from the platform's reward allocation based on the referred user's eligible monthly performance — it is never deducted directly from the referred user's trading profit.</w:t>
      </w:r>
    </w:p>
    <w:p>
      <w:pPr>
        <w:pStyle w:val="Heading3"/>
        <w:spacing w:after="100" w:before="220"/>
      </w:pPr>
      <w:r>
        <w:rPr>
          <w:b/>
          <w:bCs/>
          <w:color w:val="1F2A44"/>
          <w:sz w:val="21"/>
          <w:szCs w:val="21"/>
        </w:rPr>
        <w:t xml:space="preserve">Wallet &amp; Withdrawals</w:t>
      </w:r>
    </w:p>
    <w:p>
      <w:pPr>
        <w:spacing w:after="140" w:line="276"/>
      </w:pPr>
      <w:r>
        <w:rPr>
          <w:color w:val="222222"/>
          <w:sz w:val="21"/>
          <w:szCs w:val="21"/>
        </w:rPr>
        <w:t xml:space="preserve">KYC verification is required before any withdrawal functionality becomes available — enforced consistently with the platform-wide KYC gating described in Section 11.</w:t>
      </w:r>
    </w:p>
    <w:p>
      <w:pPr>
        <w:pStyle w:val="Heading3"/>
        <w:spacing w:after="100" w:before="220"/>
      </w:pPr>
      <w:r>
        <w:rPr>
          <w:b/>
          <w:bCs/>
          <w:color w:val="1F2A44"/>
          <w:sz w:val="21"/>
          <w:szCs w:val="21"/>
        </w:rPr>
        <w:t xml:space="preserve">Provider Certification</w:t>
      </w:r>
    </w:p>
    <w:p>
      <w:pPr>
        <w:spacing w:after="140" w:line="276"/>
      </w:pPr>
      <w:r>
        <w:rPr>
          <w:color w:val="222222"/>
          <w:sz w:val="21"/>
          <w:szCs w:val="21"/>
        </w:rPr>
        <w:t xml:space="preserve">Historical provider messages are imported and evaluated for parsing accuracy, expected performance, risk, and consistency before a provider receives a quality score and is certified.</w:t>
      </w:r>
    </w:p>
    <w:p>
      <w:pPr>
        <w:pStyle w:val="Heading3"/>
        <w:spacing w:after="100" w:before="220"/>
      </w:pPr>
      <w:r>
        <w:rPr>
          <w:b/>
          <w:bCs/>
          <w:color w:val="1F2A44"/>
          <w:sz w:val="21"/>
          <w:szCs w:val="21"/>
        </w:rPr>
        <w:t xml:space="preserve">Internal Consoles</w:t>
      </w:r>
    </w:p>
    <w:p>
      <w:pPr>
        <w:spacing w:after="140" w:line="276"/>
      </w:pPr>
      <w:r>
        <w:rPr>
          <w:color w:val="222222"/>
          <w:sz w:val="21"/>
          <w:szCs w:val="21"/>
        </w:rPr>
        <w:t xml:space="preserve">Three distinct internal experiences sit outside the consumer application: the Admin Dashboard (platform-wide operations), a specialized Compliance / KYC Admin console (kept separate from general user management rather than buried within it), and an Executive / Business Intelligence view for platform owners covering revenue composition, growth, volume, and retention.</w:t>
      </w:r>
    </w:p>
    <w:p>
      <w:pPr>
        <w:pStyle w:val="Heading3"/>
        <w:spacing w:after="100" w:before="220"/>
      </w:pPr>
      <w:r>
        <w:rPr>
          <w:b/>
          <w:bCs/>
          <w:color w:val="1F2A44"/>
          <w:sz w:val="21"/>
          <w:szCs w:val="21"/>
        </w:rPr>
        <w:t xml:space="preserve">Replay &amp; Debugging</w:t>
      </w:r>
    </w:p>
    <w:p>
      <w:pPr>
        <w:spacing w:after="140" w:line="276"/>
      </w:pPr>
      <w:r>
        <w:rPr>
          <w:color w:val="222222"/>
          <w:sz w:val="21"/>
          <w:szCs w:val="21"/>
        </w:rPr>
        <w:t xml:space="preserve">Supports the platform's transparency requirement by allowing any trade to be replayed end-to-end: Signal → AI → Risk → Execution → Broker → Closure.</w:t>
      </w:r>
    </w:p>
    <w:p>
      <w:pPr>
        <w:pStyle w:val="Heading2"/>
        <w:spacing w:after="140" w:before="320"/>
      </w:pPr>
      <w:r>
        <w:rPr>
          <w:b/>
          <w:bCs/>
          <w:color w:val="2F5597"/>
          <w:sz w:val="24"/>
          <w:szCs w:val="24"/>
        </w:rPr>
        <w:t xml:space="preserve">16.3 Complete Navigation Tree</w:t>
      </w:r>
    </w:p>
    <w:p>
      <w:pPr>
        <w:pStyle w:val="ListParagraph"/>
        <w:numPr>
          <w:ilvl w:val="0"/>
          <w:numId w:val="2"/>
        </w:numPr>
        <w:spacing w:after="80"/>
      </w:pPr>
      <w:r>
        <w:rPr>
          <w:sz w:val="21"/>
          <w:szCs w:val="21"/>
        </w:rPr>
        <w:t xml:space="preserve">Public</w:t>
      </w:r>
    </w:p>
    <w:p>
      <w:pPr>
        <w:pStyle w:val="ListParagraph"/>
        <w:numPr>
          <w:ilvl w:val="0"/>
          <w:numId w:val="2"/>
        </w:numPr>
        <w:spacing w:after="80"/>
      </w:pPr>
      <w:r>
        <w:rPr>
          <w:sz w:val="21"/>
          <w:szCs w:val="21"/>
        </w:rPr>
        <w:t xml:space="preserve">Authentication</w:t>
      </w:r>
    </w:p>
    <w:p>
      <w:pPr>
        <w:pStyle w:val="ListParagraph"/>
        <w:numPr>
          <w:ilvl w:val="0"/>
          <w:numId w:val="2"/>
        </w:numPr>
        <w:spacing w:after="80"/>
      </w:pPr>
      <w:r>
        <w:rPr>
          <w:sz w:val="21"/>
          <w:szCs w:val="21"/>
        </w:rPr>
        <w:t xml:space="preserve">KYC &amp; Compliance</w:t>
      </w:r>
    </w:p>
    <w:p>
      <w:pPr>
        <w:pStyle w:val="ListParagraph"/>
        <w:numPr>
          <w:ilvl w:val="0"/>
          <w:numId w:val="2"/>
        </w:numPr>
        <w:spacing w:after="80"/>
      </w:pPr>
      <w:r>
        <w:rPr>
          <w:sz w:val="21"/>
          <w:szCs w:val="21"/>
        </w:rPr>
        <w:t xml:space="preserve">User Dashboard</w:t>
      </w:r>
    </w:p>
    <w:p>
      <w:pPr>
        <w:pStyle w:val="ListParagraph"/>
        <w:numPr>
          <w:ilvl w:val="0"/>
          <w:numId w:val="2"/>
        </w:numPr>
        <w:spacing w:after="80"/>
      </w:pPr>
      <w:r>
        <w:rPr>
          <w:sz w:val="21"/>
          <w:szCs w:val="21"/>
        </w:rPr>
        <w:t xml:space="preserve">Signal Center</w:t>
      </w:r>
    </w:p>
    <w:p>
      <w:pPr>
        <w:pStyle w:val="ListParagraph"/>
        <w:numPr>
          <w:ilvl w:val="0"/>
          <w:numId w:val="2"/>
        </w:numPr>
        <w:spacing w:after="80"/>
      </w:pPr>
      <w:r>
        <w:rPr>
          <w:sz w:val="21"/>
          <w:szCs w:val="21"/>
        </w:rPr>
        <w:t xml:space="preserve">Signal Sources</w:t>
      </w:r>
    </w:p>
    <w:p>
      <w:pPr>
        <w:pStyle w:val="ListParagraph"/>
        <w:numPr>
          <w:ilvl w:val="0"/>
          <w:numId w:val="2"/>
        </w:numPr>
        <w:spacing w:after="80"/>
      </w:pPr>
      <w:r>
        <w:rPr>
          <w:sz w:val="21"/>
          <w:szCs w:val="21"/>
        </w:rPr>
        <w:t xml:space="preserve">AI Intelligence</w:t>
      </w:r>
    </w:p>
    <w:p>
      <w:pPr>
        <w:pStyle w:val="ListParagraph"/>
        <w:numPr>
          <w:ilvl w:val="0"/>
          <w:numId w:val="2"/>
        </w:numPr>
        <w:spacing w:after="80"/>
      </w:pPr>
      <w:r>
        <w:rPr>
          <w:sz w:val="21"/>
          <w:szCs w:val="21"/>
        </w:rPr>
        <w:t xml:space="preserve">Provider DNA</w:t>
      </w:r>
    </w:p>
    <w:p>
      <w:pPr>
        <w:pStyle w:val="ListParagraph"/>
        <w:numPr>
          <w:ilvl w:val="0"/>
          <w:numId w:val="2"/>
        </w:numPr>
        <w:spacing w:after="80"/>
      </w:pPr>
      <w:r>
        <w:rPr>
          <w:sz w:val="21"/>
          <w:szCs w:val="21"/>
        </w:rPr>
        <w:t xml:space="preserve">Trading</w:t>
      </w:r>
    </w:p>
    <w:p>
      <w:pPr>
        <w:pStyle w:val="ListParagraph"/>
        <w:numPr>
          <w:ilvl w:val="0"/>
          <w:numId w:val="2"/>
        </w:numPr>
        <w:spacing w:after="80"/>
      </w:pPr>
      <w:r>
        <w:rPr>
          <w:sz w:val="21"/>
          <w:szCs w:val="21"/>
        </w:rPr>
        <w:t xml:space="preserve">Risk &amp; Automation</w:t>
      </w:r>
    </w:p>
    <w:p>
      <w:pPr>
        <w:pStyle w:val="ListParagraph"/>
        <w:numPr>
          <w:ilvl w:val="0"/>
          <w:numId w:val="2"/>
        </w:numPr>
        <w:spacing w:after="80"/>
      </w:pPr>
      <w:r>
        <w:rPr>
          <w:sz w:val="21"/>
          <w:szCs w:val="21"/>
        </w:rPr>
        <w:t xml:space="preserve">Brokers</w:t>
      </w:r>
    </w:p>
    <w:p>
      <w:pPr>
        <w:pStyle w:val="ListParagraph"/>
        <w:numPr>
          <w:ilvl w:val="0"/>
          <w:numId w:val="2"/>
        </w:numPr>
        <w:spacing w:after="80"/>
      </w:pPr>
      <w:r>
        <w:rPr>
          <w:sz w:val="21"/>
          <w:szCs w:val="21"/>
        </w:rPr>
        <w:t xml:space="preserve">Analytics</w:t>
      </w:r>
    </w:p>
    <w:p>
      <w:pPr>
        <w:pStyle w:val="ListParagraph"/>
        <w:numPr>
          <w:ilvl w:val="0"/>
          <w:numId w:val="2"/>
        </w:numPr>
        <w:spacing w:after="80"/>
      </w:pPr>
      <w:r>
        <w:rPr>
          <w:sz w:val="21"/>
          <w:szCs w:val="21"/>
        </w:rPr>
        <w:t xml:space="preserve">Provider Marketplace</w:t>
      </w:r>
    </w:p>
    <w:p>
      <w:pPr>
        <w:pStyle w:val="ListParagraph"/>
        <w:numPr>
          <w:ilvl w:val="0"/>
          <w:numId w:val="2"/>
        </w:numPr>
        <w:spacing w:after="80"/>
      </w:pPr>
      <w:r>
        <w:rPr>
          <w:sz w:val="21"/>
          <w:szCs w:val="21"/>
        </w:rPr>
        <w:t xml:space="preserve">Trader Marketplace</w:t>
      </w:r>
    </w:p>
    <w:p>
      <w:pPr>
        <w:pStyle w:val="ListParagraph"/>
        <w:numPr>
          <w:ilvl w:val="0"/>
          <w:numId w:val="2"/>
        </w:numPr>
        <w:spacing w:after="80"/>
      </w:pPr>
      <w:r>
        <w:rPr>
          <w:sz w:val="21"/>
          <w:szCs w:val="21"/>
        </w:rPr>
        <w:t xml:space="preserve">Trader Intelligence</w:t>
      </w:r>
    </w:p>
    <w:p>
      <w:pPr>
        <w:pStyle w:val="ListParagraph"/>
        <w:numPr>
          <w:ilvl w:val="0"/>
          <w:numId w:val="2"/>
        </w:numPr>
        <w:spacing w:after="80"/>
      </w:pPr>
      <w:r>
        <w:rPr>
          <w:sz w:val="21"/>
          <w:szCs w:val="21"/>
        </w:rPr>
        <w:t xml:space="preserve">Referrals &amp; Rewards</w:t>
      </w:r>
    </w:p>
    <w:p>
      <w:pPr>
        <w:pStyle w:val="ListParagraph"/>
        <w:numPr>
          <w:ilvl w:val="0"/>
          <w:numId w:val="2"/>
        </w:numPr>
        <w:spacing w:after="80"/>
      </w:pPr>
      <w:r>
        <w:rPr>
          <w:sz w:val="21"/>
          <w:szCs w:val="21"/>
        </w:rPr>
        <w:t xml:space="preserve">Subscriptions</w:t>
      </w:r>
    </w:p>
    <w:p>
      <w:pPr>
        <w:pStyle w:val="ListParagraph"/>
        <w:numPr>
          <w:ilvl w:val="0"/>
          <w:numId w:val="2"/>
        </w:numPr>
        <w:spacing w:after="80"/>
      </w:pPr>
      <w:r>
        <w:rPr>
          <w:sz w:val="21"/>
          <w:szCs w:val="21"/>
        </w:rPr>
        <w:t xml:space="preserve">Wallet &amp; Withdrawals</w:t>
      </w:r>
    </w:p>
    <w:p>
      <w:pPr>
        <w:pStyle w:val="ListParagraph"/>
        <w:numPr>
          <w:ilvl w:val="0"/>
          <w:numId w:val="2"/>
        </w:numPr>
        <w:spacing w:after="80"/>
      </w:pPr>
      <w:r>
        <w:rPr>
          <w:sz w:val="21"/>
          <w:szCs w:val="21"/>
        </w:rPr>
        <w:t xml:space="preserve">Provider Business</w:t>
      </w:r>
    </w:p>
    <w:p>
      <w:pPr>
        <w:pStyle w:val="ListParagraph"/>
        <w:numPr>
          <w:ilvl w:val="0"/>
          <w:numId w:val="2"/>
        </w:numPr>
        <w:spacing w:after="80"/>
      </w:pPr>
      <w:r>
        <w:rPr>
          <w:sz w:val="21"/>
          <w:szCs w:val="21"/>
        </w:rPr>
        <w:t xml:space="preserve">Provider Certification</w:t>
      </w:r>
    </w:p>
    <w:p>
      <w:pPr>
        <w:pStyle w:val="ListParagraph"/>
        <w:numPr>
          <w:ilvl w:val="0"/>
          <w:numId w:val="2"/>
        </w:numPr>
        <w:spacing w:after="80"/>
      </w:pPr>
      <w:r>
        <w:rPr>
          <w:sz w:val="21"/>
          <w:szCs w:val="21"/>
        </w:rPr>
        <w:t xml:space="preserve">Affiliate &amp; IB</w:t>
      </w:r>
    </w:p>
    <w:p>
      <w:pPr>
        <w:pStyle w:val="ListParagraph"/>
        <w:numPr>
          <w:ilvl w:val="0"/>
          <w:numId w:val="2"/>
        </w:numPr>
        <w:spacing w:after="80"/>
      </w:pPr>
      <w:r>
        <w:rPr>
          <w:sz w:val="21"/>
          <w:szCs w:val="21"/>
        </w:rPr>
        <w:t xml:space="preserve">White Label</w:t>
      </w:r>
    </w:p>
    <w:p>
      <w:pPr>
        <w:pStyle w:val="ListParagraph"/>
        <w:numPr>
          <w:ilvl w:val="0"/>
          <w:numId w:val="2"/>
        </w:numPr>
        <w:spacing w:after="80"/>
      </w:pPr>
      <w:r>
        <w:rPr>
          <w:sz w:val="21"/>
          <w:szCs w:val="21"/>
        </w:rPr>
        <w:t xml:space="preserve">Notifications</w:t>
      </w:r>
    </w:p>
    <w:p>
      <w:pPr>
        <w:pStyle w:val="ListParagraph"/>
        <w:numPr>
          <w:ilvl w:val="0"/>
          <w:numId w:val="2"/>
        </w:numPr>
        <w:spacing w:after="80"/>
      </w:pPr>
      <w:r>
        <w:rPr>
          <w:sz w:val="21"/>
          <w:szCs w:val="21"/>
        </w:rPr>
        <w:t xml:space="preserve">Settings</w:t>
      </w:r>
    </w:p>
    <w:p>
      <w:pPr>
        <w:pStyle w:val="ListParagraph"/>
        <w:numPr>
          <w:ilvl w:val="0"/>
          <w:numId w:val="2"/>
        </w:numPr>
        <w:spacing w:after="80"/>
      </w:pPr>
      <w:r>
        <w:rPr>
          <w:sz w:val="21"/>
          <w:szCs w:val="21"/>
        </w:rPr>
        <w:t xml:space="preserve">Admin</w:t>
      </w:r>
    </w:p>
    <w:p>
      <w:pPr>
        <w:pStyle w:val="ListParagraph"/>
        <w:numPr>
          <w:ilvl w:val="0"/>
          <w:numId w:val="2"/>
        </w:numPr>
        <w:spacing w:after="80"/>
      </w:pPr>
      <w:r>
        <w:rPr>
          <w:sz w:val="21"/>
          <w:szCs w:val="21"/>
        </w:rPr>
        <w:t xml:space="preserve">Compliance</w:t>
      </w:r>
    </w:p>
    <w:p>
      <w:pPr>
        <w:pStyle w:val="ListParagraph"/>
        <w:numPr>
          <w:ilvl w:val="0"/>
          <w:numId w:val="2"/>
        </w:numPr>
        <w:spacing w:after="80"/>
      </w:pPr>
      <w:r>
        <w:rPr>
          <w:sz w:val="21"/>
          <w:szCs w:val="21"/>
        </w:rPr>
        <w:t xml:space="preserve">Executive</w:t>
      </w:r>
    </w:p>
    <w:p>
      <w:pPr>
        <w:pStyle w:val="ListParagraph"/>
        <w:numPr>
          <w:ilvl w:val="0"/>
          <w:numId w:val="2"/>
        </w:numPr>
        <w:spacing w:after="80"/>
      </w:pPr>
      <w:r>
        <w:rPr>
          <w:sz w:val="21"/>
          <w:szCs w:val="21"/>
        </w:rPr>
        <w:t xml:space="preserve">Support</w:t>
      </w:r>
    </w:p>
    <w:p>
      <w:pPr>
        <w:pStyle w:val="ListParagraph"/>
        <w:numPr>
          <w:ilvl w:val="0"/>
          <w:numId w:val="2"/>
        </w:numPr>
        <w:spacing w:after="80"/>
      </w:pPr>
      <w:r>
        <w:rPr>
          <w:sz w:val="21"/>
          <w:szCs w:val="21"/>
        </w:rPr>
        <w:t xml:space="preserve">Replay &amp; Debugging</w:t>
      </w:r>
    </w:p>
    <w:p>
      <w:r>
        <w:br w:type="page"/>
      </w:r>
    </w:p>
    <w:p>
      <w:pPr>
        <w:pStyle w:val="Heading1"/>
        <w:pBdr>
          <w:bottom w:val="single" w:color="2F5597" w:sz="6" w:space="4"/>
        </w:pBdr>
        <w:spacing w:after="200" w:before="480"/>
      </w:pPr>
      <w:r>
        <w:rPr>
          <w:b/>
          <w:bCs/>
          <w:color w:val="1F2A44"/>
          <w:sz w:val="30"/>
          <w:szCs w:val="30"/>
        </w:rPr>
        <w:t xml:space="preserve">17.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2F5597" w:val="clear"/>
            <w:tcMar>
              <w:top w:type="dxa" w:w="90"/>
              <w:left w:type="dxa" w:w="110"/>
              <w:bottom w:type="dxa" w:w="90"/>
              <w:right w:type="dxa" w:w="110"/>
            </w:tcMar>
            <w:vAlign w:val="center"/>
          </w:tcPr>
          <w:p>
            <w:r>
              <w:rPr>
                <w:b/>
                <w:bCs/>
                <w:color w:val="FFFFFF"/>
                <w:sz w:val="19"/>
                <w:szCs w:val="19"/>
              </w:rPr>
              <w:t xml:space="preserve">Term</w:t>
            </w:r>
          </w:p>
        </w:tc>
        <w:tc>
          <w:tcPr>
            <w:tcW w:type="dxa" w:w="6800"/>
            <w:shd w:fill="2F5597" w:val="clear"/>
            <w:tcMar>
              <w:top w:type="dxa" w:w="90"/>
              <w:left w:type="dxa" w:w="110"/>
              <w:bottom w:type="dxa" w:w="90"/>
              <w:right w:type="dxa" w:w="110"/>
            </w:tcMar>
            <w:vAlign w:val="center"/>
          </w:tcPr>
          <w:p>
            <w:r>
              <w:rPr>
                <w:b/>
                <w:bCs/>
                <w:color w:val="FFFFFF"/>
                <w:sz w:val="19"/>
                <w:szCs w:val="19"/>
              </w:rPr>
              <w:t xml:space="preserve">Definition</w:t>
            </w:r>
          </w:p>
        </w:tc>
      </w:tr>
      <w:tr>
        <w:tc>
          <w:tcPr>
            <w:tcW w:type="dxa" w:w="2400"/>
            <w:shd w:fill="FFFFFF" w:val="clear"/>
            <w:tcMar>
              <w:top w:type="dxa" w:w="70"/>
              <w:left w:type="dxa" w:w="110"/>
              <w:bottom w:type="dxa" w:w="70"/>
              <w:right w:type="dxa" w:w="110"/>
            </w:tcMar>
            <w:vAlign w:val="center"/>
          </w:tcPr>
          <w:p>
            <w:r>
              <w:rPr>
                <w:sz w:val="19"/>
                <w:szCs w:val="19"/>
              </w:rPr>
              <w:t xml:space="preserve">Provider DNA</w:t>
            </w:r>
          </w:p>
        </w:tc>
        <w:tc>
          <w:tcPr>
            <w:tcW w:type="dxa" w:w="6800"/>
            <w:shd w:fill="FFFFFF" w:val="clear"/>
            <w:tcMar>
              <w:top w:type="dxa" w:w="70"/>
              <w:left w:type="dxa" w:w="110"/>
              <w:bottom w:type="dxa" w:w="70"/>
              <w:right w:type="dxa" w:w="110"/>
            </w:tcMar>
            <w:vAlign w:val="center"/>
          </w:tcPr>
          <w:p>
            <w:r>
              <w:rPr>
                <w:sz w:val="19"/>
                <w:szCs w:val="19"/>
              </w:rPr>
              <w:t xml:space="preserve">A learned profile of a signal provider's language, symbols, abbreviations, and risk/management style that lets the platform interpret their messages without full AI inference each time</w:t>
            </w:r>
          </w:p>
        </w:tc>
      </w:tr>
      <w:tr>
        <w:tc>
          <w:tcPr>
            <w:tcW w:type="dxa" w:w="2400"/>
            <w:shd w:fill="EEF2F8" w:val="clear"/>
            <w:tcMar>
              <w:top w:type="dxa" w:w="70"/>
              <w:left w:type="dxa" w:w="110"/>
              <w:bottom w:type="dxa" w:w="70"/>
              <w:right w:type="dxa" w:w="110"/>
            </w:tcMar>
            <w:vAlign w:val="center"/>
          </w:tcPr>
          <w:p>
            <w:r>
              <w:rPr>
                <w:sz w:val="19"/>
                <w:szCs w:val="19"/>
              </w:rPr>
              <w:t xml:space="preserve">Fast Path</w:t>
            </w:r>
          </w:p>
        </w:tc>
        <w:tc>
          <w:tcPr>
            <w:tcW w:type="dxa" w:w="6800"/>
            <w:shd w:fill="EEF2F8" w:val="clear"/>
            <w:tcMar>
              <w:top w:type="dxa" w:w="70"/>
              <w:left w:type="dxa" w:w="110"/>
              <w:bottom w:type="dxa" w:w="70"/>
              <w:right w:type="dxa" w:w="110"/>
            </w:tcMar>
            <w:vAlign w:val="center"/>
          </w:tcPr>
          <w:p>
            <w:r>
              <w:rPr>
                <w:sz w:val="19"/>
                <w:szCs w:val="19"/>
              </w:rPr>
              <w:t xml:space="preserve">Message interpretation via Regex + Provider DNA, used once a provider's patterns are known</w:t>
            </w:r>
          </w:p>
        </w:tc>
      </w:tr>
      <w:tr>
        <w:tc>
          <w:tcPr>
            <w:tcW w:type="dxa" w:w="2400"/>
            <w:shd w:fill="FFFFFF" w:val="clear"/>
            <w:tcMar>
              <w:top w:type="dxa" w:w="70"/>
              <w:left w:type="dxa" w:w="110"/>
              <w:bottom w:type="dxa" w:w="70"/>
              <w:right w:type="dxa" w:w="110"/>
            </w:tcMar>
            <w:vAlign w:val="center"/>
          </w:tcPr>
          <w:p>
            <w:r>
              <w:rPr>
                <w:sz w:val="19"/>
                <w:szCs w:val="19"/>
              </w:rPr>
              <w:t xml:space="preserve">Learning Path</w:t>
            </w:r>
          </w:p>
        </w:tc>
        <w:tc>
          <w:tcPr>
            <w:tcW w:type="dxa" w:w="6800"/>
            <w:shd w:fill="FFFFFF" w:val="clear"/>
            <w:tcMar>
              <w:top w:type="dxa" w:w="70"/>
              <w:left w:type="dxa" w:w="110"/>
              <w:bottom w:type="dxa" w:w="70"/>
              <w:right w:type="dxa" w:w="110"/>
            </w:tcMar>
            <w:vAlign w:val="center"/>
          </w:tcPr>
          <w:p>
            <w:r>
              <w:rPr>
                <w:sz w:val="19"/>
                <w:szCs w:val="19"/>
              </w:rPr>
              <w:t xml:space="preserve">Full AI inference used for unfamiliar patterns, which then updates the Provider DNA</w:t>
            </w:r>
          </w:p>
        </w:tc>
      </w:tr>
      <w:tr>
        <w:tc>
          <w:tcPr>
            <w:tcW w:type="dxa" w:w="2400"/>
            <w:shd w:fill="EEF2F8" w:val="clear"/>
            <w:tcMar>
              <w:top w:type="dxa" w:w="70"/>
              <w:left w:type="dxa" w:w="110"/>
              <w:bottom w:type="dxa" w:w="70"/>
              <w:right w:type="dxa" w:w="110"/>
            </w:tcMar>
            <w:vAlign w:val="center"/>
          </w:tcPr>
          <w:p>
            <w:r>
              <w:rPr>
                <w:sz w:val="19"/>
                <w:szCs w:val="19"/>
              </w:rPr>
              <w:t xml:space="preserve">Standardized Signal Object</w:t>
            </w:r>
          </w:p>
        </w:tc>
        <w:tc>
          <w:tcPr>
            <w:tcW w:type="dxa" w:w="6800"/>
            <w:shd w:fill="EEF2F8" w:val="clear"/>
            <w:tcMar>
              <w:top w:type="dxa" w:w="70"/>
              <w:left w:type="dxa" w:w="110"/>
              <w:bottom w:type="dxa" w:w="70"/>
              <w:right w:type="dxa" w:w="110"/>
            </w:tcMar>
            <w:vAlign w:val="center"/>
          </w:tcPr>
          <w:p>
            <w:r>
              <w:rPr>
                <w:sz w:val="19"/>
                <w:szCs w:val="19"/>
              </w:rPr>
              <w:t xml:space="preserve">The common JSON trade schema every source and provider message is normalized into</w:t>
            </w:r>
          </w:p>
        </w:tc>
      </w:tr>
      <w:tr>
        <w:tc>
          <w:tcPr>
            <w:tcW w:type="dxa" w:w="2400"/>
            <w:shd w:fill="FFFFFF" w:val="clear"/>
            <w:tcMar>
              <w:top w:type="dxa" w:w="70"/>
              <w:left w:type="dxa" w:w="110"/>
              <w:bottom w:type="dxa" w:w="70"/>
              <w:right w:type="dxa" w:w="110"/>
            </w:tcMar>
            <w:vAlign w:val="center"/>
          </w:tcPr>
          <w:p>
            <w:r>
              <w:rPr>
                <w:sz w:val="19"/>
                <w:szCs w:val="19"/>
              </w:rPr>
              <w:t xml:space="preserve">Trade Shadow</w:t>
            </w:r>
          </w:p>
        </w:tc>
        <w:tc>
          <w:tcPr>
            <w:tcW w:type="dxa" w:w="6800"/>
            <w:shd w:fill="FFFFFF" w:val="clear"/>
            <w:tcMar>
              <w:top w:type="dxa" w:w="70"/>
              <w:left w:type="dxa" w:w="110"/>
              <w:bottom w:type="dxa" w:w="70"/>
              <w:right w:type="dxa" w:w="110"/>
            </w:tcMar>
            <w:vAlign w:val="center"/>
          </w:tcPr>
          <w:p>
            <w:r>
              <w:rPr>
                <w:sz w:val="19"/>
                <w:szCs w:val="19"/>
              </w:rPr>
              <w:t xml:space="preserve">A comparison between a provider's original trade management and a user's actual (divergent) management of the same trade</w:t>
            </w:r>
          </w:p>
        </w:tc>
      </w:tr>
      <w:tr>
        <w:tc>
          <w:tcPr>
            <w:tcW w:type="dxa" w:w="2400"/>
            <w:shd w:fill="EEF2F8" w:val="clear"/>
            <w:tcMar>
              <w:top w:type="dxa" w:w="70"/>
              <w:left w:type="dxa" w:w="110"/>
              <w:bottom w:type="dxa" w:w="70"/>
              <w:right w:type="dxa" w:w="110"/>
            </w:tcMar>
            <w:vAlign w:val="center"/>
          </w:tcPr>
          <w:p>
            <w:r>
              <w:rPr>
                <w:sz w:val="19"/>
                <w:szCs w:val="19"/>
              </w:rPr>
              <w:t xml:space="preserve">Eligible Net Profit</w:t>
            </w:r>
          </w:p>
        </w:tc>
        <w:tc>
          <w:tcPr>
            <w:tcW w:type="dxa" w:w="6800"/>
            <w:shd w:fill="EEF2F8" w:val="clear"/>
            <w:tcMar>
              <w:top w:type="dxa" w:w="70"/>
              <w:left w:type="dxa" w:w="110"/>
              <w:bottom w:type="dxa" w:w="70"/>
              <w:right w:type="dxa" w:w="110"/>
            </w:tcMar>
            <w:vAlign w:val="center"/>
          </w:tcPr>
          <w:p>
            <w:r>
              <w:rPr>
                <w:sz w:val="19"/>
                <w:szCs w:val="19"/>
              </w:rPr>
              <w:t xml:space="preserve">Gross trading profit minus gross losses minus eligible trading costs, for realized/settled trades only; the basis for referral reward calculation</w:t>
            </w:r>
          </w:p>
        </w:tc>
      </w:tr>
      <w:tr>
        <w:tc>
          <w:tcPr>
            <w:tcW w:type="dxa" w:w="2400"/>
            <w:shd w:fill="FFFFFF" w:val="clear"/>
            <w:tcMar>
              <w:top w:type="dxa" w:w="70"/>
              <w:left w:type="dxa" w:w="110"/>
              <w:bottom w:type="dxa" w:w="70"/>
              <w:right w:type="dxa" w:w="110"/>
            </w:tcMar>
            <w:vAlign w:val="center"/>
          </w:tcPr>
          <w:p>
            <w:r>
              <w:rPr>
                <w:sz w:val="19"/>
                <w:szCs w:val="19"/>
              </w:rPr>
              <w:t xml:space="preserve">Idempotency Key</w:t>
            </w:r>
          </w:p>
        </w:tc>
        <w:tc>
          <w:tcPr>
            <w:tcW w:type="dxa" w:w="6800"/>
            <w:shd w:fill="FFFFFF" w:val="clear"/>
            <w:tcMar>
              <w:top w:type="dxa" w:w="70"/>
              <w:left w:type="dxa" w:w="110"/>
              <w:bottom w:type="dxa" w:w="70"/>
              <w:right w:type="dxa" w:w="110"/>
            </w:tcMar>
            <w:vAlign w:val="center"/>
          </w:tcPr>
          <w:p>
            <w:r>
              <w:rPr>
                <w:sz w:val="19"/>
                <w:szCs w:val="19"/>
              </w:rPr>
              <w:t xml:space="preserve">A unique key (e.g. source:channel:message_id) preventing duplicate processing of a redelivered message</w:t>
            </w:r>
          </w:p>
        </w:tc>
      </w:tr>
      <w:tr>
        <w:tc>
          <w:tcPr>
            <w:tcW w:type="dxa" w:w="2400"/>
            <w:shd w:fill="EEF2F8" w:val="clear"/>
            <w:tcMar>
              <w:top w:type="dxa" w:w="70"/>
              <w:left w:type="dxa" w:w="110"/>
              <w:bottom w:type="dxa" w:w="70"/>
              <w:right w:type="dxa" w:w="110"/>
            </w:tcMar>
            <w:vAlign w:val="center"/>
          </w:tcPr>
          <w:p>
            <w:r>
              <w:rPr>
                <w:sz w:val="19"/>
                <w:szCs w:val="19"/>
              </w:rPr>
              <w:t xml:space="preserve">Fan-Out</w:t>
            </w:r>
          </w:p>
        </w:tc>
        <w:tc>
          <w:tcPr>
            <w:tcW w:type="dxa" w:w="6800"/>
            <w:shd w:fill="EEF2F8" w:val="clear"/>
            <w:tcMar>
              <w:top w:type="dxa" w:w="70"/>
              <w:left w:type="dxa" w:w="110"/>
              <w:bottom w:type="dxa" w:w="70"/>
              <w:right w:type="dxa" w:w="110"/>
            </w:tcMar>
            <w:vAlign w:val="center"/>
          </w:tcPr>
          <w:p>
            <w:r>
              <w:rPr>
                <w:sz w:val="19"/>
                <w:szCs w:val="19"/>
              </w:rPr>
              <w:t xml:space="preserve">Distributing one approved provider signal into many independent, personalized subscriber orders via parallel workers</w:t>
            </w:r>
          </w:p>
        </w:tc>
      </w:tr>
      <w:tr>
        <w:tc>
          <w:tcPr>
            <w:tcW w:type="dxa" w:w="2400"/>
            <w:shd w:fill="FFFFFF" w:val="clear"/>
            <w:tcMar>
              <w:top w:type="dxa" w:w="70"/>
              <w:left w:type="dxa" w:w="110"/>
              <w:bottom w:type="dxa" w:w="70"/>
              <w:right w:type="dxa" w:w="110"/>
            </w:tcMar>
            <w:vAlign w:val="center"/>
          </w:tcPr>
          <w:p>
            <w:r>
              <w:rPr>
                <w:sz w:val="19"/>
                <w:szCs w:val="19"/>
              </w:rPr>
              <w:t xml:space="preserve">KYC Gate</w:t>
            </w:r>
          </w:p>
        </w:tc>
        <w:tc>
          <w:tcPr>
            <w:tcW w:type="dxa" w:w="6800"/>
            <w:shd w:fill="FFFFFF" w:val="clear"/>
            <w:tcMar>
              <w:top w:type="dxa" w:w="70"/>
              <w:left w:type="dxa" w:w="110"/>
              <w:bottom w:type="dxa" w:w="70"/>
              <w:right w:type="dxa" w:w="110"/>
            </w:tcMar>
            <w:vAlign w:val="center"/>
          </w:tcPr>
          <w:p>
            <w:r>
              <w:rPr>
                <w:sz w:val="19"/>
                <w:szCs w:val="19"/>
              </w:rPr>
              <w:t xml:space="preserve">Server-side enforcement that blocks specific financial actions until a user's identity is VERIFIED</w:t>
            </w:r>
          </w:p>
        </w:tc>
      </w:tr>
      <w:tr>
        <w:tc>
          <w:tcPr>
            <w:tcW w:type="dxa" w:w="2400"/>
            <w:shd w:fill="EEF2F8" w:val="clear"/>
            <w:tcMar>
              <w:top w:type="dxa" w:w="70"/>
              <w:left w:type="dxa" w:w="110"/>
              <w:bottom w:type="dxa" w:w="70"/>
              <w:right w:type="dxa" w:w="110"/>
            </w:tcMar>
            <w:vAlign w:val="center"/>
          </w:tcPr>
          <w:p>
            <w:r>
              <w:rPr>
                <w:sz w:val="19"/>
                <w:szCs w:val="19"/>
              </w:rPr>
              <w:t xml:space="preserve">Event Bus</w:t>
            </w:r>
          </w:p>
        </w:tc>
        <w:tc>
          <w:tcPr>
            <w:tcW w:type="dxa" w:w="6800"/>
            <w:shd w:fill="EEF2F8" w:val="clear"/>
            <w:tcMar>
              <w:top w:type="dxa" w:w="70"/>
              <w:left w:type="dxa" w:w="110"/>
              <w:bottom w:type="dxa" w:w="70"/>
              <w:right w:type="dxa" w:w="110"/>
            </w:tcMar>
            <w:vAlign w:val="center"/>
          </w:tcPr>
          <w:p>
            <w:r>
              <w:rPr>
                <w:sz w:val="19"/>
                <w:szCs w:val="19"/>
              </w:rPr>
              <w:t xml:space="preserve">The platform-wide mechanism by which services publish and subscribe to events (e.g. TradeExecuted, RiskApproved) to remain loosely coupled</w:t>
            </w:r>
          </w:p>
        </w:tc>
      </w:tr>
    </w:tbl>
    <w:p>
      <w:pPr>
        <w:spacing w:after="100"/>
      </w:pPr>
    </w:p>
    <w:p>
      <w:pPr>
        <w:pBdr>
          <w:top w:val="single" w:color="2F5597" w:sz="6" w:space="8"/>
        </w:pBdr>
        <w:spacing w:before="400"/>
        <w:jc w:val="center"/>
      </w:pPr>
      <w:r>
        <w:rPr>
          <w:i/>
          <w:iCs/>
          <w:color w:val="5A5A5A"/>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SignalForge AI –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2026-08-10T08:51:56.744Z</dcterms:created>
  <dcterms:modified xsi:type="dcterms:W3CDTF">2026-08-10T08:51:56.762Z</dcterms:modified>
</cp:coreProperties>
</file>

<file path=docProps/custom.xml><?xml version="1.0" encoding="utf-8"?>
<Properties xmlns="http://schemas.openxmlformats.org/officeDocument/2006/custom-properties" xmlns:vt="http://schemas.openxmlformats.org/officeDocument/2006/docPropsVTypes"/>
</file>