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867F6"/>
          <w:sz w:val="36"/>
        </w:rPr>
        <w:t>SyncExc</w:t>
      </w:r>
    </w:p>
    <w:p>
      <w:pPr>
        <w:pStyle w:val="Title"/>
        <w:jc w:val="center"/>
      </w:pPr>
      <w:r>
        <w:t>Signal Source Connections &amp; User Workspaces</w:t>
      </w:r>
    </w:p>
    <w:p>
      <w:pPr>
        <w:jc w:val="center"/>
      </w:pPr>
      <w:r>
        <w:rPr>
          <w:i/>
          <w:sz w:val="26"/>
        </w:rPr>
        <w:t>Complete Product and Engineering Specification</w:t>
      </w:r>
    </w:p>
    <w:p/>
    <w:p>
      <w:pPr>
        <w:jc w:val="center"/>
      </w:pPr>
      <w:r>
        <w:rPr>
          <w:b/>
        </w:rPr>
        <w:t>Two corrected modules for the SyncExc platform</w:t>
      </w:r>
    </w:p>
    <w:p>
      <w:pPr>
        <w:jc w:val="center"/>
      </w:pPr>
      <w:r>
        <w:t>Version 1.0 | October 2026</w:t>
      </w:r>
    </w:p>
    <w:p>
      <w:r>
        <w:br w:type="page"/>
      </w:r>
    </w:p>
    <w:p>
      <w:pPr>
        <w:pStyle w:val="Heading1"/>
      </w:pPr>
      <w:r>
        <w:t>Document purpose and shared principles</w:t>
      </w:r>
    </w:p>
    <w:p>
      <w:r>
        <w:t>This document defines two separate SyncExc modules: (1) Signal Source Connections and Automated Trade Execution, and (2) User Workspaces and Capability Activation. It replaces earlier assumptions that SyncExc discovers public signal sources or that a workspace is merely a generic team folder.</w:t>
      </w:r>
    </w:p>
    <w:p>
      <w:pPr>
        <w:pStyle w:val="ListBullet"/>
      </w:pPr>
      <w:r>
        <w:t>Users connect their own supported messaging accounts and choose the channels, groups, or feeds they want monitored. There is no source-discovery workflow in this module.</w:t>
      </w:r>
    </w:p>
    <w:p>
      <w:pPr>
        <w:pStyle w:val="ListBullet"/>
      </w:pPr>
      <w:r>
        <w:t>One user identity can own multiple Trader workspaces and multiple Developer workspaces, in addition to the user’s ordinary personal experience.</w:t>
      </w:r>
    </w:p>
    <w:p>
      <w:pPr>
        <w:pStyle w:val="ListBullet"/>
      </w:pPr>
      <w:r>
        <w:t>The platform supports three trading initiation pathways: direct exchange/terminal trading with optional synchronization, marketplace copy trading, and incoming signal sources.</w:t>
      </w:r>
    </w:p>
    <w:p>
      <w:pPr>
        <w:pStyle w:val="ListBullet"/>
      </w:pPr>
      <w:r>
        <w:t>All pathways use shared authorization, entitlement, exchange-capability, risk, execution, deduplication, monitoring, and reconciliation controls.</w:t>
      </w:r>
    </w:p>
    <w:p>
      <w:pPr>
        <w:pStyle w:val="ListBullet"/>
      </w:pPr>
      <w:r>
        <w:t>AI interprets messages; it does not grant authorization, override risk controls, or invent missing trading parameters.</w:t>
      </w:r>
    </w:p>
    <w:p>
      <w:pPr>
        <w:pStyle w:val="ListBullet"/>
      </w:pPr>
      <w:r>
        <w:t>No KYC or identity-document collection/verification workflow is part of these modules.</w:t>
      </w:r>
    </w:p>
    <w:p>
      <w:pPr>
        <w:pStyle w:val="ListBullet"/>
      </w:pPr>
      <w:r>
        <w:t>Simulation/sandbox activity must be visibly distinguished from live exchange activity.</w:t>
      </w:r>
    </w:p>
    <w:p>
      <w:pPr>
        <w:pStyle w:val="Heading1"/>
      </w:pPr>
      <w:r>
        <w:t>Platform context: three trade-entry pathways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CE7FA"/>
          </w:tcPr>
          <w:p>
            <w:r>
              <w:rPr>
                <w:b/>
              </w:rPr>
              <w:t>Pathway</w:t>
            </w:r>
          </w:p>
        </w:tc>
        <w:tc>
          <w:tcPr>
            <w:tcW w:type="dxa" w:w="3312"/>
            <w:shd w:fill="DCE7FA"/>
          </w:tcPr>
          <w:p>
            <w:r>
              <w:rPr>
                <w:b/>
              </w:rPr>
              <w:t>Initiation</w:t>
            </w:r>
          </w:p>
        </w:tc>
        <w:tc>
          <w:tcPr>
            <w:tcW w:type="dxa" w:w="3312"/>
            <w:shd w:fill="DCE7FA"/>
          </w:tcPr>
          <w:p>
            <w:r>
              <w:rPr>
                <w:b/>
              </w:rPr>
              <w:t>Shared downstream handling</w:t>
            </w:r>
          </w:p>
        </w:tc>
      </w:tr>
      <w:tr>
        <w:tc>
          <w:tcPr>
            <w:tcW w:type="dxa" w:w="3312"/>
          </w:tcPr>
          <w:p>
            <w:r>
              <w:t>Direct exchange / SyncExc terminal</w:t>
            </w:r>
          </w:p>
        </w:tc>
        <w:tc>
          <w:tcPr>
            <w:tcW w:type="dxa" w:w="3312"/>
          </w:tcPr>
          <w:p>
            <w:r>
              <w:t>User trades directly on an exchange, or submits an order through SyncExc. External activity may be mirrored only when explicitly enabled.</w:t>
            </w:r>
          </w:p>
        </w:tc>
        <w:tc>
          <w:tcPr>
            <w:tcW w:type="dxa" w:w="3312"/>
          </w:tcPr>
          <w:p>
            <w:r>
              <w:t>Identify source event; validate eligibility and deduplicate; apply risk controls; route to destinations if authorized; reconcile each result.</w:t>
            </w:r>
          </w:p>
        </w:tc>
      </w:tr>
      <w:tr>
        <w:tc>
          <w:tcPr>
            <w:tcW w:type="dxa" w:w="3312"/>
          </w:tcPr>
          <w:p>
            <w:r>
              <w:t>Marketplace copy trading</w:t>
            </w:r>
          </w:p>
        </w:tc>
        <w:tc>
          <w:tcPr>
            <w:tcW w:type="dxa" w:w="3312"/>
          </w:tcPr>
          <w:p>
            <w:r>
              <w:t>User follows or subscribes to a trader and explicitly configures copy-trading permissions and destination accounts.</w:t>
            </w:r>
          </w:p>
        </w:tc>
        <w:tc>
          <w:tcPr>
            <w:tcW w:type="dxa" w:w="3312"/>
          </w:tcPr>
          <w:p>
            <w:r>
              <w:t>Validate the published/observed signal, follower rules, entitlements and risk; create destination-specific intents; track each outcome independently.</w:t>
            </w:r>
          </w:p>
        </w:tc>
      </w:tr>
      <w:tr>
        <w:tc>
          <w:tcPr>
            <w:tcW w:type="dxa" w:w="3312"/>
          </w:tcPr>
          <w:p>
            <w:r>
              <w:t>Incoming signal sources</w:t>
            </w:r>
          </w:p>
        </w:tc>
        <w:tc>
          <w:tcPr>
            <w:tcW w:type="dxa" w:w="3312"/>
          </w:tcPr>
          <w:p>
            <w:r>
              <w:t>User connects Telegram or another supported messaging source, selects channels/groups, and enables monitoring.</w:t>
            </w:r>
          </w:p>
        </w:tc>
        <w:tc>
          <w:tcPr>
            <w:tcW w:type="dxa" w:w="3312"/>
          </w:tcPr>
          <w:p>
            <w:r>
              <w:t>Ingest message; deduplicate; parse; validate; apply source and user settings; risk-check; route eligible intent; reconcile and notify.</w:t>
            </w:r>
          </w:p>
        </w:tc>
      </w:tr>
    </w:tbl>
    <w:p/>
    <w:p>
      <w:r>
        <w:t>These are separate initiation pathways, not three independent execution engines. The shared execution and risk architecture must identify overlapping events so the same intended trade is not unintentionally executed more than once.</w:t>
      </w:r>
    </w:p>
    <w:p>
      <w:r>
        <w:br w:type="page"/>
      </w:r>
    </w:p>
    <w:p>
      <w:pPr>
        <w:pStyle w:val="Heading1"/>
      </w:pPr>
      <w:r>
        <w:t>MODULE A — Signal Source Connections and Automated Trade Execution</w:t>
      </w:r>
    </w:p>
    <w:p>
      <w:r>
        <w:t>Module key: SIGNAL-SOURCES | Owner: Signal Connections and Processing | Status: Specification baseline</w:t>
      </w:r>
    </w:p>
    <w:p>
      <w:pPr>
        <w:pStyle w:val="Heading2"/>
      </w:pPr>
      <w:r>
        <w:t>1. Purpose and scope</w:t>
      </w:r>
    </w:p>
    <w:p>
      <w:r>
        <w:t>Allow users to connect their own supported messaging accounts, authenticate, select the channels/groups they want SyncExc to monitor, and configure how eligible incoming trading signals should be processed and routed to their connected exchange accounts. The module includes connection management, source selection, message ingestion, AI/deterministic parsing, validation, per-user configuration, destination routing, lifecycle tracking, troubleshooting, and auditability.</w:t>
      </w:r>
    </w:p>
    <w:p>
      <w:pPr>
        <w:pStyle w:val="Heading2"/>
      </w:pPr>
      <w:r>
        <w:t>2. Explicit exclusions</w:t>
      </w:r>
    </w:p>
    <w:p>
      <w:pPr>
        <w:pStyle w:val="ListBullet"/>
      </w:pPr>
      <w:r>
        <w:t>No AI-powered source discovery, public-source directory, or automated recommendation of channels to join.</w:t>
      </w:r>
    </w:p>
    <w:p>
      <w:pPr>
        <w:pStyle w:val="ListBullet"/>
      </w:pPr>
      <w:r>
        <w:t>No automatic monitoring of every channel accessible to a connected messaging account; users select sources explicitly.</w:t>
      </w:r>
    </w:p>
    <w:p>
      <w:pPr>
        <w:pStyle w:val="ListBullet"/>
      </w:pPr>
      <w:r>
        <w:t>No assumption that every messaging platform permits personal-account, group, or channel monitoring through every API.</w:t>
      </w:r>
    </w:p>
    <w:p>
      <w:pPr>
        <w:pStyle w:val="ListBullet"/>
      </w:pPr>
      <w:r>
        <w:t>No direct AI-to-exchange execution without authorization, deterministic validation, entitlement checks, and risk evaluation.</w:t>
      </w:r>
    </w:p>
    <w:p>
      <w:pPr>
        <w:pStyle w:val="ListBullet"/>
      </w:pPr>
      <w:r>
        <w:t>No guarantee of profitable signals or claims that AI can reliably infer information absent from a message.</w:t>
      </w:r>
    </w:p>
    <w:p>
      <w:pPr>
        <w:pStyle w:val="Heading2"/>
      </w:pPr>
      <w:r>
        <w:t>3. Supported connection model</w:t>
      </w:r>
    </w:p>
    <w:p>
      <w:r>
        <w:t>Provide a Connected Sources area. Each provider adapter declares supported account types, authentication method, content visibility, supported message events, edit/delete/reply support, history limits, rate limits, regional/account restrictions, and recovery behavior. The UI must communicate these limitations before a user connects.</w:t>
      </w:r>
    </w:p>
    <w:p>
      <w:pPr>
        <w:pStyle w:val="Heading3"/>
      </w:pPr>
      <w:r>
        <w:t>3.1 Telegram</w:t>
      </w:r>
    </w:p>
    <w:p>
      <w:pPr>
        <w:pStyle w:val="ListBullet"/>
      </w:pPr>
      <w:r>
        <w:t>Use a supported Telegram client/API integration and comply with Telegram terms and applicable platform requirements.</w:t>
      </w:r>
    </w:p>
    <w:p>
      <w:pPr>
        <w:pStyle w:val="ListBullet"/>
      </w:pPr>
      <w:r>
        <w:t>The user initiates Connect Telegram, enters their phone number in the supported authentication flow, and completes Telegram verification, including login code and two-step verification when required.</w:t>
      </w:r>
    </w:p>
    <w:p>
      <w:pPr>
        <w:pStyle w:val="ListBullet"/>
      </w:pPr>
      <w:r>
        <w:t>After authentication, enumerate only channels/groups accessible to the authorized account and supported by the integration.</w:t>
      </w:r>
    </w:p>
    <w:p>
      <w:pPr>
        <w:pStyle w:val="ListBullet"/>
      </w:pPr>
      <w:r>
        <w:t>Allow the user to select or deselect each channel/group and assign a display label, categories, monitoring status, and execution configuration.</w:t>
      </w:r>
    </w:p>
    <w:p>
      <w:pPr>
        <w:pStyle w:val="ListBullet"/>
      </w:pPr>
      <w:r>
        <w:t>Support connection health, reauthorization prompts, disconnect, session revocation, and recovery after interruptions.</w:t>
      </w:r>
    </w:p>
    <w:p>
      <w:pPr>
        <w:pStyle w:val="ListBullet"/>
      </w:pPr>
      <w:r>
        <w:t>Treat Telegram session material as highly sensitive. Encrypt it, restrict access, rotate/revoke where possible, and never expose it in logs or support tools.</w:t>
      </w:r>
    </w:p>
    <w:p>
      <w:pPr>
        <w:pStyle w:val="Heading3"/>
      </w:pPr>
      <w:r>
        <w:t>3.2 WhatsApp and other providers</w:t>
      </w:r>
    </w:p>
    <w:p>
      <w:r>
        <w:t>WhatsApp support must use an authorized integration that actually permits the required message access for the applicable account type. Do not promise unrestricted monitoring of personal chats or groups unless the approved integration permits it. Additional providers may include Discord, authorized webhooks, and signal APIs, subject to their actual access models. Every provider adapter must describe its capabilities and limitations.</w:t>
      </w:r>
    </w:p>
    <w:p>
      <w:pPr>
        <w:pStyle w:val="Heading2"/>
      </w:pPr>
      <w:r>
        <w:t>4. End-to-end user workflow</w:t>
      </w:r>
    </w:p>
    <w:p>
      <w:pPr>
        <w:pStyle w:val="ListNumber"/>
      </w:pPr>
      <w:r>
        <w:t>User opens Connected Sources and chooses a supported provider.</w:t>
      </w:r>
    </w:p>
    <w:p>
      <w:pPr>
        <w:pStyle w:val="ListNumber"/>
      </w:pPr>
      <w:r>
        <w:t>User completes provider authentication through the approved flow.</w:t>
      </w:r>
    </w:p>
    <w:p>
      <w:pPr>
        <w:pStyle w:val="ListNumber"/>
      </w:pPr>
      <w:r>
        <w:t>SyncExc confirms the connection and lists eligible channels/groups/feeds.</w:t>
      </w:r>
    </w:p>
    <w:p>
      <w:pPr>
        <w:pStyle w:val="ListNumber"/>
      </w:pPr>
      <w:r>
        <w:t>User selects the specific sources to monitor. All other accessible sources remain unmonitored.</w:t>
      </w:r>
    </w:p>
    <w:p>
      <w:pPr>
        <w:pStyle w:val="ListNumber"/>
      </w:pPr>
      <w:r>
        <w:t>User configures accepted signal types, markets, filters, execution mode, sizing rules, and handling for incomplete or ambiguous signals.</w:t>
      </w:r>
    </w:p>
    <w:p>
      <w:pPr>
        <w:pStyle w:val="ListNumber"/>
      </w:pPr>
      <w:r>
        <w:t>User chooses one or more destination exchange accounts from their already-connected accounts.</w:t>
      </w:r>
    </w:p>
    <w:p>
      <w:pPr>
        <w:pStyle w:val="ListNumber"/>
      </w:pPr>
      <w:r>
        <w:t>SyncExc verifies current subscription entitlements, source permissions, exchange capabilities, user authorization, and risk-policy compatibility.</w:t>
      </w:r>
    </w:p>
    <w:p>
      <w:pPr>
        <w:pStyle w:val="ListNumber"/>
      </w:pPr>
      <w:r>
        <w:t>User tests the configuration in a sandbox or preview flow where available, then explicitly enables monitoring.</w:t>
      </w:r>
    </w:p>
    <w:p>
      <w:pPr>
        <w:pStyle w:val="ListNumber"/>
      </w:pPr>
      <w:r>
        <w:t>SyncExc ingests messages, records processing results, and routes only eligible, authorized execution intents.</w:t>
      </w:r>
    </w:p>
    <w:p>
      <w:pPr>
        <w:pStyle w:val="ListNumber"/>
      </w:pPr>
      <w:r>
        <w:t>User monitors source health, parsed signals, destination outcomes, skipped reasons, and incidents from the dashboard.</w:t>
      </w:r>
    </w:p>
    <w:p>
      <w:pPr>
        <w:pStyle w:val="Heading2"/>
      </w:pPr>
      <w:r>
        <w:t>5. Source selection and management</w:t>
      </w:r>
    </w:p>
    <w:p>
      <w:pPr>
        <w:pStyle w:val="ListBullet"/>
      </w:pPr>
      <w:r>
        <w:t>List connected messaging accounts and their selected channels/groups.</w:t>
      </w:r>
    </w:p>
    <w:p>
      <w:pPr>
        <w:pStyle w:val="ListBullet"/>
      </w:pPr>
      <w:r>
        <w:t>Support search and filtering over the channels already accessible through the connection; this is not source discovery.</w:t>
      </w:r>
    </w:p>
    <w:p>
      <w:pPr>
        <w:pStyle w:val="ListBullet"/>
      </w:pPr>
      <w:r>
        <w:t>Allow per-source enable/pause, rename, category, supported market, signal filters, execution mode, and destination overrides.</w:t>
      </w:r>
    </w:p>
    <w:p>
      <w:pPr>
        <w:pStyle w:val="ListBullet"/>
      </w:pPr>
      <w:r>
        <w:t>Show last successful event, last received message, ingestion lag, connection health, authorization status, and recent errors.</w:t>
      </w:r>
    </w:p>
    <w:p>
      <w:pPr>
        <w:pStyle w:val="ListBullet"/>
      </w:pPr>
      <w:r>
        <w:t>Allow a user to pause a source without disconnecting the whole messaging account.</w:t>
      </w:r>
    </w:p>
    <w:p>
      <w:pPr>
        <w:pStyle w:val="ListBullet"/>
      </w:pPr>
      <w:r>
        <w:t>When a source is deselected, stop accepting new messages from it according to a defined cutoff. Preserve prior audit and execution history.</w:t>
      </w:r>
    </w:p>
    <w:p>
      <w:pPr>
        <w:pStyle w:val="ListBullet"/>
      </w:pPr>
      <w:r>
        <w:t>Source removal must not silently cancel exchange orders already submitted or close existing positions.</w:t>
      </w:r>
    </w:p>
    <w:p>
      <w:pPr>
        <w:pStyle w:val="Heading2"/>
      </w:pPr>
      <w:r>
        <w:t>6. Message ingestion and normalization</w:t>
      </w:r>
    </w:p>
    <w:p>
      <w:r>
        <w:t>Normalize provider events into a common message envelope while preserving provider-specific fields. Include provider, connected account, source/channel ID, message ID, provider timestamp, received timestamp, edit/reply/thread references where supported, content type, and a secure source reference. Avoid storing unnecessary private conversation content. Process only explicitly selected sources and permitted event types.</w:t>
      </w:r>
    </w:p>
    <w:p>
      <w:pPr>
        <w:pStyle w:val="Heading3"/>
      </w:pPr>
      <w:r>
        <w:t>6.1 Deduplication and updates</w:t>
      </w:r>
    </w:p>
    <w:p>
      <w:pPr>
        <w:pStyle w:val="ListBullet"/>
      </w:pPr>
      <w:r>
        <w:t>Use provider message ID plus connection/source identity as the primary ingestion idempotency key where stable identifiers exist.</w:t>
      </w:r>
    </w:p>
    <w:p>
      <w:pPr>
        <w:pStyle w:val="ListBullet"/>
      </w:pPr>
      <w:r>
        <w:t>Handle repeated delivery, reconnect backfills, edited messages, forwarded messages, replies, and provider retries distinctly.</w:t>
      </w:r>
    </w:p>
    <w:p>
      <w:pPr>
        <w:pStyle w:val="ListBullet"/>
      </w:pPr>
      <w:r>
        <w:t>An edited signal is a new version/correction of the original signal, not automatically a brand-new trade.</w:t>
      </w:r>
    </w:p>
    <w:p>
      <w:pPr>
        <w:pStyle w:val="ListBullet"/>
      </w:pPr>
      <w:r>
        <w:t>Apply a configurable cutoff for late-arriving or historical messages; do not blindly execute old signals after a reconnect.</w:t>
      </w:r>
    </w:p>
    <w:p>
      <w:pPr>
        <w:pStyle w:val="ListBullet"/>
      </w:pPr>
      <w:r>
        <w:t>Prevent feedback loops when SyncExc-generated or mirrored activity appears in another monitored source.</w:t>
      </w:r>
    </w:p>
    <w:p>
      <w:pPr>
        <w:pStyle w:val="Heading2"/>
      </w:pPr>
      <w:r>
        <w:t>7. AI and deterministic signal processing</w:t>
      </w:r>
    </w:p>
    <w:p>
      <w:r>
        <w:t>Use deterministic parsers for known formats and AI-assisted extraction for supported unstructured messages. AI outputs are untrusted proposals that must be schema-validated and checked against the original message and context before use.</w:t>
      </w:r>
    </w:p>
    <w:tbl>
      <w:tblPr>
        <w:tblStyle w:val="LightShading-Accent1"/>
        <w:tblW w:type="auto" w:w="0"/>
        <w:tblLook w:firstColumn="1" w:firstRow="1" w:lastColumn="0" w:lastRow="0" w:noHBand="0" w:noVBand="1" w:val="04A0"/>
      </w:tblPr>
      <w:tblGrid>
        <w:gridCol w:w="4968"/>
        <w:gridCol w:w="4968"/>
      </w:tblGrid>
      <w:tr>
        <w:tc>
          <w:tcPr>
            <w:tcW w:type="dxa" w:w="4968"/>
            <w:shd w:fill="DCE7FA"/>
          </w:tcPr>
          <w:p>
            <w:r>
              <w:rPr>
                <w:b/>
              </w:rPr>
              <w:t>Field</w:t>
            </w:r>
          </w:p>
        </w:tc>
        <w:tc>
          <w:tcPr>
            <w:tcW w:type="dxa" w:w="4968"/>
            <w:shd w:fill="DCE7FA"/>
          </w:tcPr>
          <w:p>
            <w:r>
              <w:rPr>
                <w:b/>
              </w:rPr>
              <w:t>Rule</w:t>
            </w:r>
          </w:p>
        </w:tc>
      </w:tr>
      <w:tr>
        <w:tc>
          <w:tcPr>
            <w:tcW w:type="dxa" w:w="4968"/>
          </w:tcPr>
          <w:p>
            <w:r>
              <w:t>Instrument / pair</w:t>
            </w:r>
          </w:p>
        </w:tc>
        <w:tc>
          <w:tcPr>
            <w:tcW w:type="dxa" w:w="4968"/>
          </w:tcPr>
          <w:p>
            <w:r>
              <w:t>Resolve against supported exchange instruments and explicit user market settings; never guess an ambiguous pair.</w:t>
            </w:r>
          </w:p>
        </w:tc>
      </w:tr>
      <w:tr>
        <w:tc>
          <w:tcPr>
            <w:tcW w:type="dxa" w:w="4968"/>
          </w:tcPr>
          <w:p>
            <w:r>
              <w:t>Direction / action</w:t>
            </w:r>
          </w:p>
        </w:tc>
        <w:tc>
          <w:tcPr>
            <w:tcW w:type="dxa" w:w="4968"/>
          </w:tcPr>
          <w:p>
            <w:r>
              <w:t>Extract only when explicit or unambiguously supported by validated context.</w:t>
            </w:r>
          </w:p>
        </w:tc>
      </w:tr>
      <w:tr>
        <w:tc>
          <w:tcPr>
            <w:tcW w:type="dxa" w:w="4968"/>
          </w:tcPr>
          <w:p>
            <w:r>
              <w:t>Entry price/range</w:t>
            </w:r>
          </w:p>
        </w:tc>
        <w:tc>
          <w:tcPr>
            <w:tcW w:type="dxa" w:w="4968"/>
          </w:tcPr>
          <w:p>
            <w:r>
              <w:t>Preserve ranges and conditions; do not silently convert them into a market order.</w:t>
            </w:r>
          </w:p>
        </w:tc>
      </w:tr>
      <w:tr>
        <w:tc>
          <w:tcPr>
            <w:tcW w:type="dxa" w:w="4968"/>
          </w:tcPr>
          <w:p>
            <w:r>
              <w:t>Stop-loss / targets</w:t>
            </w:r>
          </w:p>
        </w:tc>
        <w:tc>
          <w:tcPr>
            <w:tcW w:type="dxa" w:w="4968"/>
          </w:tcPr>
          <w:p>
            <w:r>
              <w:t>Preserve each level and its meaning. Do not invent absent protection levels.</w:t>
            </w:r>
          </w:p>
        </w:tc>
      </w:tr>
      <w:tr>
        <w:tc>
          <w:tcPr>
            <w:tcW w:type="dxa" w:w="4968"/>
          </w:tcPr>
          <w:p>
            <w:r>
              <w:t>Leverage / margin mode</w:t>
            </w:r>
          </w:p>
        </w:tc>
        <w:tc>
          <w:tcPr>
            <w:tcW w:type="dxa" w:w="4968"/>
          </w:tcPr>
          <w:p>
            <w:r>
              <w:t>Use only when explicitly stated or explicitly configured by the user under permitted policy; never infer a risky value.</w:t>
            </w:r>
          </w:p>
        </w:tc>
      </w:tr>
      <w:tr>
        <w:tc>
          <w:tcPr>
            <w:tcW w:type="dxa" w:w="4968"/>
          </w:tcPr>
          <w:p>
            <w:r>
              <w:t>Timestamp / expiry</w:t>
            </w:r>
          </w:p>
        </w:tc>
        <w:tc>
          <w:tcPr>
            <w:tcW w:type="dxa" w:w="4968"/>
          </w:tcPr>
          <w:p>
            <w:r>
              <w:t>Use source time where available and apply freshness/expiry policy.</w:t>
            </w:r>
          </w:p>
        </w:tc>
      </w:tr>
      <w:tr>
        <w:tc>
          <w:tcPr>
            <w:tcW w:type="dxa" w:w="4968"/>
          </w:tcPr>
          <w:p>
            <w:r>
              <w:t>Amendment / cancellation / close</w:t>
            </w:r>
          </w:p>
        </w:tc>
        <w:tc>
          <w:tcPr>
            <w:tcW w:type="dxa" w:w="4968"/>
          </w:tcPr>
          <w:p>
            <w:r>
              <w:t>Link to the original signal and validate the action type before any resulting intent.</w:t>
            </w:r>
          </w:p>
        </w:tc>
      </w:tr>
      <w:tr>
        <w:tc>
          <w:tcPr>
            <w:tcW w:type="dxa" w:w="4968"/>
          </w:tcPr>
          <w:p>
            <w:r>
              <w:t>Provenance</w:t>
            </w:r>
          </w:p>
        </w:tc>
        <w:tc>
          <w:tcPr>
            <w:tcW w:type="dxa" w:w="4968"/>
          </w:tcPr>
          <w:p>
            <w:r>
              <w:t>Store source message reference, parser/AI version, normalized output, confidence or uncertainty indicators, and validation outcome.</w:t>
            </w:r>
          </w:p>
        </w:tc>
      </w:tr>
    </w:tbl>
    <w:p/>
    <w:p>
      <w:pPr>
        <w:pStyle w:val="Heading3"/>
      </w:pPr>
      <w:r>
        <w:t>7.1 Validation outcomes</w:t>
      </w:r>
    </w:p>
    <w:p>
      <w:pPr>
        <w:pStyle w:val="ListBullet"/>
      </w:pPr>
      <w:r>
        <w:t>eligible: parsed fields are sufficient and all deterministic checks pass.</w:t>
      </w:r>
    </w:p>
    <w:p>
      <w:pPr>
        <w:pStyle w:val="ListBullet"/>
      </w:pPr>
      <w:r>
        <w:t>needs_confirmation: user configuration requires review before execution.</w:t>
      </w:r>
    </w:p>
    <w:p>
      <w:pPr>
        <w:pStyle w:val="ListBullet"/>
      </w:pPr>
      <w:r>
        <w:t>held_for_review: message is ambiguous, contradictory, incomplete, stale, or requires user attention.</w:t>
      </w:r>
    </w:p>
    <w:p>
      <w:pPr>
        <w:pStyle w:val="ListBullet"/>
      </w:pPr>
      <w:r>
        <w:t>rejected: unsupported, invalid, unauthorized, or outside configured filters.</w:t>
      </w:r>
    </w:p>
    <w:p>
      <w:pPr>
        <w:pStyle w:val="ListBullet"/>
      </w:pPr>
      <w:r>
        <w:t>duplicate: equivalent event already processed under the relevant deduplication policy.</w:t>
      </w:r>
    </w:p>
    <w:p>
      <w:pPr>
        <w:pStyle w:val="ListBullet"/>
      </w:pPr>
      <w:r>
        <w:t>expired: signal is outside the permitted freshness window.</w:t>
      </w:r>
    </w:p>
    <w:p>
      <w:pPr>
        <w:pStyle w:val="ListBullet"/>
      </w:pPr>
      <w:r>
        <w:t>blocked_by_risk: the risk engine denies or cannot safely evaluate the operation.</w:t>
      </w:r>
    </w:p>
    <w:p>
      <w:r>
        <w:t>The AI must never fabricate missing parameters to force a signal into the eligible state.</w:t>
      </w:r>
    </w:p>
    <w:p>
      <w:pPr>
        <w:pStyle w:val="Heading2"/>
      </w:pPr>
      <w:r>
        <w:t>8. User execution configuration</w:t>
      </w:r>
    </w:p>
    <w:tbl>
      <w:tblPr>
        <w:tblStyle w:val="LightShading-Accent1"/>
        <w:tblW w:type="auto" w:w="0"/>
        <w:tblLook w:firstColumn="1" w:firstRow="1" w:lastColumn="0" w:lastRow="0" w:noHBand="0" w:noVBand="1" w:val="04A0"/>
      </w:tblPr>
      <w:tblGrid>
        <w:gridCol w:w="4968"/>
        <w:gridCol w:w="4968"/>
      </w:tblGrid>
      <w:tr>
        <w:tc>
          <w:tcPr>
            <w:tcW w:type="dxa" w:w="4968"/>
            <w:shd w:fill="DCE7FA"/>
          </w:tcPr>
          <w:p>
            <w:r>
              <w:rPr>
                <w:b/>
              </w:rPr>
              <w:t>Configuration</w:t>
            </w:r>
          </w:p>
        </w:tc>
        <w:tc>
          <w:tcPr>
            <w:tcW w:type="dxa" w:w="4968"/>
            <w:shd w:fill="DCE7FA"/>
          </w:tcPr>
          <w:p>
            <w:r>
              <w:rPr>
                <w:b/>
              </w:rPr>
              <w:t>Expected behavior</w:t>
            </w:r>
          </w:p>
        </w:tc>
      </w:tr>
      <w:tr>
        <w:tc>
          <w:tcPr>
            <w:tcW w:type="dxa" w:w="4968"/>
          </w:tcPr>
          <w:p>
            <w:r>
              <w:t>Execution mode</w:t>
            </w:r>
          </w:p>
        </w:tc>
        <w:tc>
          <w:tcPr>
            <w:tcW w:type="dxa" w:w="4968"/>
          </w:tcPr>
          <w:p>
            <w:r>
              <w:t>Monitor only; confirm before execution; or authorized automation.</w:t>
            </w:r>
          </w:p>
        </w:tc>
      </w:tr>
      <w:tr>
        <w:tc>
          <w:tcPr>
            <w:tcW w:type="dxa" w:w="4968"/>
          </w:tcPr>
          <w:p>
            <w:r>
              <w:t>Markets</w:t>
            </w:r>
          </w:p>
        </w:tc>
        <w:tc>
          <w:tcPr>
            <w:tcW w:type="dxa" w:w="4968"/>
          </w:tcPr>
          <w:p>
            <w:r>
              <w:t>Spot and supported futures/perpetual markets, gated by exchange and subscription capabilities.</w:t>
            </w:r>
          </w:p>
        </w:tc>
      </w:tr>
      <w:tr>
        <w:tc>
          <w:tcPr>
            <w:tcW w:type="dxa" w:w="4968"/>
          </w:tcPr>
          <w:p>
            <w:r>
              <w:t>Signal filters</w:t>
            </w:r>
          </w:p>
        </w:tc>
        <w:tc>
          <w:tcPr>
            <w:tcW w:type="dxa" w:w="4968"/>
          </w:tcPr>
          <w:p>
            <w:r>
              <w:t>Accepted pairs, direction, source categories, completeness, freshness, and other supported deterministic filters.</w:t>
            </w:r>
          </w:p>
        </w:tc>
      </w:tr>
      <w:tr>
        <w:tc>
          <w:tcPr>
            <w:tcW w:type="dxa" w:w="4968"/>
          </w:tcPr>
          <w:p>
            <w:r>
              <w:t>Sizing/allocation</w:t>
            </w:r>
          </w:p>
        </w:tc>
        <w:tc>
          <w:tcPr>
            <w:tcW w:type="dxa" w:w="4968"/>
          </w:tcPr>
          <w:p>
            <w:r>
              <w:t>Supported fixed amount, fixed percentage, or other explicit allocation method with a clearly defined base.</w:t>
            </w:r>
          </w:p>
        </w:tc>
      </w:tr>
      <w:tr>
        <w:tc>
          <w:tcPr>
            <w:tcW w:type="dxa" w:w="4968"/>
          </w:tcPr>
          <w:p>
            <w:r>
              <w:t>Leverage and margin</w:t>
            </w:r>
          </w:p>
        </w:tc>
        <w:tc>
          <w:tcPr>
            <w:tcW w:type="dxa" w:w="4968"/>
          </w:tcPr>
          <w:p>
            <w:r>
              <w:t>Only within explicit user configuration, exchange support, and risk-policy limits.</w:t>
            </w:r>
          </w:p>
        </w:tc>
      </w:tr>
      <w:tr>
        <w:tc>
          <w:tcPr>
            <w:tcW w:type="dxa" w:w="4968"/>
          </w:tcPr>
          <w:p>
            <w:r>
              <w:t>Protection levels</w:t>
            </w:r>
          </w:p>
        </w:tc>
        <w:tc>
          <w:tcPr>
            <w:tcW w:type="dxa" w:w="4968"/>
          </w:tcPr>
          <w:p>
            <w:r>
              <w:t>Use validated stop-loss/targets when present; follow explicit policy for missing values. Never invent them.</w:t>
            </w:r>
          </w:p>
        </w:tc>
      </w:tr>
      <w:tr>
        <w:tc>
          <w:tcPr>
            <w:tcW w:type="dxa" w:w="4968"/>
          </w:tcPr>
          <w:p>
            <w:r>
              <w:t>Duplicate policy</w:t>
            </w:r>
          </w:p>
        </w:tc>
        <w:tc>
          <w:tcPr>
            <w:tcW w:type="dxa" w:w="4968"/>
          </w:tcPr>
          <w:p>
            <w:r>
              <w:t>Prevent duplicate message processing and duplicate trade intents, including overlap across the three entry pathways.</w:t>
            </w:r>
          </w:p>
        </w:tc>
      </w:tr>
      <w:tr>
        <w:tc>
          <w:tcPr>
            <w:tcW w:type="dxa" w:w="4968"/>
          </w:tcPr>
          <w:p>
            <w:r>
              <w:t>Failure policy</w:t>
            </w:r>
          </w:p>
        </w:tc>
        <w:tc>
          <w:tcPr>
            <w:tcW w:type="dxa" w:w="4968"/>
          </w:tcPr>
          <w:p>
            <w:r>
              <w:t>Hold, skip, pause, or request review according to explicit configuration and platform safety rules.</w:t>
            </w:r>
          </w:p>
        </w:tc>
      </w:tr>
      <w:tr>
        <w:tc>
          <w:tcPr>
            <w:tcW w:type="dxa" w:w="4968"/>
          </w:tcPr>
          <w:p>
            <w:r>
              <w:t>Notifications</w:t>
            </w:r>
          </w:p>
        </w:tc>
        <w:tc>
          <w:tcPr>
            <w:tcW w:type="dxa" w:w="4968"/>
          </w:tcPr>
          <w:p>
            <w:r>
              <w:t>Signal received, parsed, held, rejected, approval required, submitted, partial, completed, uncertain, or failed.</w:t>
            </w:r>
          </w:p>
        </w:tc>
      </w:tr>
    </w:tbl>
    <w:p/>
    <w:p>
      <w:r>
        <w:t>Store immutable configuration versions. Every execution intent references the exact configuration version used. Changes apply to future eligible intents unless a supported, explicit operation revalidates an in-flight intent.</w:t>
      </w:r>
    </w:p>
    <w:p>
      <w:pPr>
        <w:pStyle w:val="Heading2"/>
      </w:pPr>
      <w:r>
        <w:t>9. Destination exchange routing</w:t>
      </w:r>
    </w:p>
    <w:p>
      <w:pPr>
        <w:pStyle w:val="ListBullet"/>
      </w:pPr>
      <w:r>
        <w:t>Allow multiple destination exchange accounts per source/configuration when subscription entitlements permit.</w:t>
      </w:r>
    </w:p>
    <w:p>
      <w:pPr>
        <w:pStyle w:val="ListBullet"/>
      </w:pPr>
      <w:r>
        <w:t>Allow destination-specific sizing and supported overrides, subject to global and account-level risk constraints.</w:t>
      </w:r>
    </w:p>
    <w:p>
      <w:pPr>
        <w:pStyle w:val="ListBullet"/>
      </w:pPr>
      <w:r>
        <w:t>Validate account connectivity, instrument mapping, precision, market support, permissions, available data freshness, subscription limits, and risk before dispatch.</w:t>
      </w:r>
    </w:p>
    <w:p>
      <w:pPr>
        <w:pStyle w:val="ListBullet"/>
      </w:pPr>
      <w:r>
        <w:t>Never assume that a connected exchange account is automatically authorized for signal execution.</w:t>
      </w:r>
    </w:p>
    <w:p>
      <w:pPr>
        <w:pStyle w:val="ListBullet"/>
      </w:pPr>
      <w:r>
        <w:t>Store a separate destination result for every selected destination, including accepted, skipped, rejected, failed, uncertain, partial, and completed states.</w:t>
      </w:r>
    </w:p>
    <w:p>
      <w:pPr>
        <w:pStyle w:val="ListBullet"/>
      </w:pPr>
      <w:r>
        <w:t>A failure on one destination must not automatically reverse successful destinations unless a separately defined and explicitly authorized compensation policy exists.</w:t>
      </w:r>
    </w:p>
    <w:p>
      <w:pPr>
        <w:pStyle w:val="ListBullet"/>
      </w:pPr>
      <w:r>
        <w:t>Reconcile uncertain submissions before retrying; use client order IDs or equivalent idempotency support where available.</w:t>
      </w:r>
    </w:p>
    <w:p>
      <w:pPr>
        <w:pStyle w:val="Heading2"/>
      </w:pPr>
      <w:r>
        <w:t>10. Execution lifecycle and monitoring</w:t>
      </w:r>
    </w:p>
    <w:p>
      <w:r>
        <w:t>Recommended processing lifecycle: received → classified → parsed → validated → awaiting_confirmation / risk_check → eligible → queued → submitting → acknowledged → partially_filled / completed. Alternative terminal or intervention states include duplicate, rejected, expired, held_for_review, blocked_by_risk, unsupported_instrument, destination_unavailable, submission_uncertain, reconciliation_required, cancelled, and failed.</w:t>
      </w:r>
    </w:p>
    <w:p>
      <w:r>
        <w:t>A submission acknowledgement is not the same as a confirmed fill. A cancellation request is not a confirmed cancellation. Use exchange state and reconciliation to establish outcomes.</w:t>
      </w:r>
    </w:p>
    <w:p>
      <w:pPr>
        <w:pStyle w:val="Heading2"/>
      </w:pPr>
      <w:r>
        <w:t>11. Screens and user experience</w:t>
      </w:r>
    </w:p>
    <w:p>
      <w:pPr>
        <w:pStyle w:val="ListBullet"/>
      </w:pPr>
      <w:r>
        <w:t>Connected Sources: provider accounts, status, reauthorization, disconnect, and monitoring summary.</w:t>
      </w:r>
    </w:p>
    <w:p>
      <w:pPr>
        <w:pStyle w:val="ListBullet"/>
      </w:pPr>
      <w:r>
        <w:t>Source Channels: accessible channel/group list with explicit selection and per-source controls.</w:t>
      </w:r>
    </w:p>
    <w:p>
      <w:pPr>
        <w:pStyle w:val="ListBullet"/>
      </w:pPr>
      <w:r>
        <w:t>Signal Configuration: filters, execution mode, sizing, freshness, and failure policies.</w:t>
      </w:r>
    </w:p>
    <w:p>
      <w:pPr>
        <w:pStyle w:val="ListBullet"/>
      </w:pPr>
      <w:r>
        <w:t>Destination Accounts: selected exchanges, per-destination sizing, health, and limits.</w:t>
      </w:r>
    </w:p>
    <w:p>
      <w:pPr>
        <w:pStyle w:val="ListBullet"/>
      </w:pPr>
      <w:r>
        <w:t>Signal Inbox: original message reference, parsed result, validation status, and review actions.</w:t>
      </w:r>
    </w:p>
    <w:p>
      <w:pPr>
        <w:pStyle w:val="ListBullet"/>
      </w:pPr>
      <w:r>
        <w:t>Execution Monitor: each destination’s order state, fills, skips, failures, and reconciliation state.</w:t>
      </w:r>
    </w:p>
    <w:p>
      <w:pPr>
        <w:pStyle w:val="ListBullet"/>
      </w:pPr>
      <w:r>
        <w:t>Source Activity: ingestion lag, provider errors, reconnects, and processing health.</w:t>
      </w:r>
    </w:p>
    <w:p>
      <w:pPr>
        <w:pStyle w:val="ListBullet"/>
      </w:pPr>
      <w:r>
        <w:t>Execution History: trace from source message to validated intent, risk decision, exchange request, and confirmed result.</w:t>
      </w:r>
    </w:p>
    <w:p>
      <w:pPr>
        <w:pStyle w:val="Heading2"/>
      </w:pPr>
      <w:r>
        <w:t>12. API surface (illustrative)</w:t>
      </w:r>
    </w:p>
    <w:tbl>
      <w:tblPr>
        <w:tblStyle w:val="LightShading-Accent1"/>
        <w:tblW w:type="auto" w:w="0"/>
        <w:tblLook w:firstColumn="1" w:firstRow="1" w:lastColumn="0" w:lastRow="0" w:noHBand="0" w:noVBand="1" w:val="04A0"/>
      </w:tblPr>
      <w:tblGrid>
        <w:gridCol w:w="4968"/>
        <w:gridCol w:w="4968"/>
      </w:tblGrid>
      <w:tr>
        <w:tc>
          <w:tcPr>
            <w:tcW w:type="dxa" w:w="4968"/>
            <w:shd w:fill="DCE7FA"/>
          </w:tcPr>
          <w:p>
            <w:r>
              <w:rPr>
                <w:b/>
              </w:rPr>
              <w:t>Method and endpoint</w:t>
            </w:r>
          </w:p>
        </w:tc>
        <w:tc>
          <w:tcPr>
            <w:tcW w:type="dxa" w:w="4968"/>
            <w:shd w:fill="DCE7FA"/>
          </w:tcPr>
          <w:p>
            <w:r>
              <w:rPr>
                <w:b/>
              </w:rPr>
              <w:t>Purpose</w:t>
            </w:r>
          </w:p>
        </w:tc>
      </w:tr>
      <w:tr>
        <w:tc>
          <w:tcPr>
            <w:tcW w:type="dxa" w:w="4968"/>
          </w:tcPr>
          <w:p>
            <w:r>
              <w:t>GET /api/v1/signal-connections</w:t>
            </w:r>
          </w:p>
        </w:tc>
        <w:tc>
          <w:tcPr>
            <w:tcW w:type="dxa" w:w="4968"/>
          </w:tcPr>
          <w:p>
            <w:r>
              <w:t>List the user’s messaging connections and status.</w:t>
            </w:r>
          </w:p>
        </w:tc>
      </w:tr>
      <w:tr>
        <w:tc>
          <w:tcPr>
            <w:tcW w:type="dxa" w:w="4968"/>
          </w:tcPr>
          <w:p>
            <w:r>
              <w:t>POST /api/v1/signal-connections/{provider}/authorize</w:t>
            </w:r>
          </w:p>
        </w:tc>
        <w:tc>
          <w:tcPr>
            <w:tcW w:type="dxa" w:w="4968"/>
          </w:tcPr>
          <w:p>
            <w:r>
              <w:t>Start the provider-specific authorization flow.</w:t>
            </w:r>
          </w:p>
        </w:tc>
      </w:tr>
      <w:tr>
        <w:tc>
          <w:tcPr>
            <w:tcW w:type="dxa" w:w="4968"/>
          </w:tcPr>
          <w:p>
            <w:r>
              <w:t>POST /api/v1/signal-connections/{id}/complete</w:t>
            </w:r>
          </w:p>
        </w:tc>
        <w:tc>
          <w:tcPr>
            <w:tcW w:type="dxa" w:w="4968"/>
          </w:tcPr>
          <w:p>
            <w:r>
              <w:t>Complete a supported authorization handshake.</w:t>
            </w:r>
          </w:p>
        </w:tc>
      </w:tr>
      <w:tr>
        <w:tc>
          <w:tcPr>
            <w:tcW w:type="dxa" w:w="4968"/>
          </w:tcPr>
          <w:p>
            <w:r>
              <w:t>GET /api/v1/signal-connections/{id}/sources</w:t>
            </w:r>
          </w:p>
        </w:tc>
        <w:tc>
          <w:tcPr>
            <w:tcW w:type="dxa" w:w="4968"/>
          </w:tcPr>
          <w:p>
            <w:r>
              <w:t>List eligible channels/groups/feeds accessible through the connection.</w:t>
            </w:r>
          </w:p>
        </w:tc>
      </w:tr>
      <w:tr>
        <w:tc>
          <w:tcPr>
            <w:tcW w:type="dxa" w:w="4968"/>
          </w:tcPr>
          <w:p>
            <w:r>
              <w:t>PUT /api/v1/signal-sources/{sourceId}/selection</w:t>
            </w:r>
          </w:p>
        </w:tc>
        <w:tc>
          <w:tcPr>
            <w:tcW w:type="dxa" w:w="4968"/>
          </w:tcPr>
          <w:p>
            <w:r>
              <w:t>Select or deselect a source for monitoring.</w:t>
            </w:r>
          </w:p>
        </w:tc>
      </w:tr>
      <w:tr>
        <w:tc>
          <w:tcPr>
            <w:tcW w:type="dxa" w:w="4968"/>
          </w:tcPr>
          <w:p>
            <w:r>
              <w:t>PATCH /api/v1/signal-sources/{sourceId}/settings</w:t>
            </w:r>
          </w:p>
        </w:tc>
        <w:tc>
          <w:tcPr>
            <w:tcW w:type="dxa" w:w="4968"/>
          </w:tcPr>
          <w:p>
            <w:r>
              <w:t>Update source-specific processing and execution preferences.</w:t>
            </w:r>
          </w:p>
        </w:tc>
      </w:tr>
      <w:tr>
        <w:tc>
          <w:tcPr>
            <w:tcW w:type="dxa" w:w="4968"/>
          </w:tcPr>
          <w:p>
            <w:r>
              <w:t>POST /api/v1/signal-configurations</w:t>
            </w:r>
          </w:p>
        </w:tc>
        <w:tc>
          <w:tcPr>
            <w:tcW w:type="dxa" w:w="4968"/>
          </w:tcPr>
          <w:p>
            <w:r>
              <w:t>Create a versioned execution configuration.</w:t>
            </w:r>
          </w:p>
        </w:tc>
      </w:tr>
      <w:tr>
        <w:tc>
          <w:tcPr>
            <w:tcW w:type="dxa" w:w="4968"/>
          </w:tcPr>
          <w:p>
            <w:r>
              <w:t>GET /api/v1/signals/inbox</w:t>
            </w:r>
          </w:p>
        </w:tc>
        <w:tc>
          <w:tcPr>
            <w:tcW w:type="dxa" w:w="4968"/>
          </w:tcPr>
          <w:p>
            <w:r>
              <w:t>Read parsed and pending signal records.</w:t>
            </w:r>
          </w:p>
        </w:tc>
      </w:tr>
      <w:tr>
        <w:tc>
          <w:tcPr>
            <w:tcW w:type="dxa" w:w="4968"/>
          </w:tcPr>
          <w:p>
            <w:r>
              <w:t>POST /api/v1/signals/{id}/review</w:t>
            </w:r>
          </w:p>
        </w:tc>
        <w:tc>
          <w:tcPr>
            <w:tcW w:type="dxa" w:w="4968"/>
          </w:tcPr>
          <w:p>
            <w:r>
              <w:t>Approve, reject, or annotate a reviewable signal where permitted.</w:t>
            </w:r>
          </w:p>
        </w:tc>
      </w:tr>
      <w:tr>
        <w:tc>
          <w:tcPr>
            <w:tcW w:type="dxa" w:w="4968"/>
          </w:tcPr>
          <w:p>
            <w:r>
              <w:t>GET /api/v1/signal-executions/{id}</w:t>
            </w:r>
          </w:p>
        </w:tc>
        <w:tc>
          <w:tcPr>
            <w:tcW w:type="dxa" w:w="4968"/>
          </w:tcPr>
          <w:p>
            <w:r>
              <w:t>Inspect intent and destination results.</w:t>
            </w:r>
          </w:p>
        </w:tc>
      </w:tr>
      <w:tr>
        <w:tc>
          <w:tcPr>
            <w:tcW w:type="dxa" w:w="4968"/>
          </w:tcPr>
          <w:p>
            <w:r>
              <w:t>POST /api/v1/signal-connections/{id}/disconnect</w:t>
            </w:r>
          </w:p>
        </w:tc>
        <w:tc>
          <w:tcPr>
            <w:tcW w:type="dxa" w:w="4968"/>
          </w:tcPr>
          <w:p>
            <w:r>
              <w:t>Revoke/disable a provider connection safely.</w:t>
            </w:r>
          </w:p>
        </w:tc>
      </w:tr>
    </w:tbl>
    <w:p/>
    <w:p>
      <w:r>
        <w:t>All routes are illustrative and must follow the final API naming/versioning convention. Apply authorization, validation, idempotency, rate limits, and audit logging to state-changing endpoints.</w:t>
      </w:r>
    </w:p>
    <w:p>
      <w:pPr>
        <w:pStyle w:val="Heading2"/>
      </w:pPr>
      <w:r>
        <w:t>13. Data model</w:t>
      </w:r>
    </w:p>
    <w:p>
      <w:pPr>
        <w:pStyle w:val="ListBullet"/>
      </w:pPr>
      <w:r>
        <w:t>messaging_provider_registry and messaging_provider_capabilities</w:t>
      </w:r>
    </w:p>
    <w:p>
      <w:pPr>
        <w:pStyle w:val="ListBullet"/>
      </w:pPr>
      <w:r>
        <w:t>messaging_connections and messaging_connection_sessions (store secret-store references, not raw session secrets)</w:t>
      </w:r>
    </w:p>
    <w:p>
      <w:pPr>
        <w:pStyle w:val="ListBullet"/>
      </w:pPr>
      <w:r>
        <w:t>messaging_accounts and messaging_sources</w:t>
      </w:r>
    </w:p>
    <w:p>
      <w:pPr>
        <w:pStyle w:val="ListBullet"/>
      </w:pPr>
      <w:r>
        <w:t>messaging_source_selections and messaging_source_settings</w:t>
      </w:r>
    </w:p>
    <w:p>
      <w:pPr>
        <w:pStyle w:val="ListBullet"/>
      </w:pPr>
      <w:r>
        <w:t>messaging_ingestion_cursors and messaging_provider_events</w:t>
      </w:r>
    </w:p>
    <w:p>
      <w:pPr>
        <w:pStyle w:val="ListBullet"/>
      </w:pPr>
      <w:r>
        <w:t>incoming_messages and message_deduplication_records</w:t>
      </w:r>
    </w:p>
    <w:p>
      <w:pPr>
        <w:pStyle w:val="ListBullet"/>
      </w:pPr>
      <w:r>
        <w:t>signal_processing_records and signal_processing_versions</w:t>
      </w:r>
    </w:p>
    <w:p>
      <w:pPr>
        <w:pStyle w:val="ListBullet"/>
      </w:pPr>
      <w:r>
        <w:t>parsed_signals and signal_validation_results</w:t>
      </w:r>
    </w:p>
    <w:p>
      <w:pPr>
        <w:pStyle w:val="ListBullet"/>
      </w:pPr>
      <w:r>
        <w:t>signal_execution_configs and signal_execution_config_versions</w:t>
      </w:r>
    </w:p>
    <w:p>
      <w:pPr>
        <w:pStyle w:val="ListBullet"/>
      </w:pPr>
      <w:r>
        <w:t>signal_destination_accounts and signal_execution_intents</w:t>
      </w:r>
    </w:p>
    <w:p>
      <w:pPr>
        <w:pStyle w:val="ListBullet"/>
      </w:pPr>
      <w:r>
        <w:t>signal_destination_results and signal_message_relationships</w:t>
      </w:r>
    </w:p>
    <w:p>
      <w:pPr>
        <w:pStyle w:val="ListBullet"/>
      </w:pPr>
      <w:r>
        <w:t>signal_source_health_events and signal_processing_incidents</w:t>
      </w:r>
    </w:p>
    <w:p>
      <w:pPr>
        <w:pStyle w:val="ListBullet"/>
      </w:pPr>
      <w:r>
        <w:t>signal_execution_audit_events and signal_usage_events</w:t>
      </w:r>
    </w:p>
    <w:p>
      <w:r>
        <w:t>Use stable IDs, foreign keys, unique constraints for idempotency, UTC timestamps, explicit status enums, version columns, and appropriate retention policies. Use decimal-safe numeric representations for prices and quantities. Keep raw message retention limited to the purpose and permissions of the integration.</w:t>
      </w:r>
    </w:p>
    <w:p>
      <w:pPr>
        <w:pStyle w:val="Heading2"/>
      </w:pPr>
      <w:r>
        <w:t>14. Security, privacy, reliability</w:t>
      </w:r>
    </w:p>
    <w:p>
      <w:pPr>
        <w:pStyle w:val="ListBullet"/>
      </w:pPr>
      <w:r>
        <w:t>Encrypt provider session material using managed keys and strict service access; keep secrets out of logs, analytics, traces, and support views.</w:t>
      </w:r>
    </w:p>
    <w:p>
      <w:pPr>
        <w:pStyle w:val="ListBullet"/>
      </w:pPr>
      <w:r>
        <w:t>Use least privilege, session revocation, reauthorization, access auditing, and secure account-disconnect behavior.</w:t>
      </w:r>
    </w:p>
    <w:p>
      <w:pPr>
        <w:pStyle w:val="ListBullet"/>
      </w:pPr>
      <w:r>
        <w:t>Treat incoming messages, links, attachments, and AI-produced content as untrusted; defend against prompt injection, malicious payloads, oversized messages, and unsafe URL fetching.</w:t>
      </w:r>
    </w:p>
    <w:p>
      <w:pPr>
        <w:pStyle w:val="ListBullet"/>
      </w:pPr>
      <w:r>
        <w:t>Do not fetch arbitrary URLs or private/internal network addresses from message content. Use allowlists and SSRF protections where fetching is a supported feature.</w:t>
      </w:r>
    </w:p>
    <w:p>
      <w:pPr>
        <w:pStyle w:val="ListBullet"/>
      </w:pPr>
      <w:r>
        <w:t>Use durable ingestion queues, backpressure, bounded retries, dead-letter handling, replay-safe processing, and monitoring of ingestion lag.</w:t>
      </w:r>
    </w:p>
    <w:p>
      <w:pPr>
        <w:pStyle w:val="ListBullet"/>
      </w:pPr>
      <w:r>
        <w:t>When a connection is stale or authorization is lost, stop new signal-driven execution from that connection while preserving existing execution monitoring.</w:t>
      </w:r>
    </w:p>
    <w:p>
      <w:pPr>
        <w:pStyle w:val="ListBullet"/>
      </w:pPr>
      <w:r>
        <w:t>If risk data is unavailable or an operation’s status is uncertain, hold or block new risk-increasing actions according to platform policy.</w:t>
      </w:r>
    </w:p>
    <w:p>
      <w:pPr>
        <w:pStyle w:val="ListBullet"/>
      </w:pPr>
      <w:r>
        <w:t>Honor provider terms, data-access permissions, privacy obligations, and applicable regional constraints.</w:t>
      </w:r>
    </w:p>
    <w:p>
      <w:pPr>
        <w:pStyle w:val="Heading2"/>
      </w:pPr>
      <w:r>
        <w:t>15. Acceptance criteria</w:t>
      </w:r>
    </w:p>
    <w:p>
      <w:pPr>
        <w:pStyle w:val="ListBullet"/>
      </w:pPr>
      <w:r>
        <w:t>A user can connect a supported messaging account through its documented authentication flow.</w:t>
      </w:r>
    </w:p>
    <w:p>
      <w:pPr>
        <w:pStyle w:val="ListBullet"/>
      </w:pPr>
      <w:r>
        <w:t>The user can select only eligible channels/groups and explicitly enable monitoring.</w:t>
      </w:r>
    </w:p>
    <w:p>
      <w:pPr>
        <w:pStyle w:val="ListBullet"/>
      </w:pPr>
      <w:r>
        <w:t>Only selected sources are monitored and processed.</w:t>
      </w:r>
    </w:p>
    <w:p>
      <w:pPr>
        <w:pStyle w:val="ListBullet"/>
      </w:pPr>
      <w:r>
        <w:t>Repeated provider events do not create duplicate signal records or orders.</w:t>
      </w:r>
    </w:p>
    <w:p>
      <w:pPr>
        <w:pStyle w:val="ListBullet"/>
      </w:pPr>
      <w:r>
        <w:t>The parser does not fabricate missing values and exposes ambiguous results for review or rejection.</w:t>
      </w:r>
    </w:p>
    <w:p>
      <w:pPr>
        <w:pStyle w:val="ListBullet"/>
      </w:pPr>
      <w:r>
        <w:t>Destinations are checked against subscription limits, exchange capabilities, user authorization, and risk policy.</w:t>
      </w:r>
    </w:p>
    <w:p>
      <w:pPr>
        <w:pStyle w:val="ListBullet"/>
      </w:pPr>
      <w:r>
        <w:t>Every destination has its own traceable outcome and skip/failure reason.</w:t>
      </w:r>
    </w:p>
    <w:p>
      <w:pPr>
        <w:pStyle w:val="ListBullet"/>
      </w:pPr>
      <w:r>
        <w:t>Uncertain exchange submissions are reconciled before retry.</w:t>
      </w:r>
    </w:p>
    <w:p>
      <w:pPr>
        <w:pStyle w:val="ListBullet"/>
      </w:pPr>
      <w:r>
        <w:t>Disconnecting or pausing a source prevents new source-driven intents without silently cancelling existing orders or closing positions.</w:t>
      </w:r>
    </w:p>
    <w:p>
      <w:pPr>
        <w:pStyle w:val="ListBullet"/>
      </w:pPr>
      <w:r>
        <w:t>The user can trace an outcome back to the original message and configuration version.</w:t>
      </w:r>
    </w:p>
    <w:p>
      <w:r>
        <w:br w:type="page"/>
      </w:r>
    </w:p>
    <w:p>
      <w:pPr>
        <w:pStyle w:val="Heading1"/>
      </w:pPr>
      <w:r>
        <w:t>MODULE B — User Workspaces and Capability Activation</w:t>
      </w:r>
    </w:p>
    <w:p>
      <w:r>
        <w:t>Module key: WORKSPACES | Owner: Identity and Workspace Domain | Status: Specification baseline</w:t>
      </w:r>
    </w:p>
    <w:p>
      <w:pPr>
        <w:pStyle w:val="Heading2"/>
      </w:pPr>
      <w:r>
        <w:t>1. Purpose and core model</w:t>
      </w:r>
    </w:p>
    <w:p>
      <w:r>
        <w:t>A SyncExc user has one identity and can operate the ordinary user experience while creating multiple specialized workspaces. A workspace is a capability context with its own resources, configuration, permissions, lifecycle, and (where appropriate) public presence. It is not a separate login or a generic folder alone.</w:t>
      </w:r>
    </w:p>
    <w:p>
      <w:pPr>
        <w:pStyle w:val="Heading2"/>
      </w:pPr>
      <w:r>
        <w:t>2. Workspace types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CE7FA"/>
          </w:tcPr>
          <w:p>
            <w:r>
              <w:rPr>
                <w:b/>
              </w:rPr>
              <w:t>Type</w:t>
            </w:r>
          </w:p>
        </w:tc>
        <w:tc>
          <w:tcPr>
            <w:tcW w:type="dxa" w:w="3312"/>
            <w:shd w:fill="DCE7FA"/>
          </w:tcPr>
          <w:p>
            <w:r>
              <w:rPr>
                <w:b/>
              </w:rPr>
              <w:t>Purpose</w:t>
            </w:r>
          </w:p>
        </w:tc>
        <w:tc>
          <w:tcPr>
            <w:tcW w:type="dxa" w:w="3312"/>
            <w:shd w:fill="DCE7FA"/>
          </w:tcPr>
          <w:p>
            <w:r>
              <w:rPr>
                <w:b/>
              </w:rPr>
              <w:t>Core capabilities</w:t>
            </w:r>
          </w:p>
        </w:tc>
      </w:tr>
      <w:tr>
        <w:tc>
          <w:tcPr>
            <w:tcW w:type="dxa" w:w="3312"/>
          </w:tcPr>
          <w:p>
            <w:r>
              <w:t>Personal user area</w:t>
            </w:r>
          </w:p>
        </w:tc>
        <w:tc>
          <w:tcPr>
            <w:tcW w:type="dxa" w:w="3312"/>
          </w:tcPr>
          <w:p>
            <w:r>
              <w:t>Default experience available to the registered user.</w:t>
            </w:r>
          </w:p>
        </w:tc>
        <w:tc>
          <w:tcPr>
            <w:tcW w:type="dxa" w:w="3312"/>
          </w:tcPr>
          <w:p>
            <w:r>
              <w:t>Connect exchange accounts within entitlements, connect signal sources, configure authorized automation, follow traders, copy trade, review personal history, manage security and billing.</w:t>
            </w:r>
          </w:p>
        </w:tc>
      </w:tr>
      <w:tr>
        <w:tc>
          <w:tcPr>
            <w:tcW w:type="dxa" w:w="3312"/>
          </w:tcPr>
          <w:p>
            <w:r>
              <w:t>Trader workspace</w:t>
            </w:r>
          </w:p>
        </w:tc>
        <w:tc>
          <w:tcPr>
            <w:tcW w:type="dxa" w:w="3312"/>
          </w:tcPr>
          <w:p>
            <w:r>
              <w:t>Create a distinct trader identity and publish signals to the marketplace.</w:t>
            </w:r>
          </w:p>
        </w:tc>
        <w:tc>
          <w:tcPr>
            <w:tcW w:type="dxa" w:w="3312"/>
          </w:tcPr>
          <w:p>
            <w:r>
              <w:t>Trader profile, signal publishing, signal corrections/history, public visibility settings, eligible follower/subscriber management, transparent performance reports, offerings where supported.</w:t>
            </w:r>
          </w:p>
        </w:tc>
      </w:tr>
      <w:tr>
        <w:tc>
          <w:tcPr>
            <w:tcW w:type="dxa" w:w="3312"/>
          </w:tcPr>
          <w:p>
            <w:r>
              <w:t>Developer workspace</w:t>
            </w:r>
          </w:p>
        </w:tc>
        <w:tc>
          <w:tcPr>
            <w:tcW w:type="dxa" w:w="3312"/>
          </w:tcPr>
          <w:p>
            <w:r>
              <w:t>Build and manage applications and integrations.</w:t>
            </w:r>
          </w:p>
        </w:tc>
        <w:tc>
          <w:tcPr>
            <w:tcW w:type="dxa" w:w="3312"/>
          </w:tcPr>
          <w:p>
            <w:r>
              <w:t>Applications, versions, API credentials, OAuth settings, webhook subscriptions, sandbox sessions, usage analytics, scopes, developer audit history.</w:t>
            </w:r>
          </w:p>
        </w:tc>
      </w:tr>
    </w:tbl>
    <w:p/>
    <w:p>
      <w:r>
        <w:t>A user may own multiple Trader workspaces and multiple Developer workspaces. Example: “Abba — Spot Signals” and “Abba — Futures Signals” can be separate Trader workspaces under the same account. Each Developer workspace may manage a different application or integration.</w:t>
      </w:r>
    </w:p>
    <w:p>
      <w:pPr>
        <w:pStyle w:val="Heading2"/>
      </w:pPr>
      <w:r>
        <w:t>3. User account versus workspace</w:t>
      </w:r>
    </w:p>
    <w:p>
      <w:pPr>
        <w:pStyle w:val="ListBullet"/>
      </w:pPr>
      <w:r>
        <w:t>The user account owns the login identity, authentication methods, account security settings, and account-level profile.</w:t>
      </w:r>
    </w:p>
    <w:p>
      <w:pPr>
        <w:pStyle w:val="ListBullet"/>
      </w:pPr>
      <w:r>
        <w:t>A workspace owns its workspace name/type, configuration, type-specific resources, capability grants, lifecycle and audit history.</w:t>
      </w:r>
    </w:p>
    <w:p>
      <w:pPr>
        <w:pStyle w:val="ListBullet"/>
      </w:pPr>
      <w:r>
        <w:t>Workspace switching changes the active context, navigation, resource scope, and permission evaluation; it does not change the user identity.</w:t>
      </w:r>
    </w:p>
    <w:p>
      <w:pPr>
        <w:pStyle w:val="ListBullet"/>
      </w:pPr>
      <w:r>
        <w:t>Personal exchange connections and messaging sessions remain private by default and are not automatically exposed to Trader or Developer workspaces.</w:t>
      </w:r>
    </w:p>
    <w:p>
      <w:pPr>
        <w:pStyle w:val="ListBullet"/>
      </w:pPr>
      <w:r>
        <w:t>A workspace must not receive access to another workspace’s resources simply because the same user owns both.</w:t>
      </w:r>
    </w:p>
    <w:p>
      <w:pPr>
        <w:pStyle w:val="ListBullet"/>
      </w:pPr>
      <w:r>
        <w:t>Cross-workspace resource sharing requires an explicit, scoped, revocable grant where the resource type supports sharing.</w:t>
      </w:r>
    </w:p>
    <w:p>
      <w:pPr>
        <w:pStyle w:val="Heading2"/>
      </w:pPr>
      <w:r>
        <w:t>4. Workspace creation flow</w:t>
      </w:r>
    </w:p>
    <w:p>
      <w:pPr>
        <w:pStyle w:val="ListNumber"/>
      </w:pPr>
      <w:r>
        <w:t>User opens Workspace Management and chooses Create Workspace.</w:t>
      </w:r>
    </w:p>
    <w:p>
      <w:pPr>
        <w:pStyle w:val="ListNumber"/>
      </w:pPr>
      <w:r>
        <w:t>User selects Trader or Developer.</w:t>
      </w:r>
    </w:p>
    <w:p>
      <w:pPr>
        <w:pStyle w:val="ListNumber"/>
      </w:pPr>
      <w:r>
        <w:t>User enters a workspace name and optional description; the system validates length, reserved names, and uniqueness rules as appropriate.</w:t>
      </w:r>
    </w:p>
    <w:p>
      <w:pPr>
        <w:pStyle w:val="ListNumber"/>
      </w:pPr>
      <w:r>
        <w:t>SyncExc evaluates account status, applicable eligibility requirements, platform policy, and subscription entitlements.</w:t>
      </w:r>
    </w:p>
    <w:p>
      <w:pPr>
        <w:pStyle w:val="ListNumber"/>
      </w:pPr>
      <w:r>
        <w:t>If a plan change is needed, explain the limit and price before the user confirms; do not silently charge or upgrade.</w:t>
      </w:r>
    </w:p>
    <w:p>
      <w:pPr>
        <w:pStyle w:val="ListNumber"/>
      </w:pPr>
      <w:r>
        <w:t>Create the workspace with type-appropriate defaults and an owner membership.</w:t>
      </w:r>
    </w:p>
    <w:p>
      <w:pPr>
        <w:pStyle w:val="ListNumber"/>
      </w:pPr>
      <w:r>
        <w:t>Open the new workspace and show its type-specific onboarding checklist.</w:t>
      </w:r>
    </w:p>
    <w:p>
      <w:pPr>
        <w:pStyle w:val="ListNumber"/>
      </w:pPr>
      <w:r>
        <w:t>Creation alone does not publish a Trader profile, create a live API credential, or authorize trading.</w:t>
      </w:r>
    </w:p>
    <w:p>
      <w:pPr>
        <w:pStyle w:val="Heading2"/>
      </w:pPr>
      <w:r>
        <w:t>5. Trader workspace</w:t>
      </w:r>
    </w:p>
    <w:p>
      <w:pPr>
        <w:pStyle w:val="Heading3"/>
      </w:pPr>
      <w:r>
        <w:t>5.1 Profile and visibility</w:t>
      </w:r>
    </w:p>
    <w:p>
      <w:pPr>
        <w:pStyle w:val="ListBullet"/>
      </w:pPr>
      <w:r>
        <w:t>Workspace name, public display name, avatar, description, supported markets, strategy categories, and public URL/slug where available.</w:t>
      </w:r>
    </w:p>
    <w:p>
      <w:pPr>
        <w:pStyle w:val="ListBullet"/>
      </w:pPr>
      <w:r>
        <w:t>Private/draft visibility during setup; user must explicitly enable marketplace visibility.</w:t>
      </w:r>
    </w:p>
    <w:p>
      <w:pPr>
        <w:pStyle w:val="ListBullet"/>
      </w:pPr>
      <w:r>
        <w:t>Public profile must not expose personal login information, private messaging channels, exchange credentials, balances, or private trading history.</w:t>
      </w:r>
    </w:p>
    <w:p>
      <w:pPr>
        <w:pStyle w:val="ListBullet"/>
      </w:pPr>
      <w:r>
        <w:t>Profile changes should be versioned and audited where they affect public identity or subscriber expectations.</w:t>
      </w:r>
    </w:p>
    <w:p>
      <w:pPr>
        <w:pStyle w:val="Heading3"/>
      </w:pPr>
      <w:r>
        <w:t>5.2 Signal publishing</w:t>
      </w:r>
    </w:p>
    <w:p>
      <w:pPr>
        <w:pStyle w:val="ListBullet"/>
      </w:pPr>
      <w:r>
        <w:t>Create and publish eligible signals using the marketplace’s validated signal schema.</w:t>
      </w:r>
    </w:p>
    <w:p>
      <w:pPr>
        <w:pStyle w:val="ListBullet"/>
      </w:pPr>
      <w:r>
        <w:t>Support signal updates, corrections, cancellations, expiry, and closure while preserving version history.</w:t>
      </w:r>
    </w:p>
    <w:p>
      <w:pPr>
        <w:pStyle w:val="ListBullet"/>
      </w:pPr>
      <w:r>
        <w:t>Clearly distinguish trader-authored signals from signals copied or imported from external sources.</w:t>
      </w:r>
    </w:p>
    <w:p>
      <w:pPr>
        <w:pStyle w:val="ListBullet"/>
      </w:pPr>
      <w:r>
        <w:t>Do not automatically publish the user’s personal Telegram messages or personal exchange trades.</w:t>
      </w:r>
    </w:p>
    <w:p>
      <w:pPr>
        <w:pStyle w:val="ListBullet"/>
      </w:pPr>
      <w:r>
        <w:t>Publishing a signal does not itself authorize a follower’s execution; each follower has independent configuration and risk controls.</w:t>
      </w:r>
    </w:p>
    <w:p>
      <w:pPr>
        <w:pStyle w:val="Heading3"/>
      </w:pPr>
      <w:r>
        <w:t>5.3 Marketplace activation</w:t>
      </w:r>
    </w:p>
    <w:p>
      <w:pPr>
        <w:pStyle w:val="ListBullet"/>
      </w:pPr>
      <w:r>
        <w:t>Complete required public profile fields and accept applicable marketplace terms.</w:t>
      </w:r>
    </w:p>
    <w:p>
      <w:pPr>
        <w:pStyle w:val="ListBullet"/>
      </w:pPr>
      <w:r>
        <w:t>Configure eligible offerings/subscription options where the plan and marketplace rules permit them.</w:t>
      </w:r>
    </w:p>
    <w:p>
      <w:pPr>
        <w:pStyle w:val="ListBullet"/>
      </w:pPr>
      <w:r>
        <w:t>Show a preview of the public listing before activation.</w:t>
      </w:r>
    </w:p>
    <w:p>
      <w:pPr>
        <w:pStyle w:val="ListBullet"/>
      </w:pPr>
      <w:r>
        <w:t>Apply any required eligibility, moderation, or review status before listing becomes discoverable.</w:t>
      </w:r>
    </w:p>
    <w:p>
      <w:pPr>
        <w:pStyle w:val="ListBullet"/>
      </w:pPr>
      <w:r>
        <w:t>Make visibility status explicit: draft/private, pending review if applicable, active/public, paused, restricted, or archived.</w:t>
      </w:r>
    </w:p>
    <w:p>
      <w:pPr>
        <w:pStyle w:val="ListBullet"/>
      </w:pPr>
      <w:r>
        <w:t>Provide transparent performance methodology, sample size, time period, and limitations; do not fabricate or guarantee results.</w:t>
      </w:r>
    </w:p>
    <w:p>
      <w:pPr>
        <w:pStyle w:val="Heading2"/>
      </w:pPr>
      <w:r>
        <w:t>6. Developer workspace</w:t>
      </w:r>
    </w:p>
    <w:p>
      <w:pPr>
        <w:pStyle w:val="ListBullet"/>
      </w:pPr>
      <w:r>
        <w:t>Create and manage applications, application versions, redirect URIs, authorized scopes, API credentials, OAuth configuration, and webhooks.</w:t>
      </w:r>
    </w:p>
    <w:p>
      <w:pPr>
        <w:pStyle w:val="ListBullet"/>
      </w:pPr>
      <w:r>
        <w:t>Provide sandbox environments, test fixtures, API docs, request logs, rate-limit information, and usage analytics.</w:t>
      </w:r>
    </w:p>
    <w:p>
      <w:pPr>
        <w:pStyle w:val="ListBullet"/>
      </w:pPr>
      <w:r>
        <w:t>Keep each developer workspace’s apps and secrets isolated from all other workspaces.</w:t>
      </w:r>
    </w:p>
    <w:p>
      <w:pPr>
        <w:pStyle w:val="ListBullet"/>
      </w:pPr>
      <w:r>
        <w:t>Display each credential once where appropriate, store secrets in a managed vault, support rotation and revocation, and audit credential lifecycle events.</w:t>
      </w:r>
    </w:p>
    <w:p>
      <w:pPr>
        <w:pStyle w:val="ListBullet"/>
      </w:pPr>
      <w:r>
        <w:t>Use narrow scopes and explicit user grants. Developer workspace creation does not grant unrestricted access to personal balances, orders, or live execution.</w:t>
      </w:r>
    </w:p>
    <w:p>
      <w:pPr>
        <w:pStyle w:val="ListBullet"/>
      </w:pPr>
      <w:r>
        <w:t>Live execution endpoints, where offered, require separate entitlement, authorization, and risk controls.</w:t>
      </w:r>
    </w:p>
    <w:p>
      <w:pPr>
        <w:pStyle w:val="Heading2"/>
      </w:pPr>
      <w:r>
        <w:t>7. Multiple workspaces and switching</w:t>
      </w:r>
    </w:p>
    <w:p>
      <w:pPr>
        <w:pStyle w:val="ListBullet"/>
      </w:pPr>
      <w:r>
        <w:t>Provide a workspace selector in the app navigation/account menu.</w:t>
      </w:r>
    </w:p>
    <w:p>
      <w:pPr>
        <w:pStyle w:val="ListBullet"/>
      </w:pPr>
      <w:r>
        <w:t>List workspaces by type and name, with the current workspace clearly marked.</w:t>
      </w:r>
    </w:p>
    <w:p>
      <w:pPr>
        <w:pStyle w:val="ListBullet"/>
      </w:pPr>
      <w:r>
        <w:t>Support creating multiple workspaces of the same type, subject to platform limits.</w:t>
      </w:r>
    </w:p>
    <w:p>
      <w:pPr>
        <w:pStyle w:val="ListBullet"/>
      </w:pPr>
      <w:r>
        <w:t>Switching updates navigation and data scope without requiring another login.</w:t>
      </w:r>
    </w:p>
    <w:p>
      <w:pPr>
        <w:pStyle w:val="ListBullet"/>
      </w:pPr>
      <w:r>
        <w:t>Preserve account-level security and billing access according to the platform’s access model.</w:t>
      </w:r>
    </w:p>
    <w:p>
      <w:pPr>
        <w:pStyle w:val="ListBullet"/>
      </w:pPr>
      <w:r>
        <w:t>Clear or safely preserve unsaved form state during a switch; never display one workspace’s cached sensitive data in another workspace.</w:t>
      </w:r>
    </w:p>
    <w:p>
      <w:pPr>
        <w:pStyle w:val="ListBullet"/>
      </w:pPr>
      <w:r>
        <w:t>Enforce authorization on the server for every request, not merely through client-side navigation.</w:t>
      </w:r>
    </w:p>
    <w:p>
      <w:pPr>
        <w:pStyle w:val="Heading2"/>
      </w:pPr>
      <w:r>
        <w:t>8. Memberships, roles, and ownership</w:t>
      </w:r>
    </w:p>
    <w:p>
      <w:r>
        <w:t>The initial user may be the sole owner, but the data model should allow future supported collaboration without redesign. Workspace roles are scoped to a workspace and are separate from global support or platform-administrator roles.</w:t>
      </w:r>
    </w:p>
    <w:tbl>
      <w:tblPr>
        <w:tblStyle w:val="LightShading-Accent1"/>
        <w:tblW w:type="auto" w:w="0"/>
        <w:tblLook w:firstColumn="1" w:firstRow="1" w:lastColumn="0" w:lastRow="0" w:noHBand="0" w:noVBand="1" w:val="04A0"/>
      </w:tblPr>
      <w:tblGrid>
        <w:gridCol w:w="4968"/>
        <w:gridCol w:w="4968"/>
      </w:tblGrid>
      <w:tr>
        <w:tc>
          <w:tcPr>
            <w:tcW w:type="dxa" w:w="4968"/>
            <w:shd w:fill="DCE7FA"/>
          </w:tcPr>
          <w:p>
            <w:r>
              <w:rPr>
                <w:b/>
              </w:rPr>
              <w:t>Role concept</w:t>
            </w:r>
          </w:p>
        </w:tc>
        <w:tc>
          <w:tcPr>
            <w:tcW w:type="dxa" w:w="4968"/>
            <w:shd w:fill="DCE7FA"/>
          </w:tcPr>
          <w:p>
            <w:r>
              <w:rPr>
                <w:b/>
              </w:rPr>
              <w:t>Responsibilities</w:t>
            </w:r>
          </w:p>
        </w:tc>
      </w:tr>
      <w:tr>
        <w:tc>
          <w:tcPr>
            <w:tcW w:type="dxa" w:w="4968"/>
          </w:tcPr>
          <w:p>
            <w:r>
              <w:t>Owner</w:t>
            </w:r>
          </w:p>
        </w:tc>
        <w:tc>
          <w:tcPr>
            <w:tcW w:type="dxa" w:w="4968"/>
          </w:tcPr>
          <w:p>
            <w:r>
              <w:t>Manage workspace lifecycle, settings, authorized memberships, and type-specific administration. Ownership transfer must be an explicit audited operation.</w:t>
            </w:r>
          </w:p>
        </w:tc>
      </w:tr>
      <w:tr>
        <w:tc>
          <w:tcPr>
            <w:tcW w:type="dxa" w:w="4968"/>
          </w:tcPr>
          <w:p>
            <w:r>
              <w:t>Manager/Admin (if enabled)</w:t>
            </w:r>
          </w:p>
        </w:tc>
        <w:tc>
          <w:tcPr>
            <w:tcW w:type="dxa" w:w="4968"/>
          </w:tcPr>
          <w:p>
            <w:r>
              <w:t>Manage delegated settings and resources within granted permissions; cannot exceed owner or platform restrictions.</w:t>
            </w:r>
          </w:p>
        </w:tc>
      </w:tr>
      <w:tr>
        <w:tc>
          <w:tcPr>
            <w:tcW w:type="dxa" w:w="4968"/>
          </w:tcPr>
          <w:p>
            <w:r>
              <w:t>Publisher (Trader workspace, if enabled)</w:t>
            </w:r>
          </w:p>
        </w:tc>
        <w:tc>
          <w:tcPr>
            <w:tcW w:type="dxa" w:w="4968"/>
          </w:tcPr>
          <w:p>
            <w:r>
              <w:t>Create and publish signals only within assigned permissions.</w:t>
            </w:r>
          </w:p>
        </w:tc>
      </w:tr>
      <w:tr>
        <w:tc>
          <w:tcPr>
            <w:tcW w:type="dxa" w:w="4968"/>
          </w:tcPr>
          <w:p>
            <w:r>
              <w:t>Developer (Developer workspace, if enabled)</w:t>
            </w:r>
          </w:p>
        </w:tc>
        <w:tc>
          <w:tcPr>
            <w:tcW w:type="dxa" w:w="4968"/>
          </w:tcPr>
          <w:p>
            <w:r>
              <w:t>Manage permitted applications and integrations, without automatic access to unrelated secrets or resources.</w:t>
            </w:r>
          </w:p>
        </w:tc>
      </w:tr>
      <w:tr>
        <w:tc>
          <w:tcPr>
            <w:tcW w:type="dxa" w:w="4968"/>
          </w:tcPr>
          <w:p>
            <w:r>
              <w:t>Viewer/Analyst (if enabled)</w:t>
            </w:r>
          </w:p>
        </w:tc>
        <w:tc>
          <w:tcPr>
            <w:tcW w:type="dxa" w:w="4968"/>
          </w:tcPr>
          <w:p>
            <w:r>
              <w:t>Read only explicitly granted workspace resources.</w:t>
            </w:r>
          </w:p>
        </w:tc>
      </w:tr>
    </w:tbl>
    <w:p/>
    <w:p>
      <w:r>
        <w:t>Do not implement team collaboration merely because the workspace exists. If membership/invitations are enabled, require explicit invitations, role grants, revocation, and audit. The workspace model should support these later without making them mandatory for a solo user.</w:t>
      </w:r>
    </w:p>
    <w:p>
      <w:pPr>
        <w:pStyle w:val="Heading2"/>
      </w:pPr>
      <w:r>
        <w:t>9. Entitlements and lifecycle</w:t>
      </w:r>
    </w:p>
    <w:p>
      <w:pPr>
        <w:pStyle w:val="ListBullet"/>
      </w:pPr>
      <w:r>
        <w:t>Separate permission to create a workspace from entitlement to use paid features inside it.</w:t>
      </w:r>
    </w:p>
    <w:p>
      <w:pPr>
        <w:pStyle w:val="ListBullet"/>
      </w:pPr>
      <w:r>
        <w:t>Use the subscription/billing module as the authoritative source for plan status and entitlements; do not duplicate billing rules inside workspace code.</w:t>
      </w:r>
    </w:p>
    <w:p>
      <w:pPr>
        <w:pStyle w:val="ListBullet"/>
      </w:pPr>
      <w:r>
        <w:t>Workspace limits may include number of workspaces, applications, API usage, published offerings, or other plan-controlled resources.</w:t>
      </w:r>
    </w:p>
    <w:p>
      <w:pPr>
        <w:pStyle w:val="ListBullet"/>
      </w:pPr>
      <w:r>
        <w:t>On downgrade/expiration, apply a documented grace/read-only/disable policy per resource type. Never silently delete a workspace or its audit history.</w:t>
      </w:r>
    </w:p>
    <w:p>
      <w:pPr>
        <w:pStyle w:val="ListBullet"/>
      </w:pPr>
      <w:r>
        <w:t>Existing published Trader profiles or Developer applications should transition according to explicit lifecycle rules and show the user what changed.</w:t>
      </w:r>
    </w:p>
    <w:p>
      <w:pPr>
        <w:pStyle w:val="ListBullet"/>
      </w:pPr>
      <w:r>
        <w:t>Workspace states should include draft/active/paused/restricted/archived as applicable, with deletion handled as a controlled lifecycle operation.</w:t>
      </w:r>
    </w:p>
    <w:p>
      <w:pPr>
        <w:pStyle w:val="ListBullet"/>
      </w:pPr>
      <w:r>
        <w:t>Risk controls, exchange restrictions, API scopes, and platform safety rules always take precedence over workspace entitlements.</w:t>
      </w:r>
    </w:p>
    <w:p>
      <w:pPr>
        <w:pStyle w:val="Heading2"/>
      </w:pPr>
      <w:r>
        <w:t>10. Screens and user experience</w:t>
      </w:r>
    </w:p>
    <w:p>
      <w:pPr>
        <w:pStyle w:val="ListBullet"/>
      </w:pPr>
      <w:r>
        <w:t>Workspace Management: list, filter, create, rename, switch, and review workspace status.</w:t>
      </w:r>
    </w:p>
    <w:p>
      <w:pPr>
        <w:pStyle w:val="ListBullet"/>
      </w:pPr>
      <w:r>
        <w:t>Create Workspace: choose Trader or Developer, name it, review eligibility/entitlements, and create.</w:t>
      </w:r>
    </w:p>
    <w:p>
      <w:pPr>
        <w:pStyle w:val="ListBullet"/>
      </w:pPr>
      <w:r>
        <w:t>Trader Onboarding: profile, supported markets, publishing preferences, preview, and activation checklist.</w:t>
      </w:r>
    </w:p>
    <w:p>
      <w:pPr>
        <w:pStyle w:val="ListBullet"/>
      </w:pPr>
      <w:r>
        <w:t>Trader Dashboard: signal management, marketplace profile, audience, offerings, and performance reports.</w:t>
      </w:r>
    </w:p>
    <w:p>
      <w:pPr>
        <w:pStyle w:val="ListBullet"/>
      </w:pPr>
      <w:r>
        <w:t>Developer Onboarding: create first app, understand scopes, access sandbox/docs, and configure webhooks.</w:t>
      </w:r>
    </w:p>
    <w:p>
      <w:pPr>
        <w:pStyle w:val="ListBullet"/>
      </w:pPr>
      <w:r>
        <w:t>Developer Dashboard: apps, credentials, usage, webhook health, test runs, and security events.</w:t>
      </w:r>
    </w:p>
    <w:p>
      <w:pPr>
        <w:pStyle w:val="ListBullet"/>
      </w:pPr>
      <w:r>
        <w:t>Workspace Settings: name, type-specific settings, access, capability/entitlement status, audit, pause/archive controls.</w:t>
      </w:r>
    </w:p>
    <w:p>
      <w:pPr>
        <w:pStyle w:val="Heading2"/>
      </w:pPr>
      <w:r>
        <w:t>11. API surface (illustrative)</w:t>
      </w:r>
    </w:p>
    <w:tbl>
      <w:tblPr>
        <w:tblStyle w:val="LightShading-Accent1"/>
        <w:tblW w:type="auto" w:w="0"/>
        <w:tblLook w:firstColumn="1" w:firstRow="1" w:lastColumn="0" w:lastRow="0" w:noHBand="0" w:noVBand="1" w:val="04A0"/>
      </w:tblPr>
      <w:tblGrid>
        <w:gridCol w:w="4968"/>
        <w:gridCol w:w="4968"/>
      </w:tblGrid>
      <w:tr>
        <w:tc>
          <w:tcPr>
            <w:tcW w:type="dxa" w:w="4968"/>
            <w:shd w:fill="DCE7FA"/>
          </w:tcPr>
          <w:p>
            <w:r>
              <w:rPr>
                <w:b/>
              </w:rPr>
              <w:t>Method and endpoint</w:t>
            </w:r>
          </w:p>
        </w:tc>
        <w:tc>
          <w:tcPr>
            <w:tcW w:type="dxa" w:w="4968"/>
            <w:shd w:fill="DCE7FA"/>
          </w:tcPr>
          <w:p>
            <w:r>
              <w:rPr>
                <w:b/>
              </w:rPr>
              <w:t>Purpose</w:t>
            </w:r>
          </w:p>
        </w:tc>
      </w:tr>
      <w:tr>
        <w:tc>
          <w:tcPr>
            <w:tcW w:type="dxa" w:w="4968"/>
          </w:tcPr>
          <w:p>
            <w:r>
              <w:t>GET /api/v1/workspaces</w:t>
            </w:r>
          </w:p>
        </w:tc>
        <w:tc>
          <w:tcPr>
            <w:tcW w:type="dxa" w:w="4968"/>
          </w:tcPr>
          <w:p>
            <w:r>
              <w:t>List workspaces the current user may access.</w:t>
            </w:r>
          </w:p>
        </w:tc>
      </w:tr>
      <w:tr>
        <w:tc>
          <w:tcPr>
            <w:tcW w:type="dxa" w:w="4968"/>
          </w:tcPr>
          <w:p>
            <w:r>
              <w:t>POST /api/v1/workspaces</w:t>
            </w:r>
          </w:p>
        </w:tc>
        <w:tc>
          <w:tcPr>
            <w:tcW w:type="dxa" w:w="4968"/>
          </w:tcPr>
          <w:p>
            <w:r>
              <w:t>Create a Trader or Developer workspace after validation.</w:t>
            </w:r>
          </w:p>
        </w:tc>
      </w:tr>
      <w:tr>
        <w:tc>
          <w:tcPr>
            <w:tcW w:type="dxa" w:w="4968"/>
          </w:tcPr>
          <w:p>
            <w:r>
              <w:t>GET /api/v1/workspaces/{workspaceId}</w:t>
            </w:r>
          </w:p>
        </w:tc>
        <w:tc>
          <w:tcPr>
            <w:tcW w:type="dxa" w:w="4968"/>
          </w:tcPr>
          <w:p>
            <w:r>
              <w:t>Read workspace metadata and status.</w:t>
            </w:r>
          </w:p>
        </w:tc>
      </w:tr>
      <w:tr>
        <w:tc>
          <w:tcPr>
            <w:tcW w:type="dxa" w:w="4968"/>
          </w:tcPr>
          <w:p>
            <w:r>
              <w:t>PATCH /api/v1/workspaces/{workspaceId}</w:t>
            </w:r>
          </w:p>
        </w:tc>
        <w:tc>
          <w:tcPr>
            <w:tcW w:type="dxa" w:w="4968"/>
          </w:tcPr>
          <w:p>
            <w:r>
              <w:t>Update permitted workspace metadata/settings.</w:t>
            </w:r>
          </w:p>
        </w:tc>
      </w:tr>
      <w:tr>
        <w:tc>
          <w:tcPr>
            <w:tcW w:type="dxa" w:w="4968"/>
          </w:tcPr>
          <w:p>
            <w:r>
              <w:t>POST /api/v1/workspaces/{workspaceId}/activate</w:t>
            </w:r>
          </w:p>
        </w:tc>
        <w:tc>
          <w:tcPr>
            <w:tcW w:type="dxa" w:w="4968"/>
          </w:tcPr>
          <w:p>
            <w:r>
              <w:t>Activate the workspace where eligibility requirements are satisfied.</w:t>
            </w:r>
          </w:p>
        </w:tc>
      </w:tr>
      <w:tr>
        <w:tc>
          <w:tcPr>
            <w:tcW w:type="dxa" w:w="4968"/>
          </w:tcPr>
          <w:p>
            <w:r>
              <w:t>POST /api/v1/workspaces/{workspaceId}/pause</w:t>
            </w:r>
          </w:p>
        </w:tc>
        <w:tc>
          <w:tcPr>
            <w:tcW w:type="dxa" w:w="4968"/>
          </w:tcPr>
          <w:p>
            <w:r>
              <w:t>Pause applicable workspace capabilities safely.</w:t>
            </w:r>
          </w:p>
        </w:tc>
      </w:tr>
      <w:tr>
        <w:tc>
          <w:tcPr>
            <w:tcW w:type="dxa" w:w="4968"/>
          </w:tcPr>
          <w:p>
            <w:r>
              <w:t>POST /api/v1/workspaces/{workspaceId}/archive</w:t>
            </w:r>
          </w:p>
        </w:tc>
        <w:tc>
          <w:tcPr>
            <w:tcW w:type="dxa" w:w="4968"/>
          </w:tcPr>
          <w:p>
            <w:r>
              <w:t>Archive a workspace after dependency checks.</w:t>
            </w:r>
          </w:p>
        </w:tc>
      </w:tr>
      <w:tr>
        <w:tc>
          <w:tcPr>
            <w:tcW w:type="dxa" w:w="4968"/>
          </w:tcPr>
          <w:p>
            <w:r>
              <w:t>GET /api/v1/workspaces/{workspaceId}/capabilities</w:t>
            </w:r>
          </w:p>
        </w:tc>
        <w:tc>
          <w:tcPr>
            <w:tcW w:type="dxa" w:w="4968"/>
          </w:tcPr>
          <w:p>
            <w:r>
              <w:t>Read current capability and entitlement status.</w:t>
            </w:r>
          </w:p>
        </w:tc>
      </w:tr>
      <w:tr>
        <w:tc>
          <w:tcPr>
            <w:tcW w:type="dxa" w:w="4968"/>
          </w:tcPr>
          <w:p>
            <w:r>
              <w:t>GET /api/v1/workspaces/{workspaceId}/audit</w:t>
            </w:r>
          </w:p>
        </w:tc>
        <w:tc>
          <w:tcPr>
            <w:tcW w:type="dxa" w:w="4968"/>
          </w:tcPr>
          <w:p>
            <w:r>
              <w:t>Read authorized workspace audit events.</w:t>
            </w:r>
          </w:p>
        </w:tc>
      </w:tr>
      <w:tr>
        <w:tc>
          <w:tcPr>
            <w:tcW w:type="dxa" w:w="4968"/>
          </w:tcPr>
          <w:p>
            <w:r>
              <w:t>POST /api/v1/workspaces/{workspaceId}/memberships</w:t>
            </w:r>
          </w:p>
        </w:tc>
        <w:tc>
          <w:tcPr>
            <w:tcW w:type="dxa" w:w="4968"/>
          </w:tcPr>
          <w:p>
            <w:r>
              <w:t>Invite/add a member only if collaboration is enabled for that workspace type.</w:t>
            </w:r>
          </w:p>
        </w:tc>
      </w:tr>
      <w:tr>
        <w:tc>
          <w:tcPr>
            <w:tcW w:type="dxa" w:w="4968"/>
          </w:tcPr>
          <w:p>
            <w:r>
              <w:t>PATCH /api/v1/workspaces/{workspaceId}/memberships/{membershipId}</w:t>
            </w:r>
          </w:p>
        </w:tc>
        <w:tc>
          <w:tcPr>
            <w:tcW w:type="dxa" w:w="4968"/>
          </w:tcPr>
          <w:p>
            <w:r>
              <w:t>Change a permitted role or membership status.</w:t>
            </w:r>
          </w:p>
        </w:tc>
      </w:tr>
    </w:tbl>
    <w:p/>
    <w:p>
      <w:r>
        <w:t>Every endpoint must validate ownership/membership, workspace type, entitlement, allowed state transition, and request idempotency where relevant.</w:t>
      </w:r>
    </w:p>
    <w:p>
      <w:pPr>
        <w:pStyle w:val="Heading2"/>
      </w:pPr>
      <w:r>
        <w:t>12. Data model</w:t>
      </w:r>
    </w:p>
    <w:p>
      <w:pPr>
        <w:pStyle w:val="ListBullet"/>
      </w:pPr>
      <w:r>
        <w:t>workspaces: id, owner_user_id, type, name, slug if applicable, description, lifecycle_state, visibility, created_at, updated_at.</w:t>
      </w:r>
    </w:p>
    <w:p>
      <w:pPr>
        <w:pStyle w:val="ListBullet"/>
      </w:pPr>
      <w:r>
        <w:t>workspace_memberships: workspace_id, user_id, role, status, granted_by, timestamps; use uniqueness constraints for active membership.</w:t>
      </w:r>
    </w:p>
    <w:p>
      <w:pPr>
        <w:pStyle w:val="ListBullet"/>
      </w:pPr>
      <w:r>
        <w:t>workspace_settings: workspace-specific configuration stored with schema/versioning.</w:t>
      </w:r>
    </w:p>
    <w:p>
      <w:pPr>
        <w:pStyle w:val="ListBullet"/>
      </w:pPr>
      <w:r>
        <w:t>workspace_capabilities: supported capability grants and their origin/policy references.</w:t>
      </w:r>
    </w:p>
    <w:p>
      <w:pPr>
        <w:pStyle w:val="ListBullet"/>
      </w:pPr>
      <w:r>
        <w:t>workspace_entitlement_snapshots: auditable applied entitlements, not a replacement for billing authority.</w:t>
      </w:r>
    </w:p>
    <w:p>
      <w:pPr>
        <w:pStyle w:val="ListBullet"/>
      </w:pPr>
      <w:r>
        <w:t>workspace_creation_events and workspace_lifecycle_events: create, activate, pause, archive, restore, and ownership changes.</w:t>
      </w:r>
    </w:p>
    <w:p>
      <w:pPr>
        <w:pStyle w:val="ListBullet"/>
      </w:pPr>
      <w:r>
        <w:t>workspace_audit_events: security-sensitive and business-critical changes.</w:t>
      </w:r>
    </w:p>
    <w:p>
      <w:pPr>
        <w:pStyle w:val="ListBullet"/>
      </w:pPr>
      <w:r>
        <w:t>trader_profiles and trader_profile_versions: owned by the marketplace domain and linked to a Trader workspace.</w:t>
      </w:r>
    </w:p>
    <w:p>
      <w:pPr>
        <w:pStyle w:val="ListBullet"/>
      </w:pPr>
      <w:r>
        <w:t>developer_applications and developer_application_versions: owned by the developer platform domain and linked to a Developer workspace.</w:t>
      </w:r>
    </w:p>
    <w:p>
      <w:r>
        <w:t>The workspace domain owns workspace identity, lifecycle, and access relationships. Trader profile/signals and developer apps/credentials remain in their respective domains. Do not duplicate these records into workspace tables.</w:t>
      </w:r>
    </w:p>
    <w:p>
      <w:pPr>
        <w:pStyle w:val="Heading2"/>
      </w:pPr>
      <w:r>
        <w:t>13. Security and isolation</w:t>
      </w:r>
    </w:p>
    <w:p>
      <w:pPr>
        <w:pStyle w:val="ListBullet"/>
      </w:pPr>
      <w:r>
        <w:t>Enforce workspace-scoped authorization server-side for every protected request and background job.</w:t>
      </w:r>
    </w:p>
    <w:p>
      <w:pPr>
        <w:pStyle w:val="ListBullet"/>
      </w:pPr>
      <w:r>
        <w:t>Prevent insecure direct-object-reference attacks by checking the caller’s membership/ownership against every workspace and resource ID.</w:t>
      </w:r>
    </w:p>
    <w:p>
      <w:pPr>
        <w:pStyle w:val="ListBullet"/>
      </w:pPr>
      <w:r>
        <w:t>Do not automatically share personal exchange connections, messaging sessions, balance snapshots, or trading history with Trader/Developer workspaces.</w:t>
      </w:r>
    </w:p>
    <w:p>
      <w:pPr>
        <w:pStyle w:val="ListBullet"/>
      </w:pPr>
      <w:r>
        <w:t>Require explicit scoped, revocable grants for supported cross-workspace sharing.</w:t>
      </w:r>
    </w:p>
    <w:p>
      <w:pPr>
        <w:pStyle w:val="ListBullet"/>
      </w:pPr>
      <w:r>
        <w:t>Audit workspace creation, role changes, ownership transfer, visibility changes, capability changes, credential operations, pause/archive, and deletion requests.</w:t>
      </w:r>
    </w:p>
    <w:p>
      <w:pPr>
        <w:pStyle w:val="ListBullet"/>
      </w:pPr>
      <w:r>
        <w:t>Use step-up authentication for configured sensitive operations and dual approval where platform policy requires it.</w:t>
      </w:r>
    </w:p>
    <w:p>
      <w:pPr>
        <w:pStyle w:val="ListBullet"/>
      </w:pPr>
      <w:r>
        <w:t>Never allow workspace type or role to bypass the risk engine, exchange capabilities, entitlements, or platform emergency controls.</w:t>
      </w:r>
    </w:p>
    <w:p>
      <w:pPr>
        <w:pStyle w:val="Heading2"/>
      </w:pPr>
      <w:r>
        <w:t>14. Acceptance criteria</w:t>
      </w:r>
    </w:p>
    <w:p>
      <w:pPr>
        <w:pStyle w:val="ListBullet"/>
      </w:pPr>
      <w:r>
        <w:t>A newly registered user can use the personal user area without creating a workspace.</w:t>
      </w:r>
    </w:p>
    <w:p>
      <w:pPr>
        <w:pStyle w:val="ListBullet"/>
      </w:pPr>
      <w:r>
        <w:t>A user can create multiple Trader workspaces and multiple Developer workspaces under one identity, subject to configured limits.</w:t>
      </w:r>
    </w:p>
    <w:p>
      <w:pPr>
        <w:pStyle w:val="ListBullet"/>
      </w:pPr>
      <w:r>
        <w:t>Creation asks for the workspace type and name, checks eligibility/entitlements, and never silently upgrades billing.</w:t>
      </w:r>
    </w:p>
    <w:p>
      <w:pPr>
        <w:pStyle w:val="ListBullet"/>
      </w:pPr>
      <w:r>
        <w:t>Each workspace opens the correct dashboard and type-specific onboarding flow.</w:t>
      </w:r>
    </w:p>
    <w:p>
      <w:pPr>
        <w:pStyle w:val="ListBullet"/>
      </w:pPr>
      <w:r>
        <w:t>A Trader workspace can complete setup and explicitly activate a public listing when eligible.</w:t>
      </w:r>
    </w:p>
    <w:p>
      <w:pPr>
        <w:pStyle w:val="ListBullet"/>
      </w:pPr>
      <w:r>
        <w:t>A Developer workspace can manage its own applications and integration resources without access to unrelated workspace secrets.</w:t>
      </w:r>
    </w:p>
    <w:p>
      <w:pPr>
        <w:pStyle w:val="ListBullet"/>
      </w:pPr>
      <w:r>
        <w:t>Workspace switching changes data scope without another login and without leaking cached data.</w:t>
      </w:r>
    </w:p>
    <w:p>
      <w:pPr>
        <w:pStyle w:val="ListBullet"/>
      </w:pPr>
      <w:r>
        <w:t>Personal resources remain private unless the user explicitly authorizes sharing.</w:t>
      </w:r>
    </w:p>
    <w:p>
      <w:pPr>
        <w:pStyle w:val="ListBullet"/>
      </w:pPr>
      <w:r>
        <w:t>Subscription changes apply documented lifecycle behavior without silently deleting workspace data.</w:t>
      </w:r>
    </w:p>
    <w:p>
      <w:pPr>
        <w:pStyle w:val="ListBullet"/>
      </w:pPr>
      <w:r>
        <w:t>Workspace changes are auditable and authorization is enforced on the server.</w:t>
      </w:r>
    </w:p>
    <w:p>
      <w:pPr>
        <w:pStyle w:val="Heading2"/>
      </w:pPr>
      <w:r>
        <w:t>15. Integration and ownership map</w:t>
      </w:r>
    </w:p>
    <w:tbl>
      <w:tblPr>
        <w:tblStyle w:val="LightShading-Accent1"/>
        <w:tblW w:type="auto" w:w="0"/>
        <w:tblLook w:firstColumn="1" w:firstRow="1" w:lastColumn="0" w:lastRow="0" w:noHBand="0" w:noVBand="1" w:val="04A0"/>
      </w:tblPr>
      <w:tblGrid>
        <w:gridCol w:w="4968"/>
        <w:gridCol w:w="4968"/>
      </w:tblGrid>
      <w:tr>
        <w:tc>
          <w:tcPr>
            <w:tcW w:type="dxa" w:w="4968"/>
            <w:shd w:fill="DCE7FA"/>
          </w:tcPr>
          <w:p>
            <w:r>
              <w:rPr>
                <w:b/>
              </w:rPr>
              <w:t>Domain</w:t>
            </w:r>
          </w:p>
        </w:tc>
        <w:tc>
          <w:tcPr>
            <w:tcW w:type="dxa" w:w="4968"/>
            <w:shd w:fill="DCE7FA"/>
          </w:tcPr>
          <w:p>
            <w:r>
              <w:rPr>
                <w:b/>
              </w:rPr>
              <w:t>Authoritative responsibility</w:t>
            </w:r>
          </w:p>
        </w:tc>
      </w:tr>
      <w:tr>
        <w:tc>
          <w:tcPr>
            <w:tcW w:type="dxa" w:w="4968"/>
          </w:tcPr>
          <w:p>
            <w:r>
              <w:t>Identity and Security</w:t>
            </w:r>
          </w:p>
        </w:tc>
        <w:tc>
          <w:tcPr>
            <w:tcW w:type="dxa" w:w="4968"/>
          </w:tcPr>
          <w:p>
            <w:r>
              <w:t>Login, sessions, account security and account recovery.</w:t>
            </w:r>
          </w:p>
        </w:tc>
      </w:tr>
      <w:tr>
        <w:tc>
          <w:tcPr>
            <w:tcW w:type="dxa" w:w="4968"/>
          </w:tcPr>
          <w:p>
            <w:r>
              <w:t>Workspaces</w:t>
            </w:r>
          </w:p>
        </w:tc>
        <w:tc>
          <w:tcPr>
            <w:tcW w:type="dxa" w:w="4968"/>
          </w:tcPr>
          <w:p>
            <w:r>
              <w:t>Workspace type, ownership, lifecycle, membership, context and workspace-level authorization.</w:t>
            </w:r>
          </w:p>
        </w:tc>
      </w:tr>
      <w:tr>
        <w:tc>
          <w:tcPr>
            <w:tcW w:type="dxa" w:w="4968"/>
          </w:tcPr>
          <w:p>
            <w:r>
              <w:t>Subscription/Billing</w:t>
            </w:r>
          </w:p>
        </w:tc>
        <w:tc>
          <w:tcPr>
            <w:tcW w:type="dxa" w:w="4968"/>
          </w:tcPr>
          <w:p>
            <w:r>
              <w:t>Plans, payment records, subscription state and entitlements.</w:t>
            </w:r>
          </w:p>
        </w:tc>
      </w:tr>
      <w:tr>
        <w:tc>
          <w:tcPr>
            <w:tcW w:type="dxa" w:w="4968"/>
          </w:tcPr>
          <w:p>
            <w:r>
              <w:t>Exchange Connections</w:t>
            </w:r>
          </w:p>
        </w:tc>
        <w:tc>
          <w:tcPr>
            <w:tcW w:type="dxa" w:w="4968"/>
          </w:tcPr>
          <w:p>
            <w:r>
              <w:t>Exchange credentials, accounts, capabilities and connection health.</w:t>
            </w:r>
          </w:p>
        </w:tc>
      </w:tr>
      <w:tr>
        <w:tc>
          <w:tcPr>
            <w:tcW w:type="dxa" w:w="4968"/>
          </w:tcPr>
          <w:p>
            <w:r>
              <w:t>Signal Source Connections</w:t>
            </w:r>
          </w:p>
        </w:tc>
        <w:tc>
          <w:tcPr>
            <w:tcW w:type="dxa" w:w="4968"/>
          </w:tcPr>
          <w:p>
            <w:r>
              <w:t>Messaging provider connections, source selection, ingestion and signal-driven intent creation.</w:t>
            </w:r>
          </w:p>
        </w:tc>
      </w:tr>
      <w:tr>
        <w:tc>
          <w:tcPr>
            <w:tcW w:type="dxa" w:w="4968"/>
          </w:tcPr>
          <w:p>
            <w:r>
              <w:t>AI Signal Intelligence</w:t>
            </w:r>
          </w:p>
        </w:tc>
        <w:tc>
          <w:tcPr>
            <w:tcW w:type="dxa" w:w="4968"/>
          </w:tcPr>
          <w:p>
            <w:r>
              <w:t>Message interpretation and structured extraction; never independently authorizes execution.</w:t>
            </w:r>
          </w:p>
        </w:tc>
      </w:tr>
      <w:tr>
        <w:tc>
          <w:tcPr>
            <w:tcW w:type="dxa" w:w="4968"/>
          </w:tcPr>
          <w:p>
            <w:r>
              <w:t>Marketplace/Copy Trading</w:t>
            </w:r>
          </w:p>
        </w:tc>
        <w:tc>
          <w:tcPr>
            <w:tcW w:type="dxa" w:w="4968"/>
          </w:tcPr>
          <w:p>
            <w:r>
              <w:t>Trader profiles, published signals, offerings, followers and copy configurations.</w:t>
            </w:r>
          </w:p>
        </w:tc>
      </w:tr>
      <w:tr>
        <w:tc>
          <w:tcPr>
            <w:tcW w:type="dxa" w:w="4968"/>
          </w:tcPr>
          <w:p>
            <w:r>
              <w:t>Developer Platform</w:t>
            </w:r>
          </w:p>
        </w:tc>
        <w:tc>
          <w:tcPr>
            <w:tcW w:type="dxa" w:w="4968"/>
          </w:tcPr>
          <w:p>
            <w:r>
              <w:t>Applications, API credentials/scopes, webhooks, sandbox and developer usage.</w:t>
            </w:r>
          </w:p>
        </w:tc>
      </w:tr>
      <w:tr>
        <w:tc>
          <w:tcPr>
            <w:tcW w:type="dxa" w:w="4968"/>
          </w:tcPr>
          <w:p>
            <w:r>
              <w:t>Risk Management</w:t>
            </w:r>
          </w:p>
        </w:tc>
        <w:tc>
          <w:tcPr>
            <w:tcW w:type="dxa" w:w="4968"/>
          </w:tcPr>
          <w:p>
            <w:r>
              <w:t>Pre-trade checks, limits, approvals, circuit breakers and emergency pause.</w:t>
            </w:r>
          </w:p>
        </w:tc>
      </w:tr>
      <w:tr>
        <w:tc>
          <w:tcPr>
            <w:tcW w:type="dxa" w:w="4968"/>
          </w:tcPr>
          <w:p>
            <w:r>
              <w:t>Execution/Synchronization</w:t>
            </w:r>
          </w:p>
        </w:tc>
        <w:tc>
          <w:tcPr>
            <w:tcW w:type="dxa" w:w="4968"/>
          </w:tcPr>
          <w:p>
            <w:r>
              <w:t>Idempotent order routing, destination results, reconciliation and execution state.</w:t>
            </w:r>
          </w:p>
        </w:tc>
      </w:tr>
    </w:tbl>
    <w:p/>
    <w:p>
      <w:pPr>
        <w:pStyle w:val="Heading1"/>
      </w:pPr>
      <w:r>
        <w:t>Implementation notes and unresolved product policy</w:t>
      </w:r>
    </w:p>
    <w:p>
      <w:r>
        <w:t>The architecture can be implemented with the rules above while keeping these commercial/platform values configurable rather than hard-coded: maximum workspace counts by plan; whether Trader/Developer workspaces have separate entitlements or inherit account-level entitlements; exact WhatsApp integration scope; marketplace eligibility/review requirements; and downgrade behavior for already-active workspaces and resources.</w:t>
      </w:r>
    </w:p>
    <w:p>
      <w:r>
        <w:t>Recommended build order: workspace identity and isolation; provider connection abstraction; explicit source selection; ingestion/deduplication; parser/validation pipeline; user configuration and destination mapping; shared risk/intent routing; trader/developer onboarding; marketplace and developer-domain integrations; operational dashboards, audits, and recovery tests.</w:t>
      </w:r>
    </w:p>
    <w:p>
      <w:pPr>
        <w:pStyle w:val="Heading1"/>
      </w:pPr>
      <w:r>
        <w:t>Cross-module test scenarios</w:t>
      </w:r>
    </w:p>
    <w:p>
      <w:pPr>
        <w:pStyle w:val="ListBullet"/>
      </w:pPr>
      <w:r>
        <w:t>One incoming message is delivered repeatedly after reconnect; only one eligible signal intent is created.</w:t>
      </w:r>
    </w:p>
    <w:p>
      <w:pPr>
        <w:pStyle w:val="ListBullet"/>
      </w:pPr>
      <w:r>
        <w:t>The same underlying signal arrives from a marketplace and a messaging source; configured overlap detection prevents unintended duplicate execution.</w:t>
      </w:r>
    </w:p>
    <w:p>
      <w:pPr>
        <w:pStyle w:val="ListBullet"/>
      </w:pPr>
      <w:r>
        <w:t>A selected source is disconnected during an in-flight order; no new source-driven intents are created, while existing orders remain monitored.</w:t>
      </w:r>
    </w:p>
    <w:p>
      <w:pPr>
        <w:pStyle w:val="ListBullet"/>
      </w:pPr>
      <w:r>
        <w:t>One destination exchange succeeds and another times out; the successful outcome is preserved and the uncertain destination is reconciled before retry.</w:t>
      </w:r>
    </w:p>
    <w:p>
      <w:pPr>
        <w:pStyle w:val="ListBullet"/>
      </w:pPr>
      <w:r>
        <w:t>Risk evaluation is unavailable or stale; risk-increasing signal execution is held/blocked according to policy.</w:t>
      </w:r>
    </w:p>
    <w:p>
      <w:pPr>
        <w:pStyle w:val="ListBullet"/>
      </w:pPr>
      <w:r>
        <w:t>A user switches from Trader workspace Abba to a Developer workspace; no Trader data or credentials are exposed in the Developer context.</w:t>
      </w:r>
    </w:p>
    <w:p>
      <w:pPr>
        <w:pStyle w:val="ListBullet"/>
      </w:pPr>
      <w:r>
        <w:t>A user creates two Trader workspaces; each has independent profile, visibility, signal history, and configuration.</w:t>
      </w:r>
    </w:p>
    <w:p>
      <w:pPr>
        <w:pStyle w:val="ListBullet"/>
      </w:pPr>
      <w:r>
        <w:t>A Developer workspace is downgraded or paused; the documented access policy is applied without deleting audit records or exposing secrets.</w:t>
      </w:r>
    </w:p>
    <w:p>
      <w:pPr>
        <w:pStyle w:val="ListBullet"/>
      </w:pPr>
      <w:r>
        <w:t>A user revokes a shared resource grant; new access is blocked and revocation is audited.</w:t>
      </w:r>
    </w:p>
    <w:p>
      <w:pPr>
        <w:pStyle w:val="ListBullet"/>
      </w:pPr>
      <w:r>
        <w:t>Sandbox executions cannot create live exchange orders and are clearly labelled in the UI.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SyncExc | Product &amp; Engineering Specification | Internal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8C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