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the platform's integrity and protect the Sleek.Design user experience from malicious actors, the Trust &amp; Safety backend must operate with zero-trust principles, ultra-low latency, and definitive enforcement. We will utilize an edge-computed AI triage pipeline combined with immutable hardware fingerprinting.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architectural blueprint for the Trust &amp; Safety infrastructure.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15-Second Media Buffer (The Evidence Vault)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on the client's device to record and upload video introduces battery drain, network latency, and the risk of client-side tampering. Instead, the buffering must be handled entirely server-side.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SFU Circular Buffering:</w:t>
      </w:r>
      <w:r w:rsidDel="00000000" w:rsidR="00000000" w:rsidRPr="00000000">
        <w:rPr>
          <w:rFonts w:ascii="Google Sans" w:cs="Google Sans" w:eastAsia="Google Sans" w:hAnsi="Google Sans"/>
          <w:color w:val="1f1f1f"/>
          <w:rtl w:val="0"/>
        </w:rPr>
        <w:t xml:space="preserve"> Our WebRTC Selective Forwarding Unit (SFU) maintains a continuous, lightweight 15-second circular buffer in RAM for every active video and audio track.</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Ingestion Trigger:</w:t>
      </w:r>
      <w:r w:rsidDel="00000000" w:rsidR="00000000" w:rsidRPr="00000000">
        <w:rPr>
          <w:rFonts w:ascii="Google Sans" w:cs="Google Sans" w:eastAsia="Google Sans" w:hAnsi="Google Sans"/>
          <w:color w:val="1f1f1f"/>
          <w:rtl w:val="0"/>
        </w:rPr>
        <w:t xml:space="preserve"> When a Host taps the discrete "Flag" icon, a lightweight WebSocket payload containing the offender_peer_id and timestamp is sent to the backend.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Encrypted Storage:</w:t>
      </w:r>
      <w:r w:rsidDel="00000000" w:rsidR="00000000" w:rsidRPr="00000000">
        <w:rPr>
          <w:rFonts w:ascii="Google Sans" w:cs="Google Sans" w:eastAsia="Google Sans" w:hAnsi="Google Sans"/>
          <w:color w:val="1f1f1f"/>
          <w:rtl w:val="0"/>
        </w:rPr>
        <w:t xml:space="preserve"> The SFU immediately flushes that specific user's 15-second buffer from RAM, transcodes it into a lightweight MP4/AAC file, and encrypts it. The file is pushed to an isolated Amazon S3 cold-storage bucket (The Evidence Vault), generating a secure, time-limited signed URL for the moderation pipeline.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AI-Driven Triage &amp; Automated Bans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moderation is too slow for a live environment. The 15-second clip must be analyzed in near real-time to execute automated bans before the offender can ruin the room's dynamic.</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Concurrent AI Analysis:</w:t>
      </w:r>
      <w:r w:rsidDel="00000000" w:rsidR="00000000" w:rsidRPr="00000000">
        <w:rPr>
          <w:rFonts w:ascii="Google Sans" w:cs="Google Sans" w:eastAsia="Google Sans" w:hAnsi="Google Sans"/>
          <w:color w:val="1f1f1f"/>
          <w:rtl w:val="0"/>
        </w:rPr>
        <w:t xml:space="preserve"> As soon as the clip hits the Evidence Vault, serverless edge functions (like AWS Lambda) trigger two concurrent machine learning pipelines:</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Computer Vision (e.g., AWS Rekognition):</w:t>
      </w:r>
      <w:r w:rsidDel="00000000" w:rsidR="00000000" w:rsidRPr="00000000">
        <w:rPr>
          <w:rFonts w:ascii="Google Sans" w:cs="Google Sans" w:eastAsia="Google Sans" w:hAnsi="Google Sans"/>
          <w:color w:val="1f1f1f"/>
          <w:rtl w:val="0"/>
        </w:rPr>
        <w:t xml:space="preserve"> Scans the 15-second video frame-by-frame for nudity, weapons, violence, or explicit gestures.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NLP &amp; Audio Analysis:</w:t>
      </w:r>
      <w:r w:rsidDel="00000000" w:rsidR="00000000" w:rsidRPr="00000000">
        <w:rPr>
          <w:rFonts w:ascii="Google Sans" w:cs="Google Sans" w:eastAsia="Google Sans" w:hAnsi="Google Sans"/>
          <w:color w:val="1f1f1f"/>
          <w:rtl w:val="0"/>
        </w:rPr>
        <w:t xml:space="preserve"> Transcribes the audio using a low-latency speech-to-text model and runs the text through an NLP engine to detect hate speech, threats, or severe profanity.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Confidence Matrix:</w:t>
      </w:r>
      <w:r w:rsidDel="00000000" w:rsidR="00000000" w:rsidRPr="00000000">
        <w:rPr>
          <w:rFonts w:ascii="Google Sans" w:cs="Google Sans" w:eastAsia="Google Sans" w:hAnsi="Google Sans"/>
          <w:color w:val="1f1f1f"/>
          <w:rtl w:val="0"/>
        </w:rPr>
        <w:t xml:space="preserve"> If the AI detects severe violations with a confidence score of &gt;95%, the system initiates a </w:t>
      </w:r>
      <w:r w:rsidDel="00000000" w:rsidR="00000000" w:rsidRPr="00000000">
        <w:rPr>
          <w:rFonts w:ascii="Google Sans" w:cs="Google Sans" w:eastAsia="Google Sans" w:hAnsi="Google Sans"/>
          <w:b w:val="1"/>
          <w:bCs w:val="1"/>
          <w:color w:val="1f1f1f"/>
          <w:rtl w:val="0"/>
        </w:rPr>
        <w:t xml:space="preserve">Tier 1 Automated Ban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Instant Enforcement:</w:t>
      </w:r>
      <w:r w:rsidDel="00000000" w:rsidR="00000000" w:rsidRPr="00000000">
        <w:rPr>
          <w:rFonts w:ascii="Google Sans" w:cs="Google Sans" w:eastAsia="Google Sans" w:hAnsi="Google Sans"/>
          <w:color w:val="1f1f1f"/>
          <w:rtl w:val="0"/>
        </w:rPr>
        <w:t xml:space="preserve"> A kill-command is dispatched via Redis Pub/Sub to the SFU hosting that specific room. The offender’s WebRTC transport is instantly terminated. On their screen, the app immediately cuts to a harsh, high-contrast dark screen with a red glassmorphic modal stating: </w:t>
      </w:r>
      <w:r w:rsidDel="00000000" w:rsidR="00000000" w:rsidRPr="00000000">
        <w:rPr>
          <w:rFonts w:ascii="Google Sans" w:cs="Google Sans" w:eastAsia="Google Sans" w:hAnsi="Google Sans"/>
          <w:i w:val="1"/>
          <w:iCs w:val="1"/>
          <w:color w:val="1f1f1f"/>
          <w:rtl w:val="0"/>
        </w:rPr>
        <w:t xml:space="preserve">"Your session has been terminated for violating community safety guidelines."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 Fallback:</w:t>
      </w:r>
      <w:r w:rsidDel="00000000" w:rsidR="00000000" w:rsidRPr="00000000">
        <w:rPr>
          <w:rFonts w:ascii="Google Sans" w:cs="Google Sans" w:eastAsia="Google Sans" w:hAnsi="Google Sans"/>
          <w:color w:val="1f1f1f"/>
          <w:rtl w:val="0"/>
        </w:rPr>
        <w:t xml:space="preserve"> If the AI confidence score is between 60% and 94%, the user remains in the room, but the ticket is escalated to a live human moderation queue for priority review.</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Reputation Ledger &amp; Ban Evasion Tracking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IP or email ban is completely ineffective in the gig economy where users switch cell towers and create burner accounts. We must enforce identity at the hardware and platform level.</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Trust Score:</w:t>
      </w:r>
      <w:r w:rsidDel="00000000" w:rsidR="00000000" w:rsidRPr="00000000">
        <w:rPr>
          <w:rFonts w:ascii="Google Sans" w:cs="Google Sans" w:eastAsia="Google Sans" w:hAnsi="Google Sans"/>
          <w:color w:val="1f1f1f"/>
          <w:rtl w:val="0"/>
        </w:rPr>
        <w:t xml:space="preserve"> Every user has a hidden backend Trust Score stored in a fast-read database (like PostgreSQL or DynamoDB). Entering rooms, maintaining long conversations, and receiving positive "Mood" interactions organically increases this score. Being muted, kicked, or flagged rapidly decays it.</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Shadowbanning (The Purgatory State):</w:t>
      </w:r>
      <w:r w:rsidDel="00000000" w:rsidR="00000000" w:rsidRPr="00000000">
        <w:rPr>
          <w:rFonts w:ascii="Google Sans" w:cs="Google Sans" w:eastAsia="Google Sans" w:hAnsi="Google Sans"/>
          <w:color w:val="1f1f1f"/>
          <w:rtl w:val="0"/>
        </w:rPr>
        <w:t xml:space="preserve"> Users whose Trust Score drops below a certain threshold—but who haven't committed a Tier 1 offense—are automatically shadowbanned. They can still open the app, validate their trip, and hit "Join a Room," but the algorithm will only place them in isolated rooms with other low-trust users, shielding the premium ecosystem from toxicity.</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Triple-Layer Fingerprinting (Hard Bans):</w:t>
      </w:r>
      <w:r w:rsidDel="00000000" w:rsidR="00000000" w:rsidRPr="00000000">
        <w:rPr>
          <w:rFonts w:ascii="Google Sans" w:cs="Google Sans" w:eastAsia="Google Sans" w:hAnsi="Google Sans"/>
          <w:color w:val="1f1f1f"/>
          <w:rtl w:val="0"/>
        </w:rPr>
        <w:t xml:space="preserve"> When a Tier 1 automated ban is issued, the backend blacklists the user across three immutable vectors:</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Hardware ID:</w:t>
      </w:r>
      <w:r w:rsidDel="00000000" w:rsidR="00000000" w:rsidRPr="00000000">
        <w:rPr>
          <w:rFonts w:ascii="Google Sans" w:cs="Google Sans" w:eastAsia="Google Sans" w:hAnsi="Google Sans"/>
          <w:color w:val="1f1f1f"/>
          <w:rtl w:val="0"/>
        </w:rPr>
        <w:t xml:space="preserve"> Device-level fingerprinting using Apple DeviceCheck API and Android Play Integrity API prevents them from simply uninstalling and reinstalling the app.</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Telecom Vector:</w:t>
      </w:r>
      <w:r w:rsidDel="00000000" w:rsidR="00000000" w:rsidRPr="00000000">
        <w:rPr>
          <w:rFonts w:ascii="Google Sans" w:cs="Google Sans" w:eastAsia="Google Sans" w:hAnsi="Google Sans"/>
          <w:color w:val="1f1f1f"/>
          <w:rtl w:val="0"/>
        </w:rPr>
        <w:t xml:space="preserve"> The verified phone number associated with the account is burned.</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API Anchor:</w:t>
      </w:r>
      <w:r w:rsidDel="00000000" w:rsidR="00000000" w:rsidRPr="00000000">
        <w:rPr>
          <w:rFonts w:ascii="Google Sans" w:cs="Google Sans" w:eastAsia="Google Sans" w:hAnsi="Google Sans"/>
          <w:color w:val="1f1f1f"/>
          <w:rtl w:val="0"/>
        </w:rPr>
        <w:t xml:space="preserve"> Because our Trip Validation Engine relies on Uber/Lyft webhooks, we hash and blacklist their specific Rideshare Rider ID. Even if they get a new phone and a new number, they cannot access Rideshare Chats while logged into their existing Uber/Lyft passenger account.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