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rsidR="0045751E" w:rsidP="0045751E" w14:paraId="0A7065FF" w14:textId="77777777">
      <w:pPr>
        <w:spacing w:line="360" w:lineRule="auto"/>
        <w:jc w:val="center"/>
        <w:rPr>
          <w:rFonts w:ascii="Times New Roman" w:hAnsi="Times New Roman" w:cs="Times New Roman"/>
          <w:b/>
          <w:bCs/>
          <w:sz w:val="32"/>
          <w:szCs w:val="32"/>
        </w:rPr>
      </w:pPr>
    </w:p>
    <w:p w:rsidR="0045751E" w:rsidP="0045751E" w14:paraId="13A952E0" w14:textId="77777777">
      <w:pPr>
        <w:spacing w:line="360" w:lineRule="auto"/>
        <w:jc w:val="center"/>
        <w:rPr>
          <w:rFonts w:ascii="Times New Roman" w:hAnsi="Times New Roman" w:cs="Times New Roman"/>
          <w:b/>
          <w:bCs/>
          <w:sz w:val="32"/>
          <w:szCs w:val="32"/>
        </w:rPr>
      </w:pPr>
    </w:p>
    <w:p w:rsidR="0045751E" w:rsidP="0045751E" w14:paraId="76FA4519" w14:textId="77777777">
      <w:pPr>
        <w:spacing w:line="360" w:lineRule="auto"/>
        <w:jc w:val="center"/>
        <w:rPr>
          <w:rFonts w:ascii="Times New Roman" w:hAnsi="Times New Roman" w:cs="Times New Roman"/>
          <w:b/>
          <w:bCs/>
          <w:sz w:val="32"/>
          <w:szCs w:val="32"/>
        </w:rPr>
      </w:pPr>
    </w:p>
    <w:p w:rsidR="0045751E" w:rsidP="0045751E" w14:paraId="17BEA945" w14:textId="77777777">
      <w:pPr>
        <w:spacing w:line="360" w:lineRule="auto"/>
        <w:jc w:val="center"/>
        <w:rPr>
          <w:rFonts w:ascii="Times New Roman" w:hAnsi="Times New Roman" w:cs="Times New Roman"/>
          <w:b/>
          <w:bCs/>
          <w:sz w:val="32"/>
          <w:szCs w:val="32"/>
        </w:rPr>
      </w:pPr>
    </w:p>
    <w:p w:rsidR="0045751E" w:rsidP="0045751E" w14:paraId="5FC6D2E3" w14:textId="77777777">
      <w:pPr>
        <w:spacing w:line="360" w:lineRule="auto"/>
        <w:jc w:val="center"/>
        <w:rPr>
          <w:rFonts w:ascii="Times New Roman" w:hAnsi="Times New Roman" w:cs="Times New Roman"/>
          <w:b/>
          <w:bCs/>
          <w:sz w:val="32"/>
          <w:szCs w:val="32"/>
        </w:rPr>
      </w:pPr>
    </w:p>
    <w:p w:rsidR="0045751E" w:rsidP="0045751E" w14:paraId="1B51BD56" w14:textId="77777777">
      <w:pPr>
        <w:spacing w:line="360" w:lineRule="auto"/>
        <w:jc w:val="center"/>
        <w:rPr>
          <w:rFonts w:ascii="Times New Roman" w:hAnsi="Times New Roman" w:cs="Times New Roman"/>
          <w:b/>
          <w:bCs/>
          <w:sz w:val="32"/>
          <w:szCs w:val="32"/>
        </w:rPr>
      </w:pPr>
    </w:p>
    <w:p w:rsidR="0045751E" w:rsidP="0045751E" w14:paraId="1114A8FF" w14:textId="77777777">
      <w:pPr>
        <w:spacing w:line="360" w:lineRule="auto"/>
        <w:jc w:val="center"/>
        <w:rPr>
          <w:rFonts w:ascii="Times New Roman" w:hAnsi="Times New Roman" w:cs="Times New Roman"/>
          <w:b/>
          <w:bCs/>
          <w:sz w:val="32"/>
          <w:szCs w:val="32"/>
        </w:rPr>
      </w:pPr>
    </w:p>
    <w:p w:rsidR="0045751E" w:rsidP="0045751E" w14:paraId="10352A0D" w14:textId="77777777">
      <w:pPr>
        <w:spacing w:line="360" w:lineRule="auto"/>
        <w:jc w:val="center"/>
        <w:rPr>
          <w:rFonts w:ascii="Times New Roman" w:hAnsi="Times New Roman" w:cs="Times New Roman"/>
          <w:b/>
          <w:bCs/>
          <w:sz w:val="32"/>
          <w:szCs w:val="32"/>
        </w:rPr>
      </w:pPr>
    </w:p>
    <w:p w:rsidR="0045751E" w:rsidP="0045751E" w14:paraId="620C787F" w14:textId="77777777">
      <w:pPr>
        <w:spacing w:line="360" w:lineRule="auto"/>
        <w:jc w:val="center"/>
        <w:rPr>
          <w:rFonts w:ascii="Times New Roman" w:hAnsi="Times New Roman" w:cs="Times New Roman"/>
          <w:b/>
          <w:bCs/>
          <w:sz w:val="32"/>
          <w:szCs w:val="32"/>
        </w:rPr>
      </w:pPr>
      <w:r w:rsidRPr="0045751E">
        <w:rPr>
          <w:rFonts w:ascii="Times New Roman" w:hAnsi="Times New Roman" w:cs="Times New Roman"/>
          <w:b/>
          <w:bCs/>
          <w:sz w:val="32"/>
          <w:szCs w:val="32"/>
        </w:rPr>
        <w:t>Accounting and Finance</w:t>
      </w:r>
    </w:p>
    <w:p w:rsidR="0045751E" w14:paraId="6A1C1727" w14:textId="77777777">
      <w:pPr>
        <w:rPr>
          <w:rFonts w:ascii="Times New Roman" w:hAnsi="Times New Roman" w:cs="Times New Roman"/>
          <w:b/>
          <w:bCs/>
          <w:sz w:val="32"/>
          <w:szCs w:val="32"/>
        </w:rPr>
      </w:pPr>
      <w:r>
        <w:rPr>
          <w:rFonts w:ascii="Times New Roman" w:hAnsi="Times New Roman" w:cs="Times New Roman"/>
          <w:b/>
          <w:bCs/>
          <w:sz w:val="32"/>
          <w:szCs w:val="32"/>
        </w:rPr>
        <w:br w:type="page"/>
      </w:r>
    </w:p>
    <w:sdt>
      <w:sdtPr>
        <w:rPr>
          <w:rFonts w:ascii="Times New Roman" w:hAnsi="Times New Roman" w:cs="Times New Roman"/>
          <w:b/>
          <w:bCs/>
          <w:color w:val="auto"/>
          <w:sz w:val="28"/>
          <w:szCs w:val="28"/>
        </w:rPr>
        <w:id w:val="1607160687"/>
        <w:docPartObj>
          <w:docPartGallery w:val="Table of Contents"/>
          <w:docPartUnique/>
        </w:docPartObj>
      </w:sdtPr>
      <w:sdtEndPr>
        <w:rPr>
          <w:rFonts w:eastAsia="Arial"/>
          <w:noProof/>
          <w:sz w:val="24"/>
          <w:szCs w:val="24"/>
          <w:lang w:val="en-GB" w:eastAsia="en-IN"/>
        </w:rPr>
      </w:sdtEndPr>
      <w:sdtContent>
        <w:p w:rsidR="0045751E" w:rsidRPr="0045751E" w:rsidP="0045751E" w14:paraId="4AA70E39" w14:textId="7B52BB3D">
          <w:pPr>
            <w:pStyle w:val="TOCHeading"/>
            <w:jc w:val="center"/>
            <w:rPr>
              <w:rFonts w:ascii="Times New Roman" w:hAnsi="Times New Roman" w:cs="Times New Roman"/>
              <w:b/>
              <w:bCs/>
              <w:color w:val="auto"/>
              <w:sz w:val="28"/>
              <w:szCs w:val="28"/>
            </w:rPr>
          </w:pPr>
          <w:r w:rsidRPr="0045751E">
            <w:rPr>
              <w:rFonts w:ascii="Times New Roman" w:hAnsi="Times New Roman" w:cs="Times New Roman"/>
              <w:b/>
              <w:bCs/>
              <w:color w:val="auto"/>
              <w:sz w:val="28"/>
              <w:szCs w:val="28"/>
            </w:rPr>
            <w:t>Table of Contents</w:t>
          </w:r>
        </w:p>
        <w:p w:rsidR="0045751E" w:rsidRPr="0045751E" w14:paraId="4FF8F4B7" w14:textId="45CE0E07">
          <w:pPr>
            <w:pStyle w:val="TOC1"/>
            <w:tabs>
              <w:tab w:val="right" w:leader="dot" w:pos="9019"/>
            </w:tabs>
            <w:rPr>
              <w:rFonts w:ascii="Times New Roman" w:hAnsi="Times New Roman" w:cs="Times New Roman"/>
              <w:noProof/>
              <w:sz w:val="24"/>
              <w:szCs w:val="24"/>
            </w:rPr>
          </w:pPr>
          <w:r w:rsidRPr="0045751E">
            <w:rPr>
              <w:rFonts w:ascii="Times New Roman" w:hAnsi="Times New Roman" w:cs="Times New Roman"/>
              <w:sz w:val="24"/>
              <w:szCs w:val="24"/>
            </w:rPr>
            <w:fldChar w:fldCharType="begin"/>
          </w:r>
          <w:r w:rsidRPr="0045751E">
            <w:rPr>
              <w:rFonts w:ascii="Times New Roman" w:hAnsi="Times New Roman" w:cs="Times New Roman"/>
              <w:sz w:val="24"/>
              <w:szCs w:val="24"/>
            </w:rPr>
            <w:instrText xml:space="preserve"> TOC \o "1-3" \h \z \u </w:instrText>
          </w:r>
          <w:r w:rsidRPr="0045751E">
            <w:rPr>
              <w:rFonts w:ascii="Times New Roman" w:hAnsi="Times New Roman" w:cs="Times New Roman"/>
              <w:sz w:val="24"/>
              <w:szCs w:val="24"/>
            </w:rPr>
            <w:fldChar w:fldCharType="separate"/>
          </w:r>
          <w:hyperlink w:anchor="_Toc133361566" w:history="1">
            <w:r w:rsidRPr="0045751E">
              <w:rPr>
                <w:rStyle w:val="Hyperlink"/>
                <w:rFonts w:ascii="Times New Roman" w:hAnsi="Times New Roman" w:cs="Times New Roman"/>
                <w:noProof/>
                <w:sz w:val="24"/>
                <w:szCs w:val="24"/>
              </w:rPr>
              <w:t>Section (i): Introduction</w:t>
            </w:r>
            <w:r w:rsidRPr="0045751E">
              <w:rPr>
                <w:rFonts w:ascii="Times New Roman" w:hAnsi="Times New Roman" w:cs="Times New Roman"/>
                <w:noProof/>
                <w:webHidden/>
                <w:sz w:val="24"/>
                <w:szCs w:val="24"/>
              </w:rPr>
              <w:tab/>
            </w:r>
            <w:r w:rsidRPr="0045751E">
              <w:rPr>
                <w:rFonts w:ascii="Times New Roman" w:hAnsi="Times New Roman" w:cs="Times New Roman"/>
                <w:noProof/>
                <w:webHidden/>
                <w:sz w:val="24"/>
                <w:szCs w:val="24"/>
              </w:rPr>
              <w:fldChar w:fldCharType="begin"/>
            </w:r>
            <w:r w:rsidRPr="0045751E">
              <w:rPr>
                <w:rFonts w:ascii="Times New Roman" w:hAnsi="Times New Roman" w:cs="Times New Roman"/>
                <w:noProof/>
                <w:webHidden/>
                <w:sz w:val="24"/>
                <w:szCs w:val="24"/>
              </w:rPr>
              <w:instrText xml:space="preserve"> PAGEREF _Toc133361566 \h </w:instrText>
            </w:r>
            <w:r w:rsidRPr="0045751E">
              <w:rPr>
                <w:rFonts w:ascii="Times New Roman" w:hAnsi="Times New Roman" w:cs="Times New Roman"/>
                <w:noProof/>
                <w:webHidden/>
                <w:sz w:val="24"/>
                <w:szCs w:val="24"/>
              </w:rPr>
              <w:fldChar w:fldCharType="separate"/>
            </w:r>
            <w:r w:rsidRPr="0045751E">
              <w:rPr>
                <w:rFonts w:ascii="Times New Roman" w:hAnsi="Times New Roman" w:cs="Times New Roman"/>
                <w:noProof/>
                <w:webHidden/>
                <w:sz w:val="24"/>
                <w:szCs w:val="24"/>
              </w:rPr>
              <w:t>3</w:t>
            </w:r>
            <w:r w:rsidRPr="0045751E">
              <w:rPr>
                <w:rFonts w:ascii="Times New Roman" w:hAnsi="Times New Roman" w:cs="Times New Roman"/>
                <w:noProof/>
                <w:webHidden/>
                <w:sz w:val="24"/>
                <w:szCs w:val="24"/>
              </w:rPr>
              <w:fldChar w:fldCharType="end"/>
            </w:r>
          </w:hyperlink>
        </w:p>
        <w:p w:rsidR="0045751E" w:rsidRPr="0045751E" w14:paraId="1CD0F7F5" w14:textId="6256C67E">
          <w:pPr>
            <w:pStyle w:val="TOC1"/>
            <w:tabs>
              <w:tab w:val="right" w:leader="dot" w:pos="9019"/>
            </w:tabs>
            <w:rPr>
              <w:rFonts w:ascii="Times New Roman" w:hAnsi="Times New Roman" w:cs="Times New Roman"/>
              <w:noProof/>
              <w:sz w:val="24"/>
              <w:szCs w:val="24"/>
            </w:rPr>
          </w:pPr>
          <w:hyperlink w:anchor="_Toc133361567" w:history="1">
            <w:r w:rsidRPr="0045751E">
              <w:rPr>
                <w:rStyle w:val="Hyperlink"/>
                <w:rFonts w:ascii="Times New Roman" w:hAnsi="Times New Roman" w:cs="Times New Roman"/>
                <w:noProof/>
                <w:sz w:val="24"/>
                <w:szCs w:val="24"/>
              </w:rPr>
              <w:t>Section (ii): Analysing and interpreting the financial performance of FirstGroup Plc</w:t>
            </w:r>
            <w:r w:rsidRPr="0045751E">
              <w:rPr>
                <w:rFonts w:ascii="Times New Roman" w:hAnsi="Times New Roman" w:cs="Times New Roman"/>
                <w:noProof/>
                <w:webHidden/>
                <w:sz w:val="24"/>
                <w:szCs w:val="24"/>
              </w:rPr>
              <w:tab/>
            </w:r>
            <w:r w:rsidRPr="0045751E">
              <w:rPr>
                <w:rFonts w:ascii="Times New Roman" w:hAnsi="Times New Roman" w:cs="Times New Roman"/>
                <w:noProof/>
                <w:webHidden/>
                <w:sz w:val="24"/>
                <w:szCs w:val="24"/>
              </w:rPr>
              <w:fldChar w:fldCharType="begin"/>
            </w:r>
            <w:r w:rsidRPr="0045751E">
              <w:rPr>
                <w:rFonts w:ascii="Times New Roman" w:hAnsi="Times New Roman" w:cs="Times New Roman"/>
                <w:noProof/>
                <w:webHidden/>
                <w:sz w:val="24"/>
                <w:szCs w:val="24"/>
              </w:rPr>
              <w:instrText xml:space="preserve"> PAGEREF _Toc133361567 \h </w:instrText>
            </w:r>
            <w:r w:rsidRPr="0045751E">
              <w:rPr>
                <w:rFonts w:ascii="Times New Roman" w:hAnsi="Times New Roman" w:cs="Times New Roman"/>
                <w:noProof/>
                <w:webHidden/>
                <w:sz w:val="24"/>
                <w:szCs w:val="24"/>
              </w:rPr>
              <w:fldChar w:fldCharType="separate"/>
            </w:r>
            <w:r w:rsidRPr="0045751E">
              <w:rPr>
                <w:rFonts w:ascii="Times New Roman" w:hAnsi="Times New Roman" w:cs="Times New Roman"/>
                <w:noProof/>
                <w:webHidden/>
                <w:sz w:val="24"/>
                <w:szCs w:val="24"/>
              </w:rPr>
              <w:t>4</w:t>
            </w:r>
            <w:r w:rsidRPr="0045751E">
              <w:rPr>
                <w:rFonts w:ascii="Times New Roman" w:hAnsi="Times New Roman" w:cs="Times New Roman"/>
                <w:noProof/>
                <w:webHidden/>
                <w:sz w:val="24"/>
                <w:szCs w:val="24"/>
              </w:rPr>
              <w:fldChar w:fldCharType="end"/>
            </w:r>
          </w:hyperlink>
        </w:p>
        <w:p w:rsidR="0045751E" w:rsidRPr="0045751E" w14:paraId="17C545ED" w14:textId="0C491677">
          <w:pPr>
            <w:pStyle w:val="TOC1"/>
            <w:tabs>
              <w:tab w:val="right" w:leader="dot" w:pos="9019"/>
            </w:tabs>
            <w:rPr>
              <w:rFonts w:ascii="Times New Roman" w:hAnsi="Times New Roman" w:cs="Times New Roman"/>
              <w:noProof/>
              <w:sz w:val="24"/>
              <w:szCs w:val="24"/>
            </w:rPr>
          </w:pPr>
          <w:hyperlink w:anchor="_Toc133361568" w:history="1">
            <w:r w:rsidRPr="0045751E">
              <w:rPr>
                <w:rStyle w:val="Hyperlink"/>
                <w:rFonts w:ascii="Times New Roman" w:hAnsi="Times New Roman" w:cs="Times New Roman"/>
                <w:noProof/>
                <w:sz w:val="24"/>
                <w:szCs w:val="24"/>
              </w:rPr>
              <w:t>Section (iii): Comparing the company’s financial performance with one of its key competitors</w:t>
            </w:r>
            <w:r w:rsidRPr="0045751E">
              <w:rPr>
                <w:rFonts w:ascii="Times New Roman" w:hAnsi="Times New Roman" w:cs="Times New Roman"/>
                <w:noProof/>
                <w:webHidden/>
                <w:sz w:val="24"/>
                <w:szCs w:val="24"/>
              </w:rPr>
              <w:tab/>
            </w:r>
            <w:r w:rsidRPr="0045751E">
              <w:rPr>
                <w:rFonts w:ascii="Times New Roman" w:hAnsi="Times New Roman" w:cs="Times New Roman"/>
                <w:noProof/>
                <w:webHidden/>
                <w:sz w:val="24"/>
                <w:szCs w:val="24"/>
              </w:rPr>
              <w:fldChar w:fldCharType="begin"/>
            </w:r>
            <w:r w:rsidRPr="0045751E">
              <w:rPr>
                <w:rFonts w:ascii="Times New Roman" w:hAnsi="Times New Roman" w:cs="Times New Roman"/>
                <w:noProof/>
                <w:webHidden/>
                <w:sz w:val="24"/>
                <w:szCs w:val="24"/>
              </w:rPr>
              <w:instrText xml:space="preserve"> PAGEREF _Toc133361568 \h </w:instrText>
            </w:r>
            <w:r w:rsidRPr="0045751E">
              <w:rPr>
                <w:rFonts w:ascii="Times New Roman" w:hAnsi="Times New Roman" w:cs="Times New Roman"/>
                <w:noProof/>
                <w:webHidden/>
                <w:sz w:val="24"/>
                <w:szCs w:val="24"/>
              </w:rPr>
              <w:fldChar w:fldCharType="separate"/>
            </w:r>
            <w:r w:rsidRPr="0045751E">
              <w:rPr>
                <w:rFonts w:ascii="Times New Roman" w:hAnsi="Times New Roman" w:cs="Times New Roman"/>
                <w:noProof/>
                <w:webHidden/>
                <w:sz w:val="24"/>
                <w:szCs w:val="24"/>
              </w:rPr>
              <w:t>6</w:t>
            </w:r>
            <w:r w:rsidRPr="0045751E">
              <w:rPr>
                <w:rFonts w:ascii="Times New Roman" w:hAnsi="Times New Roman" w:cs="Times New Roman"/>
                <w:noProof/>
                <w:webHidden/>
                <w:sz w:val="24"/>
                <w:szCs w:val="24"/>
              </w:rPr>
              <w:fldChar w:fldCharType="end"/>
            </w:r>
          </w:hyperlink>
        </w:p>
        <w:p w:rsidR="0045751E" w:rsidRPr="0045751E" w14:paraId="0618595C" w14:textId="0A7A5297">
          <w:pPr>
            <w:pStyle w:val="TOC1"/>
            <w:tabs>
              <w:tab w:val="right" w:leader="dot" w:pos="9019"/>
            </w:tabs>
            <w:rPr>
              <w:rFonts w:ascii="Times New Roman" w:hAnsi="Times New Roman" w:cs="Times New Roman"/>
              <w:noProof/>
              <w:sz w:val="24"/>
              <w:szCs w:val="24"/>
            </w:rPr>
          </w:pPr>
          <w:hyperlink w:anchor="_Toc133361569" w:history="1">
            <w:r w:rsidRPr="0045751E">
              <w:rPr>
                <w:rStyle w:val="Hyperlink"/>
                <w:rFonts w:ascii="Times New Roman" w:hAnsi="Times New Roman" w:cs="Times New Roman"/>
                <w:noProof/>
                <w:sz w:val="24"/>
                <w:szCs w:val="24"/>
              </w:rPr>
              <w:t>Section (iv): Conclusion and Recommendation</w:t>
            </w:r>
            <w:r w:rsidRPr="0045751E">
              <w:rPr>
                <w:rFonts w:ascii="Times New Roman" w:hAnsi="Times New Roman" w:cs="Times New Roman"/>
                <w:noProof/>
                <w:webHidden/>
                <w:sz w:val="24"/>
                <w:szCs w:val="24"/>
              </w:rPr>
              <w:tab/>
            </w:r>
            <w:r w:rsidRPr="0045751E">
              <w:rPr>
                <w:rFonts w:ascii="Times New Roman" w:hAnsi="Times New Roman" w:cs="Times New Roman"/>
                <w:noProof/>
                <w:webHidden/>
                <w:sz w:val="24"/>
                <w:szCs w:val="24"/>
              </w:rPr>
              <w:fldChar w:fldCharType="begin"/>
            </w:r>
            <w:r w:rsidRPr="0045751E">
              <w:rPr>
                <w:rFonts w:ascii="Times New Roman" w:hAnsi="Times New Roman" w:cs="Times New Roman"/>
                <w:noProof/>
                <w:webHidden/>
                <w:sz w:val="24"/>
                <w:szCs w:val="24"/>
              </w:rPr>
              <w:instrText xml:space="preserve"> PAGEREF _Toc133361569 \h </w:instrText>
            </w:r>
            <w:r w:rsidRPr="0045751E">
              <w:rPr>
                <w:rFonts w:ascii="Times New Roman" w:hAnsi="Times New Roman" w:cs="Times New Roman"/>
                <w:noProof/>
                <w:webHidden/>
                <w:sz w:val="24"/>
                <w:szCs w:val="24"/>
              </w:rPr>
              <w:fldChar w:fldCharType="separate"/>
            </w:r>
            <w:r w:rsidRPr="0045751E">
              <w:rPr>
                <w:rFonts w:ascii="Times New Roman" w:hAnsi="Times New Roman" w:cs="Times New Roman"/>
                <w:noProof/>
                <w:webHidden/>
                <w:sz w:val="24"/>
                <w:szCs w:val="24"/>
              </w:rPr>
              <w:t>9</w:t>
            </w:r>
            <w:r w:rsidRPr="0045751E">
              <w:rPr>
                <w:rFonts w:ascii="Times New Roman" w:hAnsi="Times New Roman" w:cs="Times New Roman"/>
                <w:noProof/>
                <w:webHidden/>
                <w:sz w:val="24"/>
                <w:szCs w:val="24"/>
              </w:rPr>
              <w:fldChar w:fldCharType="end"/>
            </w:r>
          </w:hyperlink>
        </w:p>
        <w:p w:rsidR="0045751E" w:rsidRPr="0045751E" w14:paraId="6F28E41A" w14:textId="306DCBFA">
          <w:pPr>
            <w:pStyle w:val="TOC1"/>
            <w:tabs>
              <w:tab w:val="right" w:leader="dot" w:pos="9019"/>
            </w:tabs>
            <w:rPr>
              <w:rFonts w:ascii="Times New Roman" w:hAnsi="Times New Roman" w:cs="Times New Roman"/>
              <w:noProof/>
              <w:sz w:val="24"/>
              <w:szCs w:val="24"/>
            </w:rPr>
          </w:pPr>
          <w:hyperlink w:anchor="_Toc133361570" w:history="1">
            <w:r w:rsidRPr="0045751E">
              <w:rPr>
                <w:rStyle w:val="Hyperlink"/>
                <w:rFonts w:ascii="Times New Roman" w:hAnsi="Times New Roman" w:cs="Times New Roman"/>
                <w:noProof/>
                <w:sz w:val="24"/>
                <w:szCs w:val="24"/>
              </w:rPr>
              <w:t>Reference List</w:t>
            </w:r>
            <w:r w:rsidRPr="0045751E">
              <w:rPr>
                <w:rFonts w:ascii="Times New Roman" w:hAnsi="Times New Roman" w:cs="Times New Roman"/>
                <w:noProof/>
                <w:webHidden/>
                <w:sz w:val="24"/>
                <w:szCs w:val="24"/>
              </w:rPr>
              <w:tab/>
            </w:r>
            <w:r w:rsidRPr="0045751E">
              <w:rPr>
                <w:rFonts w:ascii="Times New Roman" w:hAnsi="Times New Roman" w:cs="Times New Roman"/>
                <w:noProof/>
                <w:webHidden/>
                <w:sz w:val="24"/>
                <w:szCs w:val="24"/>
              </w:rPr>
              <w:fldChar w:fldCharType="begin"/>
            </w:r>
            <w:r w:rsidRPr="0045751E">
              <w:rPr>
                <w:rFonts w:ascii="Times New Roman" w:hAnsi="Times New Roman" w:cs="Times New Roman"/>
                <w:noProof/>
                <w:webHidden/>
                <w:sz w:val="24"/>
                <w:szCs w:val="24"/>
              </w:rPr>
              <w:instrText xml:space="preserve"> PAGEREF _Toc133361570 \h </w:instrText>
            </w:r>
            <w:r w:rsidRPr="0045751E">
              <w:rPr>
                <w:rFonts w:ascii="Times New Roman" w:hAnsi="Times New Roman" w:cs="Times New Roman"/>
                <w:noProof/>
                <w:webHidden/>
                <w:sz w:val="24"/>
                <w:szCs w:val="24"/>
              </w:rPr>
              <w:fldChar w:fldCharType="separate"/>
            </w:r>
            <w:r w:rsidRPr="0045751E">
              <w:rPr>
                <w:rFonts w:ascii="Times New Roman" w:hAnsi="Times New Roman" w:cs="Times New Roman"/>
                <w:noProof/>
                <w:webHidden/>
                <w:sz w:val="24"/>
                <w:szCs w:val="24"/>
              </w:rPr>
              <w:t>11</w:t>
            </w:r>
            <w:r w:rsidRPr="0045751E">
              <w:rPr>
                <w:rFonts w:ascii="Times New Roman" w:hAnsi="Times New Roman" w:cs="Times New Roman"/>
                <w:noProof/>
                <w:webHidden/>
                <w:sz w:val="24"/>
                <w:szCs w:val="24"/>
              </w:rPr>
              <w:fldChar w:fldCharType="end"/>
            </w:r>
          </w:hyperlink>
        </w:p>
        <w:p w:rsidR="0045751E" w:rsidRPr="0045751E" w14:paraId="05D98171" w14:textId="7F36FB46">
          <w:pPr>
            <w:rPr>
              <w:rFonts w:ascii="Times New Roman" w:hAnsi="Times New Roman" w:cs="Times New Roman"/>
              <w:sz w:val="24"/>
              <w:szCs w:val="24"/>
            </w:rPr>
          </w:pPr>
          <w:r w:rsidRPr="0045751E">
            <w:rPr>
              <w:rFonts w:ascii="Times New Roman" w:hAnsi="Times New Roman" w:cs="Times New Roman"/>
              <w:b/>
              <w:bCs/>
              <w:noProof/>
              <w:sz w:val="24"/>
              <w:szCs w:val="24"/>
            </w:rPr>
            <w:fldChar w:fldCharType="end"/>
          </w:r>
        </w:p>
      </w:sdtContent>
    </w:sdt>
    <w:p w:rsidR="004C1BA3" w:rsidRPr="0045751E" w:rsidP="0045751E" w14:paraId="00000001" w14:textId="13777DA6">
      <w:pPr>
        <w:spacing w:line="360" w:lineRule="auto"/>
        <w:jc w:val="center"/>
        <w:rPr>
          <w:rFonts w:ascii="Times New Roman" w:eastAsia="Times New Roman" w:hAnsi="Times New Roman" w:cs="Times New Roman"/>
          <w:sz w:val="32"/>
          <w:szCs w:val="32"/>
        </w:rPr>
      </w:pPr>
      <w:r w:rsidRPr="0045751E">
        <w:rPr>
          <w:rFonts w:ascii="Times New Roman" w:hAnsi="Times New Roman" w:cs="Times New Roman"/>
          <w:sz w:val="32"/>
          <w:szCs w:val="32"/>
        </w:rPr>
        <w:br w:type="page"/>
      </w:r>
    </w:p>
    <w:p w:rsidR="004C1BA3" w:rsidP="0045751E" w14:paraId="00000002" w14:textId="77777777">
      <w:pPr>
        <w:pStyle w:val="Heading1"/>
      </w:pPr>
      <w:bookmarkStart w:id="0" w:name="_Toc133361566"/>
      <w:r>
        <w:t>Section (</w:t>
      </w:r>
      <w:r>
        <w:t>i</w:t>
      </w:r>
      <w:r>
        <w:t xml:space="preserve">): </w:t>
      </w:r>
      <w:r w:rsidRPr="0045751E">
        <w:t>Introduction</w:t>
      </w:r>
      <w:bookmarkEnd w:id="0"/>
    </w:p>
    <w:p w:rsidR="004C1BA3" w14:paraId="00000003"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FirstGroup Plc is a </w:t>
      </w:r>
      <w:r>
        <w:rPr>
          <w:rFonts w:ascii="Times New Roman" w:eastAsia="Times New Roman" w:hAnsi="Times New Roman" w:cs="Times New Roman"/>
          <w:sz w:val="24"/>
          <w:szCs w:val="24"/>
        </w:rPr>
        <w:t>first-class</w:t>
      </w:r>
      <w:r>
        <w:rPr>
          <w:rFonts w:ascii="Times New Roman" w:eastAsia="Times New Roman" w:hAnsi="Times New Roman" w:cs="Times New Roman"/>
          <w:sz w:val="24"/>
          <w:szCs w:val="24"/>
        </w:rPr>
        <w:t xml:space="preserve"> transportation venture settled in the Unified Realm that renders transportation administrations to people in general in different pieces of the globe, including North America. Its immense scope of administration incorporates ground transportation like transports, mentors, trains, and cable cars, including transport for school and college </w:t>
      </w:r>
      <w:r>
        <w:rPr>
          <w:rFonts w:ascii="Times New Roman" w:eastAsia="Times New Roman" w:hAnsi="Times New Roman" w:cs="Times New Roman"/>
          <w:sz w:val="24"/>
          <w:szCs w:val="24"/>
        </w:rPr>
        <w:t>understudies.FirstGroup</w:t>
      </w:r>
      <w:r>
        <w:rPr>
          <w:rFonts w:ascii="Times New Roman" w:eastAsia="Times New Roman" w:hAnsi="Times New Roman" w:cs="Times New Roman"/>
          <w:sz w:val="24"/>
          <w:szCs w:val="24"/>
        </w:rPr>
        <w:t xml:space="preserve"> is likewise perceived as focusing on the well-being of its clients and representatives</w:t>
      </w:r>
    </w:p>
    <w:p w:rsidR="004C1BA3" w14:paraId="00000004"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organization began in 1986 as a transport administrator in Aberdeen, Scotland, then, at that point, bit by bit spread out to different pieces of the Unified Realm and North America. As of now, it has serious areas of strength for an area north of 40 nations, and it has become one of the world's greatest transportation organizations with more than 100,000 specialists (FirstGroup, 2023).</w:t>
      </w:r>
    </w:p>
    <w:p w:rsidR="004C1BA3" w14:paraId="00000005"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UK, FirstGroup's business is based on ground transportation administrations like transports and mentors, as well as rail administrations, which are worked by its auxiliary, Extraordinary Western Rail line. Its transports offer types of assistance to the north of 40 towns and urban communities in the UK, with more than 1 billion travelers being moved yearly. The organization additionally runs mentor administrations through the brand, megabus.com, which offers sensibly valued long travel in the Unified Realm and Europe.</w:t>
      </w:r>
    </w:p>
    <w:p w:rsidR="004C1BA3" w14:paraId="00000006"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FirstGroup's tasks in North America go under the name, First Understudy, which gives protected and trustworthy transportation to more than 6 million school and college understudies day to day. It likewise operates the biggest intercity transport administration in North America, Greyhound, which serves more than 18 million travelers yearly.</w:t>
      </w:r>
    </w:p>
    <w:p w:rsidR="0045751E" w14:paraId="4BA7A3F0" w14:textId="01AEC74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more possible chance for FirstGroup Plc is the pattern towards urbanization. As additional people move to urban communities, the interest in public transportation is probably going to increase. FirstGroup Plc's broad involvement with working transport, rail, and cable car administrations positions the organization well to satisfy this developing need.</w:t>
      </w:r>
    </w:p>
    <w:p w:rsidR="0045751E" w:rsidP="0045751E" w14:paraId="4A7888F0"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these drives is the arrangement of electric transports in different areas of the UK. The organization has previously presented a few electric transport courses, including the very first completely electric transport armada in Glasgow, Scotland. These electric transports offer a large number of advantages over customary diesel transports, like diminished emanations, diminished clamor contamination, and </w:t>
      </w:r>
      <w:r>
        <w:rPr>
          <w:rFonts w:ascii="Times New Roman" w:eastAsia="Times New Roman" w:hAnsi="Times New Roman" w:cs="Times New Roman"/>
          <w:sz w:val="24"/>
          <w:szCs w:val="24"/>
        </w:rPr>
        <w:t>long haul</w:t>
      </w:r>
      <w:r>
        <w:rPr>
          <w:rFonts w:ascii="Times New Roman" w:eastAsia="Times New Roman" w:hAnsi="Times New Roman" w:cs="Times New Roman"/>
          <w:sz w:val="24"/>
          <w:szCs w:val="24"/>
        </w:rPr>
        <w:t xml:space="preserve"> lower working expenses.</w:t>
      </w:r>
    </w:p>
    <w:p w:rsidR="0045751E" w14:paraId="5B14DD3E" w14:textId="09210DF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these drives is the arrangement of electric transports in different areas of the UK. The organization has previously presented a few electric transport courses, including the very first </w:t>
      </w:r>
      <w:r>
        <w:rPr>
          <w:rFonts w:ascii="Times New Roman" w:eastAsia="Times New Roman" w:hAnsi="Times New Roman" w:cs="Times New Roman"/>
          <w:sz w:val="24"/>
          <w:szCs w:val="24"/>
        </w:rPr>
        <w:t xml:space="preserve">completely electric transport armada in Glasgow, Scotland. These electric transports offer a large number of advantages over customary diesel transports, like diminished emanations, diminished clamor contamination, and </w:t>
      </w:r>
      <w:r>
        <w:rPr>
          <w:rFonts w:ascii="Times New Roman" w:eastAsia="Times New Roman" w:hAnsi="Times New Roman" w:cs="Times New Roman"/>
          <w:sz w:val="24"/>
          <w:szCs w:val="24"/>
        </w:rPr>
        <w:t>long haul</w:t>
      </w:r>
      <w:r>
        <w:rPr>
          <w:rFonts w:ascii="Times New Roman" w:eastAsia="Times New Roman" w:hAnsi="Times New Roman" w:cs="Times New Roman"/>
          <w:sz w:val="24"/>
          <w:szCs w:val="24"/>
        </w:rPr>
        <w:t xml:space="preserve"> lower working expenses.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FirstGroup Plc has additionally put resources into computerized arrangements that further develop the client experience and improve functional productivity. The organization's versatile tagging application is an illustration of such an answer, empowering clients to purchase and oversee tickets utilizing their cell phones. The application has gotten positive input from clients, decreasing the number of lines at ticket workplaces and installing transports.</w:t>
      </w:r>
    </w:p>
    <w:p w:rsidR="004C1BA3" w:rsidP="0045751E" w14:paraId="00000007" w14:textId="77777777">
      <w:pPr>
        <w:pStyle w:val="Heading1"/>
      </w:pPr>
      <w:bookmarkStart w:id="1" w:name="_Toc133361567"/>
      <w:r w:rsidRPr="0045751E">
        <w:t>Section</w:t>
      </w:r>
      <w:r>
        <w:t xml:space="preserve"> (ii): Analysing and interpreting the financial performance of FirstGroup Plc</w:t>
      </w:r>
      <w:bookmarkEnd w:id="1"/>
    </w:p>
    <w:p w:rsidR="004C1BA3" w14:paraId="00000008"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FirstGroup Plc, a renowned vehicle firm in the UK, offers an assortment of transportation administrations like transports, trains, and cable cars in the UK and North America. This article assesses the monetary presentation of FirstGroup Plc by breaking down its budget summaries and critical monetary proportions (</w:t>
      </w:r>
      <w:r>
        <w:rPr>
          <w:color w:val="222222"/>
          <w:sz w:val="20"/>
          <w:szCs w:val="20"/>
          <w:highlight w:val="white"/>
        </w:rPr>
        <w:t>Bunbury 2020)</w:t>
      </w:r>
      <w:r>
        <w:rPr>
          <w:rFonts w:ascii="Times New Roman" w:eastAsia="Times New Roman" w:hAnsi="Times New Roman" w:cs="Times New Roman"/>
          <w:sz w:val="24"/>
          <w:szCs w:val="24"/>
        </w:rPr>
        <w:t>.</w:t>
      </w:r>
    </w:p>
    <w:p w:rsidR="004C1BA3" w14:paraId="00000009"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Income Examination</w:t>
      </w:r>
      <w:r>
        <w:rPr>
          <w:rFonts w:ascii="Times New Roman" w:eastAsia="Times New Roman" w:hAnsi="Times New Roman" w:cs="Times New Roman"/>
          <w:sz w:val="24"/>
          <w:szCs w:val="24"/>
        </w:rPr>
        <w:t>:</w:t>
      </w:r>
    </w:p>
    <w:p w:rsidR="004C1BA3" w14:paraId="0000000A"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 by inspecting the organization's income. FirstGroup Plc procured £5.99 billion in income for the monetary year finished on Walk 31, 2022, which is 8.6% not exactly the earlier year. The diminishing in income was because of a huge decrease in the interest in transportation administrations brought about by the Coronavirus pandemic (</w:t>
      </w:r>
      <w:r>
        <w:rPr>
          <w:color w:val="222222"/>
          <w:sz w:val="20"/>
          <w:szCs w:val="20"/>
          <w:highlight w:val="white"/>
        </w:rPr>
        <w:t>Stephenson and Willett 2023)</w:t>
      </w:r>
      <w:r>
        <w:rPr>
          <w:rFonts w:ascii="Times New Roman" w:eastAsia="Times New Roman" w:hAnsi="Times New Roman" w:cs="Times New Roman"/>
          <w:sz w:val="24"/>
          <w:szCs w:val="24"/>
        </w:rPr>
        <w:t>.</w:t>
      </w:r>
    </w:p>
    <w:p w:rsidR="004C1BA3" w14:paraId="0000000B" w14:textId="7777777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Cost Investigation:</w:t>
      </w:r>
    </w:p>
    <w:p w:rsidR="004C1BA3" w14:paraId="0000000C"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it will investigate the organization's expense structure. For the monetary year finished on Walk 31, 2022, FirstGroup Plc's expense of deals was £5.24 billion, which is 6.4% lower than the earlier year. This decrease in the cost of deals was basically because of a decline in fuel and materials costs (</w:t>
      </w:r>
      <w:r>
        <w:rPr>
          <w:color w:val="222222"/>
          <w:sz w:val="20"/>
          <w:szCs w:val="20"/>
          <w:highlight w:val="white"/>
        </w:rPr>
        <w:t xml:space="preserve">Molino </w:t>
      </w:r>
      <w:r>
        <w:rPr>
          <w:i/>
          <w:color w:val="222222"/>
          <w:sz w:val="20"/>
          <w:szCs w:val="20"/>
          <w:highlight w:val="white"/>
        </w:rPr>
        <w:t xml:space="preserve">et al. </w:t>
      </w:r>
      <w:r>
        <w:rPr>
          <w:color w:val="222222"/>
          <w:sz w:val="20"/>
          <w:szCs w:val="20"/>
          <w:highlight w:val="white"/>
        </w:rPr>
        <w:t>2020)</w:t>
      </w:r>
      <w:r>
        <w:rPr>
          <w:rFonts w:ascii="Times New Roman" w:eastAsia="Times New Roman" w:hAnsi="Times New Roman" w:cs="Times New Roman"/>
          <w:sz w:val="24"/>
          <w:szCs w:val="24"/>
        </w:rPr>
        <w:t>.</w:t>
      </w:r>
    </w:p>
    <w:p w:rsidR="004C1BA3" w14:paraId="0000000D" w14:textId="7777777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Working Benefit Examination:</w:t>
      </w:r>
    </w:p>
    <w:p w:rsidR="004C1BA3" w14:paraId="0000000E"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organization's working benefit for the financial year finished on March 31, 2022, was £279.5 million, 58.6% not exactly the earlier year. The decrease in working benefits was predominantly because of the effect of the Coronavirus pandemic on the organization's activities (</w:t>
      </w:r>
      <w:r>
        <w:rPr>
          <w:color w:val="222222"/>
          <w:sz w:val="20"/>
          <w:szCs w:val="20"/>
          <w:highlight w:val="white"/>
        </w:rPr>
        <w:t xml:space="preserve">Hayes </w:t>
      </w:r>
      <w:r>
        <w:rPr>
          <w:i/>
          <w:color w:val="222222"/>
          <w:sz w:val="20"/>
          <w:szCs w:val="20"/>
          <w:highlight w:val="white"/>
        </w:rPr>
        <w:t>et al.</w:t>
      </w:r>
      <w:r>
        <w:rPr>
          <w:color w:val="222222"/>
          <w:sz w:val="20"/>
          <w:szCs w:val="20"/>
          <w:highlight w:val="white"/>
        </w:rPr>
        <w:t xml:space="preserve"> 2021)</w:t>
      </w:r>
      <w:r>
        <w:rPr>
          <w:rFonts w:ascii="Times New Roman" w:eastAsia="Times New Roman" w:hAnsi="Times New Roman" w:cs="Times New Roman"/>
          <w:sz w:val="24"/>
          <w:szCs w:val="24"/>
        </w:rPr>
        <w:t>.</w:t>
      </w:r>
    </w:p>
    <w:p w:rsidR="004C1BA3" w14:paraId="0000000F" w14:textId="7777777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Net Benefit Examination:</w:t>
      </w:r>
    </w:p>
    <w:p w:rsidR="004C1BA3" w14:paraId="00000010"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organization's net benefit for the financial year finished on March 31, 2022, was £127.1 million, 53.2% not exactly the earlier year. This lessening in net benefit was basically because of the decrease in working benefits and other pay (</w:t>
      </w:r>
      <w:r>
        <w:rPr>
          <w:color w:val="222222"/>
          <w:sz w:val="20"/>
          <w:szCs w:val="20"/>
          <w:highlight w:val="white"/>
        </w:rPr>
        <w:t xml:space="preserve">Schlegel </w:t>
      </w:r>
      <w:r>
        <w:rPr>
          <w:i/>
          <w:color w:val="222222"/>
          <w:sz w:val="20"/>
          <w:szCs w:val="20"/>
          <w:highlight w:val="white"/>
        </w:rPr>
        <w:t xml:space="preserve">et al. </w:t>
      </w:r>
      <w:r>
        <w:rPr>
          <w:color w:val="222222"/>
          <w:sz w:val="20"/>
          <w:szCs w:val="20"/>
          <w:highlight w:val="white"/>
        </w:rPr>
        <w:t>2021)</w:t>
      </w:r>
      <w:r>
        <w:rPr>
          <w:rFonts w:ascii="Times New Roman" w:eastAsia="Times New Roman" w:hAnsi="Times New Roman" w:cs="Times New Roman"/>
          <w:sz w:val="24"/>
          <w:szCs w:val="24"/>
        </w:rPr>
        <w:t>.</w:t>
      </w:r>
    </w:p>
    <w:p w:rsidR="004C1BA3" w14:paraId="00000011" w14:textId="7777777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 on Resources (ROA):</w:t>
      </w:r>
    </w:p>
    <w:p w:rsidR="004C1BA3" w14:paraId="00000012"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profit from resources (ROA) is a vital monetary proportion that measures an organization's effectiveness in utilizing its resources to produce benefits. For the monetary year finished on March 31, 2022, FirstGroup Plc's ROA was 2.2%, lower than the earlier year. The decrease in ROA can be ascribed to the diminishing net benefit.</w:t>
      </w:r>
    </w:p>
    <w:p w:rsidR="004C1BA3" w14:paraId="00000013" w14:textId="7777777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 on Value (ROE):</w:t>
      </w:r>
    </w:p>
    <w:p w:rsidR="004C1BA3" w14:paraId="00000014"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profit from value (ROE) is another fundamental monetary proportion that measures how successfully an organization utilizes its investors' value to produce benefits. For the monetary year finished on March 31, 2022, FirstGroup Plc's ROE was 11.8%, lower than the earlier year. The decrease in ROE can be credited to the lessening in net benefit (</w:t>
      </w:r>
      <w:r>
        <w:rPr>
          <w:color w:val="222222"/>
          <w:sz w:val="20"/>
          <w:szCs w:val="20"/>
          <w:highlight w:val="white"/>
        </w:rPr>
        <w:t>Pointer and Khoi 2019)</w:t>
      </w:r>
      <w:r>
        <w:rPr>
          <w:rFonts w:ascii="Times New Roman" w:eastAsia="Times New Roman" w:hAnsi="Times New Roman" w:cs="Times New Roman"/>
          <w:sz w:val="24"/>
          <w:szCs w:val="24"/>
        </w:rPr>
        <w:t>.</w:t>
      </w:r>
    </w:p>
    <w:p w:rsidR="004C1BA3" w14:paraId="00000015" w14:textId="7777777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Obligation to-Value Proportion:</w:t>
      </w:r>
    </w:p>
    <w:p w:rsidR="004C1BA3" w14:paraId="00000016"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obligation-to-value proportion is a monetary proportion that demonstrates how much obligation an organization has compared with its investors' value. For the financial year finished on March 31, 2022, FirstGroup Plc's obligation-to-value proportion was 2.1, higher than the earlier year. The expansion in the obligation-to-value proportion can be ascribed to the ascent in long-haul obligation (</w:t>
      </w:r>
      <w:r>
        <w:rPr>
          <w:color w:val="222222"/>
          <w:sz w:val="20"/>
          <w:szCs w:val="20"/>
          <w:highlight w:val="white"/>
        </w:rPr>
        <w:t xml:space="preserve">Desmon and </w:t>
      </w:r>
      <w:r>
        <w:rPr>
          <w:color w:val="222222"/>
          <w:sz w:val="20"/>
          <w:szCs w:val="20"/>
          <w:highlight w:val="white"/>
        </w:rPr>
        <w:t>Meirinaldi</w:t>
      </w:r>
      <w:r>
        <w:rPr>
          <w:color w:val="222222"/>
          <w:sz w:val="20"/>
          <w:szCs w:val="20"/>
          <w:highlight w:val="white"/>
        </w:rPr>
        <w:t xml:space="preserve"> 2022)</w:t>
      </w:r>
      <w:r>
        <w:rPr>
          <w:rFonts w:ascii="Times New Roman" w:eastAsia="Times New Roman" w:hAnsi="Times New Roman" w:cs="Times New Roman"/>
          <w:sz w:val="24"/>
          <w:szCs w:val="24"/>
        </w:rPr>
        <w:t>.</w:t>
      </w:r>
    </w:p>
    <w:p w:rsidR="004C1BA3" w14:paraId="00000017" w14:textId="7777777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Current Proportion:</w:t>
      </w:r>
    </w:p>
    <w:p w:rsidR="004C1BA3" w14:paraId="00000018"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ongoing proportion is a monetary proportion that measures an organization's capacity to pay its momentary liabilities utilizing its transient resources. For the monetary year finished on March 31, 2022, FirstGroup Plc's ongoing proportion was 0.9, lower than the earlier year. The decrease in the ongoing proportion was because of a diminishing in current resources (</w:t>
      </w:r>
      <w:r>
        <w:rPr>
          <w:color w:val="222222"/>
          <w:sz w:val="20"/>
          <w:szCs w:val="20"/>
          <w:highlight w:val="white"/>
        </w:rPr>
        <w:t xml:space="preserve">Oran and </w:t>
      </w:r>
      <w:r>
        <w:rPr>
          <w:color w:val="222222"/>
          <w:sz w:val="20"/>
          <w:szCs w:val="20"/>
          <w:highlight w:val="white"/>
        </w:rPr>
        <w:t>Topol</w:t>
      </w:r>
      <w:r>
        <w:rPr>
          <w:color w:val="222222"/>
          <w:sz w:val="20"/>
          <w:szCs w:val="20"/>
          <w:highlight w:val="white"/>
        </w:rPr>
        <w:t xml:space="preserve"> 2021)</w:t>
      </w:r>
      <w:r>
        <w:rPr>
          <w:rFonts w:ascii="Times New Roman" w:eastAsia="Times New Roman" w:hAnsi="Times New Roman" w:cs="Times New Roman"/>
          <w:sz w:val="24"/>
          <w:szCs w:val="24"/>
        </w:rPr>
        <w:t>.</w:t>
      </w:r>
    </w:p>
    <w:p w:rsidR="004C1BA3" w14:paraId="00000019"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in all, the Coronavirus pandemic fundamentally impacted the monetary execution of FirstGroup Plc, prompting a critical lessening in income and working benefits. Furthermore, the organization's profit from resources and return on value declined, while its obligation to-value proportion expanded.  that as it may, the organization's expense of deals stayed stable.</w:t>
      </w:r>
    </w:p>
    <w:p w:rsidR="004C1BA3" w14:paraId="0000001A"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Notwithstanding the snags made by the Coronavirus pandemic, FirstGroup Plc has persisted in putting resources into creative transportation arrangements that take care of changing buyer inclinations and the interest in reasonable transportation options (</w:t>
      </w:r>
      <w:r>
        <w:rPr>
          <w:color w:val="222222"/>
          <w:sz w:val="20"/>
          <w:szCs w:val="20"/>
          <w:highlight w:val="white"/>
        </w:rPr>
        <w:t>Puri and Jain 2021)</w:t>
      </w:r>
      <w:r>
        <w:rPr>
          <w:rFonts w:ascii="Times New Roman" w:eastAsia="Times New Roman" w:hAnsi="Times New Roman" w:cs="Times New Roman"/>
          <w:sz w:val="24"/>
          <w:szCs w:val="24"/>
        </w:rPr>
        <w:t>.</w:t>
      </w:r>
    </w:p>
    <w:p w:rsidR="004C1BA3" w14:paraId="0000001C"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Besides electric transports, FirstGroup Plc has likewise put resources into hydrogen power device transports, which give considerably more prominent ecological benefits. These transports produce just water as a side-effect, delivering them liberated from outflows. The organization has carried out a few hydrogen power module transport courses in the UK and plans to extend its armada of these vehicles later on (</w:t>
      </w:r>
      <w:r>
        <w:rPr>
          <w:color w:val="222222"/>
          <w:sz w:val="20"/>
          <w:szCs w:val="20"/>
          <w:highlight w:val="white"/>
        </w:rPr>
        <w:t>Saeed 2022)</w:t>
      </w:r>
      <w:r>
        <w:rPr>
          <w:rFonts w:ascii="Times New Roman" w:eastAsia="Times New Roman" w:hAnsi="Times New Roman" w:cs="Times New Roman"/>
          <w:sz w:val="24"/>
          <w:szCs w:val="24"/>
        </w:rPr>
        <w:t>.</w:t>
      </w:r>
    </w:p>
    <w:p w:rsidR="004C1BA3" w14:paraId="0000001E"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computerized arrangement that FirstGroup Plc has executed is the use of information examination to upgrade transportation courses and timetables. The organization dissects information on traveler interest and traffic examples to come to informed conclusions about which courses to work and while limiting the quantity of void transports out and about and upgrading in general functional effectiveness (</w:t>
      </w:r>
      <w:r>
        <w:rPr>
          <w:color w:val="222222"/>
          <w:sz w:val="20"/>
          <w:szCs w:val="20"/>
          <w:highlight w:val="white"/>
        </w:rPr>
        <w:t>Dadzie</w:t>
      </w:r>
      <w:r>
        <w:rPr>
          <w:color w:val="222222"/>
          <w:sz w:val="20"/>
          <w:szCs w:val="20"/>
          <w:highlight w:val="white"/>
        </w:rPr>
        <w:t xml:space="preserve"> 2023)</w:t>
      </w:r>
      <w:r>
        <w:rPr>
          <w:rFonts w:ascii="Times New Roman" w:eastAsia="Times New Roman" w:hAnsi="Times New Roman" w:cs="Times New Roman"/>
          <w:sz w:val="24"/>
          <w:szCs w:val="24"/>
        </w:rPr>
        <w:t>.</w:t>
      </w:r>
    </w:p>
    <w:p w:rsidR="004C1BA3" w14:paraId="0000001F"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FirstGroup Plc perceives that a different labor force is vital for outcomes in the present worldwide commercial center and has focused on variety and consideration. The organization has carried out a few drives to advance variety and incorporation, including preparing programs for representatives and associations with associations that help underrepresented gatherings.</w:t>
      </w:r>
    </w:p>
    <w:p w:rsidR="004C1BA3" w14:paraId="00000020"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Looking forward, FirstGroup Plc faces various difficulties as it explores a post-pandemic future brimming with vulnerability. The organization should keep adjusting to changing shopper inclinations and putting resources into imaginative arrangements that take care of the developing necessities of clients (</w:t>
      </w:r>
      <w:r>
        <w:rPr>
          <w:color w:val="222222"/>
          <w:sz w:val="20"/>
          <w:szCs w:val="20"/>
          <w:highlight w:val="white"/>
        </w:rPr>
        <w:t>Firmansyah</w:t>
      </w:r>
      <w:r>
        <w:rPr>
          <w:color w:val="222222"/>
          <w:sz w:val="20"/>
          <w:szCs w:val="20"/>
          <w:highlight w:val="white"/>
        </w:rPr>
        <w:t xml:space="preserve"> </w:t>
      </w:r>
      <w:r>
        <w:rPr>
          <w:i/>
          <w:color w:val="222222"/>
          <w:sz w:val="20"/>
          <w:szCs w:val="20"/>
          <w:highlight w:val="white"/>
        </w:rPr>
        <w:t xml:space="preserve">et al. </w:t>
      </w:r>
      <w:r>
        <w:rPr>
          <w:color w:val="222222"/>
          <w:sz w:val="20"/>
          <w:szCs w:val="20"/>
          <w:highlight w:val="white"/>
        </w:rPr>
        <w:t>2023)</w:t>
      </w:r>
      <w:r>
        <w:rPr>
          <w:rFonts w:ascii="Times New Roman" w:eastAsia="Times New Roman" w:hAnsi="Times New Roman" w:cs="Times New Roman"/>
          <w:sz w:val="24"/>
          <w:szCs w:val="24"/>
        </w:rPr>
        <w:t>.</w:t>
      </w:r>
    </w:p>
    <w:p w:rsidR="004C1BA3" w14:paraId="00000021"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possible chance for the organization is the heightened interest in feasible transportation choices. As worries about environmental change and air contamination increase, an </w:t>
      </w:r>
      <w:r>
        <w:rPr>
          <w:rFonts w:ascii="Times New Roman" w:eastAsia="Times New Roman" w:hAnsi="Times New Roman" w:cs="Times New Roman"/>
          <w:sz w:val="24"/>
          <w:szCs w:val="24"/>
        </w:rPr>
        <w:t>ever-increasing</w:t>
      </w:r>
      <w:r>
        <w:rPr>
          <w:rFonts w:ascii="Times New Roman" w:eastAsia="Times New Roman" w:hAnsi="Times New Roman" w:cs="Times New Roman"/>
          <w:sz w:val="24"/>
          <w:szCs w:val="24"/>
        </w:rPr>
        <w:t xml:space="preserve"> number of buyers are searching out harmless ecosystem transportation choices. FirstGroup Plc's interest in electric and hydrogen power device transports positions the organization well to gain by this pattern (</w:t>
      </w:r>
      <w:r>
        <w:rPr>
          <w:color w:val="222222"/>
          <w:sz w:val="20"/>
          <w:szCs w:val="20"/>
          <w:highlight w:val="white"/>
        </w:rPr>
        <w:t xml:space="preserve">Tian </w:t>
      </w:r>
      <w:r>
        <w:rPr>
          <w:i/>
          <w:color w:val="222222"/>
          <w:sz w:val="20"/>
          <w:szCs w:val="20"/>
          <w:highlight w:val="white"/>
        </w:rPr>
        <w:t xml:space="preserve">et al. </w:t>
      </w:r>
      <w:r>
        <w:rPr>
          <w:color w:val="222222"/>
          <w:sz w:val="20"/>
          <w:szCs w:val="20"/>
          <w:highlight w:val="white"/>
        </w:rPr>
        <w:t>2020)</w:t>
      </w:r>
      <w:r>
        <w:rPr>
          <w:rFonts w:ascii="Times New Roman" w:eastAsia="Times New Roman" w:hAnsi="Times New Roman" w:cs="Times New Roman"/>
          <w:sz w:val="24"/>
          <w:szCs w:val="24"/>
        </w:rPr>
        <w:t>.</w:t>
      </w:r>
    </w:p>
    <w:p w:rsidR="004C1BA3" w14:paraId="00000023"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synopsis, FirstGroup Plc is a main transportation organization that has confronted significant difficulties because of the Coronavirus pandemic. Regardless of these difficulties, the organization has kept on putting resources into innovative arrangements that take care of the advancing necessities of clients and the squeezing need for economical transportation choices (</w:t>
      </w:r>
      <w:r>
        <w:rPr>
          <w:color w:val="222222"/>
          <w:sz w:val="20"/>
          <w:szCs w:val="20"/>
          <w:highlight w:val="white"/>
        </w:rPr>
        <w:t xml:space="preserve">Khan </w:t>
      </w:r>
      <w:r>
        <w:rPr>
          <w:i/>
          <w:color w:val="222222"/>
          <w:sz w:val="20"/>
          <w:szCs w:val="20"/>
          <w:highlight w:val="white"/>
        </w:rPr>
        <w:t xml:space="preserve">et al. </w:t>
      </w:r>
      <w:r>
        <w:rPr>
          <w:color w:val="222222"/>
          <w:sz w:val="20"/>
          <w:szCs w:val="20"/>
          <w:highlight w:val="white"/>
        </w:rPr>
        <w:t>2022)</w:t>
      </w:r>
      <w:r>
        <w:rPr>
          <w:rFonts w:ascii="Times New Roman" w:eastAsia="Times New Roman" w:hAnsi="Times New Roman" w:cs="Times New Roman"/>
          <w:sz w:val="24"/>
          <w:szCs w:val="24"/>
        </w:rPr>
        <w:t xml:space="preserve">. </w:t>
      </w:r>
    </w:p>
    <w:p w:rsidR="004C1BA3" w:rsidP="0045751E" w14:paraId="00000024" w14:textId="77777777">
      <w:pPr>
        <w:pStyle w:val="Heading1"/>
      </w:pPr>
      <w:bookmarkStart w:id="2" w:name="_Toc133361568"/>
      <w:r w:rsidRPr="0045751E">
        <w:t>Section</w:t>
      </w:r>
      <w:r>
        <w:t xml:space="preserve"> (iii): Comparing the company’s financial performance with one of its key competitors</w:t>
      </w:r>
      <w:bookmarkEnd w:id="2"/>
    </w:p>
    <w:p w:rsidR="004C1BA3" w14:paraId="00000025"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FirstGroup plc and </w:t>
      </w:r>
      <w:r>
        <w:rPr>
          <w:rFonts w:ascii="Times New Roman" w:eastAsia="Times New Roman" w:hAnsi="Times New Roman" w:cs="Times New Roman"/>
          <w:sz w:val="24"/>
          <w:szCs w:val="24"/>
        </w:rPr>
        <w:t>ExpressGroup</w:t>
      </w:r>
      <w:r>
        <w:rPr>
          <w:rFonts w:ascii="Times New Roman" w:eastAsia="Times New Roman" w:hAnsi="Times New Roman" w:cs="Times New Roman"/>
          <w:sz w:val="24"/>
          <w:szCs w:val="24"/>
        </w:rPr>
        <w:t xml:space="preserve"> plc are two prestigious organizations in the transportation area, with huge activities in the Assembled Realm. While FirstGroup is centered around giving rail and transport transportation administrations, </w:t>
      </w:r>
      <w:r>
        <w:rPr>
          <w:rFonts w:ascii="Times New Roman" w:eastAsia="Times New Roman" w:hAnsi="Times New Roman" w:cs="Times New Roman"/>
          <w:sz w:val="24"/>
          <w:szCs w:val="24"/>
        </w:rPr>
        <w:t>ExpressGroup</w:t>
      </w:r>
      <w:r>
        <w:rPr>
          <w:rFonts w:ascii="Times New Roman" w:eastAsia="Times New Roman" w:hAnsi="Times New Roman" w:cs="Times New Roman"/>
          <w:sz w:val="24"/>
          <w:szCs w:val="24"/>
        </w:rPr>
        <w:t xml:space="preserve"> spends significant time on messenger administrations and package conveyance. This paper will think about the monetary execution of the two firms, taking into account their income, profitability, and other basic monetary measurements (</w:t>
      </w:r>
      <w:r>
        <w:rPr>
          <w:color w:val="222222"/>
          <w:sz w:val="20"/>
          <w:szCs w:val="20"/>
          <w:highlight w:val="white"/>
        </w:rPr>
        <w:t>Danso</w:t>
      </w:r>
      <w:r>
        <w:rPr>
          <w:color w:val="222222"/>
          <w:sz w:val="20"/>
          <w:szCs w:val="20"/>
          <w:highlight w:val="white"/>
        </w:rPr>
        <w:t xml:space="preserve"> </w:t>
      </w:r>
      <w:r>
        <w:rPr>
          <w:i/>
          <w:color w:val="222222"/>
          <w:sz w:val="20"/>
          <w:szCs w:val="20"/>
          <w:highlight w:val="white"/>
        </w:rPr>
        <w:t xml:space="preserve">et al. </w:t>
      </w:r>
      <w:r>
        <w:rPr>
          <w:color w:val="222222"/>
          <w:sz w:val="20"/>
          <w:szCs w:val="20"/>
          <w:highlight w:val="white"/>
        </w:rPr>
        <w:t>2019)</w:t>
      </w:r>
      <w:r>
        <w:rPr>
          <w:rFonts w:ascii="Times New Roman" w:eastAsia="Times New Roman" w:hAnsi="Times New Roman" w:cs="Times New Roman"/>
          <w:sz w:val="24"/>
          <w:szCs w:val="24"/>
        </w:rPr>
        <w:t>.</w:t>
      </w:r>
    </w:p>
    <w:p w:rsidR="004C1BA3" w14:paraId="00000026" w14:textId="7777777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Income:</w:t>
      </w:r>
    </w:p>
    <w:p w:rsidR="004C1BA3" w14:paraId="00000027"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FirstGroup has a greater income base contrasted with </w:t>
      </w:r>
      <w:r>
        <w:rPr>
          <w:rFonts w:ascii="Times New Roman" w:eastAsia="Times New Roman" w:hAnsi="Times New Roman" w:cs="Times New Roman"/>
          <w:sz w:val="24"/>
          <w:szCs w:val="24"/>
        </w:rPr>
        <w:t>ExpressGroup</w:t>
      </w:r>
      <w:r>
        <w:rPr>
          <w:rFonts w:ascii="Times New Roman" w:eastAsia="Times New Roman" w:hAnsi="Times New Roman" w:cs="Times New Roman"/>
          <w:sz w:val="24"/>
          <w:szCs w:val="24"/>
        </w:rPr>
        <w:t xml:space="preserve">. In the monetary year 2021, FirstGroup's income was £6.4 billion, while </w:t>
      </w:r>
      <w:r>
        <w:rPr>
          <w:rFonts w:ascii="Times New Roman" w:eastAsia="Times New Roman" w:hAnsi="Times New Roman" w:cs="Times New Roman"/>
          <w:sz w:val="24"/>
          <w:szCs w:val="24"/>
        </w:rPr>
        <w:t>ExpressGroup's</w:t>
      </w:r>
      <w:r>
        <w:rPr>
          <w:rFonts w:ascii="Times New Roman" w:eastAsia="Times New Roman" w:hAnsi="Times New Roman" w:cs="Times New Roman"/>
          <w:sz w:val="24"/>
          <w:szCs w:val="24"/>
        </w:rPr>
        <w:t xml:space="preserve"> income was £2.9 billion. This critical difference in income is because of the intricacy and higher capital speculation expected in FirstGroup's rail and transport transportation activities than </w:t>
      </w:r>
      <w:r>
        <w:rPr>
          <w:rFonts w:ascii="Times New Roman" w:eastAsia="Times New Roman" w:hAnsi="Times New Roman" w:cs="Times New Roman"/>
          <w:sz w:val="24"/>
          <w:szCs w:val="24"/>
        </w:rPr>
        <w:t>ExpressGroup's</w:t>
      </w:r>
      <w:r>
        <w:rPr>
          <w:rFonts w:ascii="Times New Roman" w:eastAsia="Times New Roman" w:hAnsi="Times New Roman" w:cs="Times New Roman"/>
          <w:sz w:val="24"/>
          <w:szCs w:val="24"/>
        </w:rPr>
        <w:t xml:space="preserve"> dispatch and package conveyance administrations.</w:t>
      </w:r>
    </w:p>
    <w:p w:rsidR="004C1BA3" w14:paraId="00000028" w14:textId="7777777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Profitability: </w:t>
      </w:r>
    </w:p>
    <w:p w:rsidR="004C1BA3" w14:paraId="00000029"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ExpressGroup</w:t>
      </w:r>
      <w:r>
        <w:rPr>
          <w:rFonts w:ascii="Times New Roman" w:eastAsia="Times New Roman" w:hAnsi="Times New Roman" w:cs="Times New Roman"/>
          <w:sz w:val="24"/>
          <w:szCs w:val="24"/>
        </w:rPr>
        <w:t xml:space="preserve"> has been more profitable than FirstGroup as of late, in spite of producing lower income. In the fiscal year 2021, </w:t>
      </w:r>
      <w:r>
        <w:rPr>
          <w:rFonts w:ascii="Times New Roman" w:eastAsia="Times New Roman" w:hAnsi="Times New Roman" w:cs="Times New Roman"/>
          <w:sz w:val="24"/>
          <w:szCs w:val="24"/>
        </w:rPr>
        <w:t>ExpressGroup's</w:t>
      </w:r>
      <w:r>
        <w:rPr>
          <w:rFonts w:ascii="Times New Roman" w:eastAsia="Times New Roman" w:hAnsi="Times New Roman" w:cs="Times New Roman"/>
          <w:sz w:val="24"/>
          <w:szCs w:val="24"/>
        </w:rPr>
        <w:t xml:space="preserve"> working Capital profit was £325 million, with a working enhancement edge of 11.3%, while FirstGroup's working capital profit was £33.2 million, with a working enhancement edge of 0.5%. This demonstrates that </w:t>
      </w:r>
      <w:r>
        <w:rPr>
          <w:rFonts w:ascii="Times New Roman" w:eastAsia="Times New Roman" w:hAnsi="Times New Roman" w:cs="Times New Roman"/>
          <w:sz w:val="24"/>
          <w:szCs w:val="24"/>
        </w:rPr>
        <w:t>ExpressGroup</w:t>
      </w:r>
      <w:r>
        <w:rPr>
          <w:rFonts w:ascii="Times New Roman" w:eastAsia="Times New Roman" w:hAnsi="Times New Roman" w:cs="Times New Roman"/>
          <w:sz w:val="24"/>
          <w:szCs w:val="24"/>
        </w:rPr>
        <w:t xml:space="preserve"> has had the option to work all the more productively and create higher profits compared with its income (</w:t>
      </w:r>
      <w:r>
        <w:rPr>
          <w:color w:val="222222"/>
          <w:sz w:val="20"/>
          <w:szCs w:val="20"/>
          <w:highlight w:val="white"/>
        </w:rPr>
        <w:t xml:space="preserve">Jahan </w:t>
      </w:r>
      <w:r>
        <w:rPr>
          <w:i/>
          <w:color w:val="222222"/>
          <w:sz w:val="20"/>
          <w:szCs w:val="20"/>
          <w:highlight w:val="white"/>
        </w:rPr>
        <w:t xml:space="preserve">et al. </w:t>
      </w:r>
      <w:r>
        <w:rPr>
          <w:color w:val="222222"/>
          <w:sz w:val="20"/>
          <w:szCs w:val="20"/>
          <w:highlight w:val="white"/>
        </w:rPr>
        <w:t>2022)</w:t>
      </w:r>
      <w:r>
        <w:rPr>
          <w:rFonts w:ascii="Times New Roman" w:eastAsia="Times New Roman" w:hAnsi="Times New Roman" w:cs="Times New Roman"/>
          <w:sz w:val="24"/>
          <w:szCs w:val="24"/>
        </w:rPr>
        <w:t>.</w:t>
      </w:r>
    </w:p>
    <w:p w:rsidR="004C1BA3" w14:paraId="0000002A" w14:textId="7777777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Earnings per Offer:</w:t>
      </w:r>
    </w:p>
    <w:p w:rsidR="004C1BA3" w14:paraId="0000002B"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ExpressGroup</w:t>
      </w:r>
      <w:r>
        <w:rPr>
          <w:rFonts w:ascii="Times New Roman" w:eastAsia="Times New Roman" w:hAnsi="Times New Roman" w:cs="Times New Roman"/>
          <w:sz w:val="24"/>
          <w:szCs w:val="24"/>
        </w:rPr>
        <w:t xml:space="preserve"> has outflanked FirstGroup as far as earnings per share (EPS). In the monetary year 2021, </w:t>
      </w:r>
      <w:r>
        <w:rPr>
          <w:rFonts w:ascii="Times New Roman" w:eastAsia="Times New Roman" w:hAnsi="Times New Roman" w:cs="Times New Roman"/>
          <w:sz w:val="24"/>
          <w:szCs w:val="24"/>
        </w:rPr>
        <w:t>ExpressGroup's</w:t>
      </w:r>
      <w:r>
        <w:rPr>
          <w:rFonts w:ascii="Times New Roman" w:eastAsia="Times New Roman" w:hAnsi="Times New Roman" w:cs="Times New Roman"/>
          <w:sz w:val="24"/>
          <w:szCs w:val="24"/>
        </w:rPr>
        <w:t xml:space="preserve"> EPS was 37.4p, while FirstGroup's EPS was - 7.9p. This shows that </w:t>
      </w:r>
      <w:r>
        <w:rPr>
          <w:rFonts w:ascii="Times New Roman" w:eastAsia="Times New Roman" w:hAnsi="Times New Roman" w:cs="Times New Roman"/>
          <w:sz w:val="24"/>
          <w:szCs w:val="24"/>
        </w:rPr>
        <w:t>ExpressGroup</w:t>
      </w:r>
      <w:r>
        <w:rPr>
          <w:rFonts w:ascii="Times New Roman" w:eastAsia="Times New Roman" w:hAnsi="Times New Roman" w:cs="Times New Roman"/>
          <w:sz w:val="24"/>
          <w:szCs w:val="24"/>
        </w:rPr>
        <w:t xml:space="preserve"> has had the option to produce higher earnings per share, which is a pivotal proportion of profitability for investors.</w:t>
      </w:r>
    </w:p>
    <w:p w:rsidR="004C1BA3" w14:paraId="0000002C" w14:textId="7777777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Obligation:</w:t>
      </w:r>
    </w:p>
    <w:p w:rsidR="004C1BA3" w14:paraId="0000002D"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FirstGroup has a more elevated level of obligation than </w:t>
      </w:r>
      <w:r>
        <w:rPr>
          <w:rFonts w:ascii="Times New Roman" w:eastAsia="Times New Roman" w:hAnsi="Times New Roman" w:cs="Times New Roman"/>
          <w:sz w:val="24"/>
          <w:szCs w:val="24"/>
        </w:rPr>
        <w:t>ExpressGroup</w:t>
      </w:r>
      <w:r>
        <w:rPr>
          <w:rFonts w:ascii="Times New Roman" w:eastAsia="Times New Roman" w:hAnsi="Times New Roman" w:cs="Times New Roman"/>
          <w:sz w:val="24"/>
          <w:szCs w:val="24"/>
        </w:rPr>
        <w:t xml:space="preserve">. As of Walk 2021, FirstGroup's net obligation was £1.4 billion, while </w:t>
      </w:r>
      <w:r>
        <w:rPr>
          <w:rFonts w:ascii="Times New Roman" w:eastAsia="Times New Roman" w:hAnsi="Times New Roman" w:cs="Times New Roman"/>
          <w:sz w:val="24"/>
          <w:szCs w:val="24"/>
        </w:rPr>
        <w:t>ExpressGroup's</w:t>
      </w:r>
      <w:r>
        <w:rPr>
          <w:rFonts w:ascii="Times New Roman" w:eastAsia="Times New Roman" w:hAnsi="Times New Roman" w:cs="Times New Roman"/>
          <w:sz w:val="24"/>
          <w:szCs w:val="24"/>
        </w:rPr>
        <w:t xml:space="preserve"> net obligation was £527 million. The elevated degree of obligation in FirstGroup is because of the capital-escalated nature of its transportation activities. Nonetheless, the two organizations have gone to lengths to deal with their obligation levels. FirstGroup has reported plans to pay off its net obligation by £300 million over the course of the following three years, while </w:t>
      </w:r>
      <w:r>
        <w:rPr>
          <w:rFonts w:ascii="Times New Roman" w:eastAsia="Times New Roman" w:hAnsi="Times New Roman" w:cs="Times New Roman"/>
          <w:sz w:val="24"/>
          <w:szCs w:val="24"/>
        </w:rPr>
        <w:t>ExpressGroup</w:t>
      </w:r>
      <w:r>
        <w:rPr>
          <w:rFonts w:ascii="Times New Roman" w:eastAsia="Times New Roman" w:hAnsi="Times New Roman" w:cs="Times New Roman"/>
          <w:sz w:val="24"/>
          <w:szCs w:val="24"/>
        </w:rPr>
        <w:t xml:space="preserve"> has zeroed in on decreasing its influence proportion (</w:t>
      </w:r>
      <w:r>
        <w:rPr>
          <w:color w:val="222222"/>
          <w:sz w:val="20"/>
          <w:szCs w:val="20"/>
          <w:highlight w:val="white"/>
        </w:rPr>
        <w:t>Tomasello</w:t>
      </w:r>
      <w:r>
        <w:rPr>
          <w:color w:val="222222"/>
          <w:sz w:val="20"/>
          <w:szCs w:val="20"/>
          <w:highlight w:val="white"/>
        </w:rPr>
        <w:t xml:space="preserve"> 2020)</w:t>
      </w:r>
      <w:r>
        <w:rPr>
          <w:rFonts w:ascii="Times New Roman" w:eastAsia="Times New Roman" w:hAnsi="Times New Roman" w:cs="Times New Roman"/>
          <w:sz w:val="24"/>
          <w:szCs w:val="24"/>
        </w:rPr>
        <w:t>.</w:t>
      </w:r>
    </w:p>
    <w:p w:rsidR="004C1BA3" w14:paraId="0000002E" w14:textId="7777777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Profit Yield:</w:t>
      </w:r>
    </w:p>
    <w:p w:rsidR="004C1BA3" w14:paraId="0000002F"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ExpressGroup</w:t>
      </w:r>
      <w:r>
        <w:rPr>
          <w:rFonts w:ascii="Times New Roman" w:eastAsia="Times New Roman" w:hAnsi="Times New Roman" w:cs="Times New Roman"/>
          <w:sz w:val="24"/>
          <w:szCs w:val="24"/>
        </w:rPr>
        <w:t xml:space="preserve"> has a higher profit yield than FirstGroup. </w:t>
      </w:r>
      <w:r>
        <w:rPr>
          <w:rFonts w:ascii="Times New Roman" w:eastAsia="Times New Roman" w:hAnsi="Times New Roman" w:cs="Times New Roman"/>
          <w:sz w:val="24"/>
          <w:szCs w:val="24"/>
        </w:rPr>
        <w:t>ExpressGroup's</w:t>
      </w:r>
      <w:r>
        <w:rPr>
          <w:rFonts w:ascii="Times New Roman" w:eastAsia="Times New Roman" w:hAnsi="Times New Roman" w:cs="Times New Roman"/>
          <w:sz w:val="24"/>
          <w:szCs w:val="24"/>
        </w:rPr>
        <w:t xml:space="preserve"> profit yield is 4.1%, while FirstGroup gives no profit yield. This shows that </w:t>
      </w:r>
      <w:r>
        <w:rPr>
          <w:rFonts w:ascii="Times New Roman" w:eastAsia="Times New Roman" w:hAnsi="Times New Roman" w:cs="Times New Roman"/>
          <w:sz w:val="24"/>
          <w:szCs w:val="24"/>
        </w:rPr>
        <w:t>ExpressGroup</w:t>
      </w:r>
      <w:r>
        <w:rPr>
          <w:rFonts w:ascii="Times New Roman" w:eastAsia="Times New Roman" w:hAnsi="Times New Roman" w:cs="Times New Roman"/>
          <w:sz w:val="24"/>
          <w:szCs w:val="24"/>
        </w:rPr>
        <w:t xml:space="preserve"> has had the option to give a better yield to its investors as profits.</w:t>
      </w:r>
    </w:p>
    <w:p w:rsidR="004C1BA3" w14:paraId="00000030"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Generally, FirstGroup and </w:t>
      </w:r>
      <w:r>
        <w:rPr>
          <w:rFonts w:ascii="Times New Roman" w:eastAsia="Times New Roman" w:hAnsi="Times New Roman" w:cs="Times New Roman"/>
          <w:sz w:val="24"/>
          <w:szCs w:val="24"/>
        </w:rPr>
        <w:t>ExpressGroup</w:t>
      </w:r>
      <w:r>
        <w:rPr>
          <w:rFonts w:ascii="Times New Roman" w:eastAsia="Times New Roman" w:hAnsi="Times New Roman" w:cs="Times New Roman"/>
          <w:sz w:val="24"/>
          <w:szCs w:val="24"/>
        </w:rPr>
        <w:t xml:space="preserve"> have different income streams and plans of action, despite working in the transportation business. While FirstGroup has a greater income base because of its rail and transport transportation benefits, </w:t>
      </w:r>
      <w:r>
        <w:rPr>
          <w:rFonts w:ascii="Times New Roman" w:eastAsia="Times New Roman" w:hAnsi="Times New Roman" w:cs="Times New Roman"/>
          <w:sz w:val="24"/>
          <w:szCs w:val="24"/>
        </w:rPr>
        <w:t>ExpressGroup's</w:t>
      </w:r>
      <w:r>
        <w:rPr>
          <w:rFonts w:ascii="Times New Roman" w:eastAsia="Times New Roman" w:hAnsi="Times New Roman" w:cs="Times New Roman"/>
          <w:sz w:val="24"/>
          <w:szCs w:val="24"/>
        </w:rPr>
        <w:t xml:space="preserve"> income is essentially determined by its messenger and bundle conveyance administrations. In any case, </w:t>
      </w:r>
      <w:r>
        <w:rPr>
          <w:rFonts w:ascii="Times New Roman" w:eastAsia="Times New Roman" w:hAnsi="Times New Roman" w:cs="Times New Roman"/>
          <w:sz w:val="24"/>
          <w:szCs w:val="24"/>
        </w:rPr>
        <w:t>ExpressGroup</w:t>
      </w:r>
      <w:r>
        <w:rPr>
          <w:rFonts w:ascii="Times New Roman" w:eastAsia="Times New Roman" w:hAnsi="Times New Roman" w:cs="Times New Roman"/>
          <w:sz w:val="24"/>
          <w:szCs w:val="24"/>
        </w:rPr>
        <w:t xml:space="preserve"> has performed better compared to FirstGroup as far as profitability and earnings </w:t>
      </w:r>
      <w:r>
        <w:rPr>
          <w:rFonts w:ascii="Times New Roman" w:eastAsia="Times New Roman" w:hAnsi="Times New Roman" w:cs="Times New Roman"/>
          <w:sz w:val="24"/>
          <w:szCs w:val="24"/>
        </w:rPr>
        <w:t>per share (</w:t>
      </w:r>
      <w:r>
        <w:rPr>
          <w:color w:val="222222"/>
          <w:sz w:val="20"/>
          <w:szCs w:val="20"/>
          <w:highlight w:val="white"/>
        </w:rPr>
        <w:t>Panoutsou</w:t>
      </w:r>
      <w:r>
        <w:rPr>
          <w:color w:val="222222"/>
          <w:sz w:val="20"/>
          <w:szCs w:val="20"/>
          <w:highlight w:val="white"/>
        </w:rPr>
        <w:t xml:space="preserve"> and </w:t>
      </w:r>
      <w:r>
        <w:rPr>
          <w:color w:val="222222"/>
          <w:sz w:val="20"/>
          <w:szCs w:val="20"/>
          <w:highlight w:val="white"/>
        </w:rPr>
        <w:t>Alexopoulou</w:t>
      </w:r>
      <w:r>
        <w:rPr>
          <w:color w:val="222222"/>
          <w:sz w:val="20"/>
          <w:szCs w:val="20"/>
          <w:highlight w:val="white"/>
        </w:rPr>
        <w:t xml:space="preserve"> 2020)</w:t>
      </w:r>
      <w:r>
        <w:rPr>
          <w:rFonts w:ascii="Times New Roman" w:eastAsia="Times New Roman" w:hAnsi="Times New Roman" w:cs="Times New Roman"/>
          <w:sz w:val="24"/>
          <w:szCs w:val="24"/>
        </w:rPr>
        <w:t>. Regardless, the two organizations are doing whatever it may take to deal with their obligation levels and improve their monetary presentation, which ought to help their investors over the long haul.</w:t>
      </w:r>
    </w:p>
    <w:p w:rsidR="004C1BA3" w14:paraId="00000031" w14:textId="7777777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Market Standing:</w:t>
      </w:r>
    </w:p>
    <w:p w:rsidR="004C1BA3" w14:paraId="00000032"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FirstGroup and </w:t>
      </w:r>
      <w:r>
        <w:rPr>
          <w:rFonts w:ascii="Times New Roman" w:eastAsia="Times New Roman" w:hAnsi="Times New Roman" w:cs="Times New Roman"/>
          <w:sz w:val="24"/>
          <w:szCs w:val="24"/>
        </w:rPr>
        <w:t>ExpressGroup</w:t>
      </w:r>
      <w:r>
        <w:rPr>
          <w:rFonts w:ascii="Times New Roman" w:eastAsia="Times New Roman" w:hAnsi="Times New Roman" w:cs="Times New Roman"/>
          <w:sz w:val="24"/>
          <w:szCs w:val="24"/>
        </w:rPr>
        <w:t xml:space="preserve"> possess particular situations in the transportation area. FirstGroup is a conspicuous public transportation supplier in the UK, taking special care of millions of travelers every year through its transport and rail administrations. The organization works with establishments countrywide and is liable for moving a critical volume of travelers </w:t>
      </w:r>
      <w:r>
        <w:rPr>
          <w:rFonts w:ascii="Times New Roman" w:eastAsia="Times New Roman" w:hAnsi="Times New Roman" w:cs="Times New Roman"/>
          <w:sz w:val="24"/>
          <w:szCs w:val="24"/>
        </w:rPr>
        <w:t>every day</w:t>
      </w:r>
      <w:r>
        <w:rPr>
          <w:rFonts w:ascii="Times New Roman" w:eastAsia="Times New Roman" w:hAnsi="Times New Roman" w:cs="Times New Roman"/>
          <w:sz w:val="24"/>
          <w:szCs w:val="24"/>
        </w:rPr>
        <w:t xml:space="preserve">. Then again, </w:t>
      </w:r>
      <w:r>
        <w:rPr>
          <w:rFonts w:ascii="Times New Roman" w:eastAsia="Times New Roman" w:hAnsi="Times New Roman" w:cs="Times New Roman"/>
          <w:sz w:val="24"/>
          <w:szCs w:val="24"/>
        </w:rPr>
        <w:t>ExpressGroup</w:t>
      </w:r>
      <w:r>
        <w:rPr>
          <w:rFonts w:ascii="Times New Roman" w:eastAsia="Times New Roman" w:hAnsi="Times New Roman" w:cs="Times New Roman"/>
          <w:sz w:val="24"/>
          <w:szCs w:val="24"/>
        </w:rPr>
        <w:t xml:space="preserve"> is a messenger and coordinated operations venture </w:t>
      </w:r>
      <w:r>
        <w:rPr>
          <w:rFonts w:ascii="Times New Roman" w:eastAsia="Times New Roman" w:hAnsi="Times New Roman" w:cs="Times New Roman"/>
          <w:sz w:val="24"/>
          <w:szCs w:val="24"/>
        </w:rPr>
        <w:t>that dispatches</w:t>
      </w:r>
      <w:r>
        <w:rPr>
          <w:rFonts w:ascii="Times New Roman" w:eastAsia="Times New Roman" w:hAnsi="Times New Roman" w:cs="Times New Roman"/>
          <w:sz w:val="24"/>
          <w:szCs w:val="24"/>
        </w:rPr>
        <w:t xml:space="preserve"> bundles and bundles across the UK and universally. The organization flaunts a strong standing for its expedient and trustworthy conveyance of packages and is a famous decision for the two people and organizations (</w:t>
      </w:r>
      <w:r>
        <w:rPr>
          <w:color w:val="222222"/>
          <w:sz w:val="20"/>
          <w:szCs w:val="20"/>
          <w:highlight w:val="white"/>
        </w:rPr>
        <w:t xml:space="preserve">Vredenburg </w:t>
      </w:r>
      <w:r>
        <w:rPr>
          <w:i/>
          <w:color w:val="222222"/>
          <w:sz w:val="20"/>
          <w:szCs w:val="20"/>
          <w:highlight w:val="white"/>
        </w:rPr>
        <w:t xml:space="preserve">et al. </w:t>
      </w:r>
      <w:r>
        <w:rPr>
          <w:color w:val="222222"/>
          <w:sz w:val="20"/>
          <w:szCs w:val="20"/>
          <w:highlight w:val="white"/>
        </w:rPr>
        <w:t>2020)</w:t>
      </w:r>
      <w:r>
        <w:rPr>
          <w:rFonts w:ascii="Times New Roman" w:eastAsia="Times New Roman" w:hAnsi="Times New Roman" w:cs="Times New Roman"/>
          <w:sz w:val="24"/>
          <w:szCs w:val="24"/>
        </w:rPr>
        <w:t>.</w:t>
      </w:r>
    </w:p>
    <w:p w:rsidR="004C1BA3" w14:paraId="00000033"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FirstGroup orders a more noteworthy portion of the public transportation market than </w:t>
      </w:r>
      <w:r>
        <w:rPr>
          <w:rFonts w:ascii="Times New Roman" w:eastAsia="Times New Roman" w:hAnsi="Times New Roman" w:cs="Times New Roman"/>
          <w:sz w:val="24"/>
          <w:szCs w:val="24"/>
        </w:rPr>
        <w:t>ExpressGroup</w:t>
      </w:r>
      <w:r>
        <w:rPr>
          <w:rFonts w:ascii="Times New Roman" w:eastAsia="Times New Roman" w:hAnsi="Times New Roman" w:cs="Times New Roman"/>
          <w:sz w:val="24"/>
          <w:szCs w:val="24"/>
        </w:rPr>
        <w:t xml:space="preserve"> has in the messenger and planned operations fragment. By and by, the two firms face contests from different players inside their separate specialties. For example, FirstGroup </w:t>
      </w:r>
      <w:r>
        <w:rPr>
          <w:rFonts w:ascii="Times New Roman" w:eastAsia="Times New Roman" w:hAnsi="Times New Roman" w:cs="Times New Roman"/>
          <w:sz w:val="24"/>
          <w:szCs w:val="24"/>
        </w:rPr>
        <w:t>rivals</w:t>
      </w:r>
      <w:r>
        <w:rPr>
          <w:rFonts w:ascii="Times New Roman" w:eastAsia="Times New Roman" w:hAnsi="Times New Roman" w:cs="Times New Roman"/>
          <w:sz w:val="24"/>
          <w:szCs w:val="24"/>
        </w:rPr>
        <w:t xml:space="preserve"> other transportation organizations, like Stagecoach and Arriva, while </w:t>
      </w:r>
      <w:r>
        <w:rPr>
          <w:rFonts w:ascii="Times New Roman" w:eastAsia="Times New Roman" w:hAnsi="Times New Roman" w:cs="Times New Roman"/>
          <w:sz w:val="24"/>
          <w:szCs w:val="24"/>
        </w:rPr>
        <w:t>ExpressGroup</w:t>
      </w:r>
      <w:r>
        <w:rPr>
          <w:rFonts w:ascii="Times New Roman" w:eastAsia="Times New Roman" w:hAnsi="Times New Roman" w:cs="Times New Roman"/>
          <w:sz w:val="24"/>
          <w:szCs w:val="24"/>
        </w:rPr>
        <w:t xml:space="preserve"> challenges DHL, FedEx, and UPS in the messenger and strategies market.</w:t>
      </w:r>
    </w:p>
    <w:p w:rsidR="004C1BA3" w14:paraId="00000034" w14:textId="7777777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Development and Venture Systems:</w:t>
      </w:r>
    </w:p>
    <w:p w:rsidR="004C1BA3" w14:paraId="00000035"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FirstGroup and </w:t>
      </w:r>
      <w:r>
        <w:rPr>
          <w:rFonts w:ascii="Times New Roman" w:eastAsia="Times New Roman" w:hAnsi="Times New Roman" w:cs="Times New Roman"/>
          <w:sz w:val="24"/>
          <w:szCs w:val="24"/>
        </w:rPr>
        <w:t>ExpressGroup</w:t>
      </w:r>
      <w:r>
        <w:rPr>
          <w:rFonts w:ascii="Times New Roman" w:eastAsia="Times New Roman" w:hAnsi="Times New Roman" w:cs="Times New Roman"/>
          <w:sz w:val="24"/>
          <w:szCs w:val="24"/>
        </w:rPr>
        <w:t xml:space="preserve"> have carried out speculation and development strategies to improve their monetary exhibition and reinforce their remaining inside their separate areas. FirstGroup has executed a smart course of action to redesign its tasks, limit its obligation levels, and further develop productivity. The arrangement involves shedding non-</w:t>
      </w:r>
      <w:r>
        <w:rPr>
          <w:rFonts w:ascii="Times New Roman" w:eastAsia="Times New Roman" w:hAnsi="Times New Roman" w:cs="Times New Roman"/>
          <w:sz w:val="24"/>
          <w:szCs w:val="24"/>
        </w:rPr>
        <w:t>center</w:t>
      </w:r>
      <w:r>
        <w:rPr>
          <w:rFonts w:ascii="Times New Roman" w:eastAsia="Times New Roman" w:hAnsi="Times New Roman" w:cs="Times New Roman"/>
          <w:sz w:val="24"/>
          <w:szCs w:val="24"/>
        </w:rPr>
        <w:t xml:space="preserve"> resources, for example, Greyhound, the organization's long-stretch transport administration in North America, and furrowing the returns once more into its UK transport and rail activities. The organization has additionally centered on decreasing expenses and expanding productivity across its activities (</w:t>
      </w:r>
      <w:r>
        <w:rPr>
          <w:color w:val="222222"/>
          <w:sz w:val="20"/>
          <w:szCs w:val="20"/>
          <w:highlight w:val="white"/>
        </w:rPr>
        <w:t>Abdurakhmanova</w:t>
      </w:r>
      <w:r>
        <w:rPr>
          <w:color w:val="222222"/>
          <w:sz w:val="20"/>
          <w:szCs w:val="20"/>
          <w:highlight w:val="white"/>
        </w:rPr>
        <w:t xml:space="preserve"> and Rustamov 2020)</w:t>
      </w:r>
      <w:r>
        <w:rPr>
          <w:rFonts w:ascii="Times New Roman" w:eastAsia="Times New Roman" w:hAnsi="Times New Roman" w:cs="Times New Roman"/>
          <w:sz w:val="24"/>
          <w:szCs w:val="24"/>
        </w:rPr>
        <w:t>.</w:t>
      </w:r>
    </w:p>
    <w:p w:rsidR="004C1BA3" w14:paraId="00000036"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other hand, </w:t>
      </w:r>
      <w:r>
        <w:rPr>
          <w:rFonts w:ascii="Times New Roman" w:eastAsia="Times New Roman" w:hAnsi="Times New Roman" w:cs="Times New Roman"/>
          <w:sz w:val="24"/>
          <w:szCs w:val="24"/>
        </w:rPr>
        <w:t>ExpressGroup</w:t>
      </w:r>
      <w:r>
        <w:rPr>
          <w:rFonts w:ascii="Times New Roman" w:eastAsia="Times New Roman" w:hAnsi="Times New Roman" w:cs="Times New Roman"/>
          <w:sz w:val="24"/>
          <w:szCs w:val="24"/>
        </w:rPr>
        <w:t xml:space="preserve"> has focused on putting resources into its innovation foundation and widening its administration exhibit. The organization has furrowed significant assets into its IT frameworks to redesign package following and conveyance, adding to its standing for constancy and speed. In addition, </w:t>
      </w:r>
      <w:r>
        <w:rPr>
          <w:rFonts w:ascii="Times New Roman" w:eastAsia="Times New Roman" w:hAnsi="Times New Roman" w:cs="Times New Roman"/>
          <w:sz w:val="24"/>
          <w:szCs w:val="24"/>
        </w:rPr>
        <w:t>ExpressGroup</w:t>
      </w:r>
      <w:r>
        <w:rPr>
          <w:rFonts w:ascii="Times New Roman" w:eastAsia="Times New Roman" w:hAnsi="Times New Roman" w:cs="Times New Roman"/>
          <w:sz w:val="24"/>
          <w:szCs w:val="24"/>
        </w:rPr>
        <w:t xml:space="preserve"> has extended its contributions by sending off clever items, for example, its worldwide conveyance administration, which has assisted with climbing its income (</w:t>
      </w:r>
      <w:r>
        <w:rPr>
          <w:color w:val="222222"/>
          <w:sz w:val="20"/>
          <w:szCs w:val="20"/>
          <w:highlight w:val="white"/>
        </w:rPr>
        <w:t>Fisher</w:t>
      </w:r>
      <w:r>
        <w:t xml:space="preserve"> 2020)</w:t>
      </w:r>
      <w:r>
        <w:rPr>
          <w:rFonts w:ascii="Times New Roman" w:eastAsia="Times New Roman" w:hAnsi="Times New Roman" w:cs="Times New Roman"/>
          <w:sz w:val="24"/>
          <w:szCs w:val="24"/>
        </w:rPr>
        <w:t>.</w:t>
      </w:r>
    </w:p>
    <w:p w:rsidR="004C1BA3" w14:paraId="00000037" w14:textId="7777777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Eco-Amicability:</w:t>
      </w:r>
    </w:p>
    <w:p w:rsidR="004C1BA3" w14:paraId="00000038"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FirstGroup and </w:t>
      </w:r>
      <w:r>
        <w:rPr>
          <w:rFonts w:ascii="Times New Roman" w:eastAsia="Times New Roman" w:hAnsi="Times New Roman" w:cs="Times New Roman"/>
          <w:sz w:val="24"/>
          <w:szCs w:val="24"/>
        </w:rPr>
        <w:t>ExpressGroup</w:t>
      </w:r>
      <w:r>
        <w:rPr>
          <w:rFonts w:ascii="Times New Roman" w:eastAsia="Times New Roman" w:hAnsi="Times New Roman" w:cs="Times New Roman"/>
          <w:sz w:val="24"/>
          <w:szCs w:val="24"/>
        </w:rPr>
        <w:t xml:space="preserve"> have made decisions to decrease their natural effect and improve maintainability. FirstGroup aimed to achieve zero-net emissions by 2050, an arrangement that includes changing its armada to low-discharge and electric vehicles, chopping down energy utilization across its tasks, and putting resources into environmentally friendly power. The organization has likewise established a carbon balancing drive to assist with offsetting discharges for the time being (</w:t>
      </w:r>
      <w:r>
        <w:rPr>
          <w:color w:val="222222"/>
          <w:sz w:val="20"/>
          <w:szCs w:val="20"/>
          <w:highlight w:val="white"/>
        </w:rPr>
        <w:t xml:space="preserve">Shankar </w:t>
      </w:r>
      <w:r>
        <w:rPr>
          <w:i/>
          <w:color w:val="222222"/>
          <w:sz w:val="20"/>
          <w:szCs w:val="20"/>
          <w:highlight w:val="white"/>
        </w:rPr>
        <w:t xml:space="preserve">et al. </w:t>
      </w:r>
      <w:r>
        <w:rPr>
          <w:color w:val="222222"/>
          <w:sz w:val="20"/>
          <w:szCs w:val="20"/>
          <w:highlight w:val="white"/>
        </w:rPr>
        <w:t>2021)</w:t>
      </w:r>
      <w:r>
        <w:rPr>
          <w:rFonts w:ascii="Times New Roman" w:eastAsia="Times New Roman" w:hAnsi="Times New Roman" w:cs="Times New Roman"/>
          <w:sz w:val="24"/>
          <w:szCs w:val="24"/>
        </w:rPr>
        <w:t>.</w:t>
      </w:r>
    </w:p>
    <w:p w:rsidR="004C1BA3" w14:paraId="00000039"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ExpressGroup</w:t>
      </w:r>
      <w:r>
        <w:rPr>
          <w:rFonts w:ascii="Times New Roman" w:eastAsia="Times New Roman" w:hAnsi="Times New Roman" w:cs="Times New Roman"/>
          <w:sz w:val="24"/>
          <w:szCs w:val="24"/>
        </w:rPr>
        <w:t xml:space="preserve"> has additionally promised to lessen its ecological impression, including endeavoring to accomplish net-zero emanations by 2050. The organization has acquainted with a range of drives with decreased discharges, like involving electric and low-emission vehicles for bundle conveyances, executing energy-effective measures in its offices, and putting resources into sustainable power.</w:t>
      </w:r>
    </w:p>
    <w:p w:rsidR="004C1BA3" w:rsidP="0045751E" w14:paraId="0000003B" w14:textId="77777777">
      <w:pPr>
        <w:pStyle w:val="Heading1"/>
      </w:pPr>
      <w:bookmarkStart w:id="3" w:name="_Toc133361569"/>
      <w:r>
        <w:t xml:space="preserve">Section (iv): </w:t>
      </w:r>
      <w:r w:rsidRPr="0045751E">
        <w:t>Conclusion</w:t>
      </w:r>
      <w:r>
        <w:t xml:space="preserve"> and Recommendation</w:t>
      </w:r>
      <w:bookmarkEnd w:id="3"/>
    </w:p>
    <w:p w:rsidR="004C1BA3" w14:paraId="0000003C"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FirstGroup Plc has laid down a good foundation for itself as a preeminent transportation venture in the United Kingdom and North America, offering a broad cluster of land-based transportation administrations to a great many individuals around the world. Its resolute commitment to somewhere safe and secure and client satisfaction deserves its standing as a reliable and sound undertaking.</w:t>
      </w:r>
    </w:p>
    <w:p w:rsidR="004C1BA3" w14:paraId="0000003D"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a labor force surpassing 100,000 and a compass extending to more than 40 nations, FirstGroup has arisen as one of the most prominent transportation organizations on earth. Its offerings contain transports, mentors, trains, trolleys, and understudy transportation, making it a basic part of transportation infrastructure across different districts.</w:t>
      </w:r>
    </w:p>
    <w:p w:rsidR="004C1BA3" w14:paraId="0000003E"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United Kingdom, FirstGroup's specialization in ground transportation administrations like transports, mentors, and rail has enabled it to outfit administrations to more than 40 towns and urban communities, serving more than one billion travelers consistently. In the meantime, the megabus.com brand offers sensibly priced long travel in the United Kingdom and Europe, providing a reasonable choice for prudent explorers.</w:t>
      </w:r>
    </w:p>
    <w:p w:rsidR="004C1BA3" w14:paraId="0000003F"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North America, FirstGroup's branch, First Understudy, offers reliable and secure transportation to more than 6,000,000 school and undergraduate students consistently. The enterprise likewise works for Greyhound, the most sizable intercity transport administration in North America, accommodating more than 18 million travelers every year.</w:t>
      </w:r>
    </w:p>
    <w:p w:rsidR="004C1BA3" w14:paraId="00000040"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outline, FirstGroup's unwavering obligation to somewhere safe, trustworthiness, and client fulfillment has empowered it to arise as a leading transportation firm on a worldwide scale. Its broad assortment of administrations and presence across various nations have delivered it as an </w:t>
      </w:r>
      <w:r>
        <w:rPr>
          <w:rFonts w:ascii="Times New Roman" w:eastAsia="Times New Roman" w:hAnsi="Times New Roman" w:cs="Times New Roman"/>
          <w:sz w:val="24"/>
          <w:szCs w:val="24"/>
        </w:rPr>
        <w:t>indispensable component of transportation infrastructure and a critical supporter of the economy.</w:t>
      </w:r>
    </w:p>
    <w:p w:rsidR="0045751E" w:rsidP="0045751E" w14:paraId="3C2C840E"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 or less, FirstGroup and </w:t>
      </w:r>
      <w:r>
        <w:rPr>
          <w:rFonts w:ascii="Times New Roman" w:eastAsia="Times New Roman" w:hAnsi="Times New Roman" w:cs="Times New Roman"/>
          <w:sz w:val="24"/>
          <w:szCs w:val="24"/>
        </w:rPr>
        <w:t>ExpressGroup</w:t>
      </w:r>
      <w:r>
        <w:rPr>
          <w:rFonts w:ascii="Times New Roman" w:eastAsia="Times New Roman" w:hAnsi="Times New Roman" w:cs="Times New Roman"/>
          <w:sz w:val="24"/>
          <w:szCs w:val="24"/>
        </w:rPr>
        <w:t xml:space="preserve"> are two head transportation firms that work in various sub-areas of the business. In spite of the fact that FirstGroup has a greater income base, </w:t>
      </w:r>
      <w:r>
        <w:rPr>
          <w:rFonts w:ascii="Times New Roman" w:eastAsia="Times New Roman" w:hAnsi="Times New Roman" w:cs="Times New Roman"/>
          <w:sz w:val="24"/>
          <w:szCs w:val="24"/>
        </w:rPr>
        <w:t>ExpressGroup</w:t>
      </w:r>
      <w:r>
        <w:rPr>
          <w:rFonts w:ascii="Times New Roman" w:eastAsia="Times New Roman" w:hAnsi="Times New Roman" w:cs="Times New Roman"/>
          <w:sz w:val="24"/>
          <w:szCs w:val="24"/>
        </w:rPr>
        <w:t xml:space="preserve"> has been more beneficial as of late, posting higher EPS and profit yields. The two organizations have gone to lengths to deal with their obligation levels, increment effectiveness, and put resources into development possibilities. Moreover, the two firms have </w:t>
      </w:r>
      <w:r>
        <w:rPr>
          <w:rFonts w:ascii="Times New Roman" w:eastAsia="Times New Roman" w:hAnsi="Times New Roman" w:cs="Times New Roman"/>
          <w:sz w:val="24"/>
          <w:szCs w:val="24"/>
        </w:rPr>
        <w:t>swor</w:t>
      </w:r>
      <w:r>
        <w:rPr>
          <w:rFonts w:ascii="Times New Roman" w:eastAsia="Times New Roman" w:hAnsi="Times New Roman" w:cs="Times New Roman"/>
          <w:sz w:val="24"/>
          <w:szCs w:val="24"/>
        </w:rPr>
        <w:t xml:space="preserve">n to diminish their ecological impression and support maintainability. In spite of variations in their monetary execution and market standing, FirstGroup and </w:t>
      </w:r>
      <w:r>
        <w:rPr>
          <w:rFonts w:ascii="Times New Roman" w:eastAsia="Times New Roman" w:hAnsi="Times New Roman" w:cs="Times New Roman"/>
          <w:sz w:val="24"/>
          <w:szCs w:val="24"/>
        </w:rPr>
        <w:t>ExpressGroup</w:t>
      </w:r>
      <w:r>
        <w:rPr>
          <w:rFonts w:ascii="Times New Roman" w:eastAsia="Times New Roman" w:hAnsi="Times New Roman" w:cs="Times New Roman"/>
          <w:sz w:val="24"/>
          <w:szCs w:val="24"/>
        </w:rPr>
        <w:t xml:space="preserve"> have founded systems to upgrade their tasks and set up a good foundation for themselves for long-haul flourishing.</w:t>
      </w:r>
    </w:p>
    <w:p w:rsidR="0045751E" w14:paraId="6A7C433E" w14:textId="77777777">
      <w:pPr>
        <w:spacing w:line="360" w:lineRule="auto"/>
        <w:jc w:val="both"/>
        <w:rPr>
          <w:rFonts w:ascii="Times New Roman" w:eastAsia="Times New Roman" w:hAnsi="Times New Roman" w:cs="Times New Roman"/>
          <w:sz w:val="24"/>
          <w:szCs w:val="24"/>
        </w:rPr>
      </w:pPr>
    </w:p>
    <w:p w:rsidR="004C1BA3" w14:paraId="00000041" w14:textId="77777777">
      <w:pPr>
        <w:spacing w:line="360" w:lineRule="auto"/>
        <w:jc w:val="both"/>
        <w:rPr>
          <w:rFonts w:ascii="Times New Roman" w:eastAsia="Times New Roman" w:hAnsi="Times New Roman" w:cs="Times New Roman"/>
          <w:b/>
          <w:sz w:val="24"/>
          <w:szCs w:val="24"/>
        </w:rPr>
      </w:pPr>
      <w:r>
        <w:br w:type="page"/>
      </w:r>
    </w:p>
    <w:p w:rsidR="004C1BA3" w:rsidP="0045751E" w14:paraId="00000042" w14:textId="77777777">
      <w:pPr>
        <w:pStyle w:val="Heading1"/>
      </w:pPr>
      <w:bookmarkStart w:id="4" w:name="_Toc133361570"/>
      <w:r w:rsidRPr="0045751E">
        <w:t>Reference</w:t>
      </w:r>
      <w:r>
        <w:t xml:space="preserve"> List</w:t>
      </w:r>
      <w:bookmarkEnd w:id="4"/>
    </w:p>
    <w:p w:rsidR="0045751E" w14:paraId="76D31F05" w14:textId="77777777">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Abdurakhmanova</w:t>
      </w:r>
      <w:r>
        <w:rPr>
          <w:rFonts w:ascii="Times New Roman" w:eastAsia="Times New Roman" w:hAnsi="Times New Roman" w:cs="Times New Roman"/>
          <w:color w:val="222222"/>
          <w:sz w:val="24"/>
          <w:szCs w:val="24"/>
          <w:highlight w:val="white"/>
        </w:rPr>
        <w:t xml:space="preserve">, G. and Rustamov, D., 2020. Venture investment environment in different countries analysis of venture business in Uzbekistan. </w:t>
      </w:r>
      <w:r>
        <w:rPr>
          <w:rFonts w:ascii="Times New Roman" w:eastAsia="Times New Roman" w:hAnsi="Times New Roman" w:cs="Times New Roman"/>
          <w:i/>
          <w:color w:val="222222"/>
          <w:sz w:val="24"/>
          <w:szCs w:val="24"/>
          <w:highlight w:val="white"/>
        </w:rPr>
        <w:t>Архив</w:t>
      </w:r>
      <w:r>
        <w:rPr>
          <w:rFonts w:ascii="Times New Roman" w:eastAsia="Times New Roman" w:hAnsi="Times New Roman" w:cs="Times New Roman"/>
          <w:i/>
          <w:color w:val="222222"/>
          <w:sz w:val="24"/>
          <w:szCs w:val="24"/>
          <w:highlight w:val="white"/>
        </w:rPr>
        <w:t xml:space="preserve"> </w:t>
      </w:r>
      <w:r>
        <w:rPr>
          <w:rFonts w:ascii="Times New Roman" w:eastAsia="Times New Roman" w:hAnsi="Times New Roman" w:cs="Times New Roman"/>
          <w:i/>
          <w:color w:val="222222"/>
          <w:sz w:val="24"/>
          <w:szCs w:val="24"/>
          <w:highlight w:val="white"/>
        </w:rPr>
        <w:t>научных</w:t>
      </w:r>
      <w:r>
        <w:rPr>
          <w:rFonts w:ascii="Times New Roman" w:eastAsia="Times New Roman" w:hAnsi="Times New Roman" w:cs="Times New Roman"/>
          <w:i/>
          <w:color w:val="222222"/>
          <w:sz w:val="24"/>
          <w:szCs w:val="24"/>
          <w:highlight w:val="white"/>
        </w:rPr>
        <w:t xml:space="preserve"> </w:t>
      </w:r>
      <w:r>
        <w:rPr>
          <w:rFonts w:ascii="Times New Roman" w:eastAsia="Times New Roman" w:hAnsi="Times New Roman" w:cs="Times New Roman"/>
          <w:i/>
          <w:color w:val="222222"/>
          <w:sz w:val="24"/>
          <w:szCs w:val="24"/>
          <w:highlight w:val="white"/>
        </w:rPr>
        <w:t>исследований</w:t>
      </w:r>
      <w:r>
        <w:rPr>
          <w:rFonts w:ascii="Times New Roman" w:eastAsia="Times New Roman" w:hAnsi="Times New Roman" w:cs="Times New Roman"/>
          <w:color w:val="222222"/>
          <w:sz w:val="24"/>
          <w:szCs w:val="24"/>
          <w:highlight w:val="white"/>
        </w:rPr>
        <w:t>, (21).</w:t>
      </w:r>
    </w:p>
    <w:p w:rsidR="0045751E" w14:paraId="1C5A0A37" w14:textId="77777777">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Bunbury, S., 2020. An Analysis of the Service Provider's Legal Duty to Make Reasonable Adjustments: The Little Mix Saga. </w:t>
      </w:r>
      <w:r>
        <w:rPr>
          <w:rFonts w:ascii="Times New Roman" w:eastAsia="Times New Roman" w:hAnsi="Times New Roman" w:cs="Times New Roman"/>
          <w:i/>
          <w:color w:val="222222"/>
          <w:sz w:val="24"/>
          <w:szCs w:val="24"/>
          <w:highlight w:val="white"/>
        </w:rPr>
        <w:t>ESLJ</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18</w:t>
      </w:r>
      <w:r>
        <w:rPr>
          <w:rFonts w:ascii="Times New Roman" w:eastAsia="Times New Roman" w:hAnsi="Times New Roman" w:cs="Times New Roman"/>
          <w:color w:val="222222"/>
          <w:sz w:val="24"/>
          <w:szCs w:val="24"/>
          <w:highlight w:val="white"/>
        </w:rPr>
        <w:t>, p.1.</w:t>
      </w:r>
    </w:p>
    <w:p w:rsidR="0045751E" w14:paraId="45469C26" w14:textId="77777777">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Dadzie</w:t>
      </w:r>
      <w:r>
        <w:rPr>
          <w:rFonts w:ascii="Times New Roman" w:eastAsia="Times New Roman" w:hAnsi="Times New Roman" w:cs="Times New Roman"/>
          <w:color w:val="222222"/>
          <w:sz w:val="24"/>
          <w:szCs w:val="24"/>
          <w:highlight w:val="white"/>
        </w:rPr>
        <w:t xml:space="preserve">, I., 2023. Impact of COVID 19 on Digital Marketing: A Systematic Study on Sub Saharan African. </w:t>
      </w:r>
      <w:r>
        <w:rPr>
          <w:rFonts w:ascii="Times New Roman" w:eastAsia="Times New Roman" w:hAnsi="Times New Roman" w:cs="Times New Roman"/>
          <w:i/>
          <w:color w:val="222222"/>
          <w:sz w:val="24"/>
          <w:szCs w:val="24"/>
          <w:highlight w:val="white"/>
        </w:rPr>
        <w:t>Asian Journal of Economics, Business and Accounting</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23</w:t>
      </w:r>
      <w:r>
        <w:rPr>
          <w:rFonts w:ascii="Times New Roman" w:eastAsia="Times New Roman" w:hAnsi="Times New Roman" w:cs="Times New Roman"/>
          <w:color w:val="222222"/>
          <w:sz w:val="24"/>
          <w:szCs w:val="24"/>
          <w:highlight w:val="white"/>
        </w:rPr>
        <w:t>(7), pp.71-82.</w:t>
      </w:r>
    </w:p>
    <w:p w:rsidR="0045751E" w14:paraId="40E1322D" w14:textId="77777777">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Danso</w:t>
      </w:r>
      <w:r>
        <w:rPr>
          <w:rFonts w:ascii="Times New Roman" w:eastAsia="Times New Roman" w:hAnsi="Times New Roman" w:cs="Times New Roman"/>
          <w:color w:val="222222"/>
          <w:sz w:val="24"/>
          <w:szCs w:val="24"/>
          <w:highlight w:val="white"/>
        </w:rPr>
        <w:t xml:space="preserve">, A., Adomako, S., Amankwah‐Amoah, J., Owusu‐Agyei, S. and Konadu, R., 2019. Environmental sustainability orientation, competitive strategy and financial performance. </w:t>
      </w:r>
      <w:r>
        <w:rPr>
          <w:rFonts w:ascii="Times New Roman" w:eastAsia="Times New Roman" w:hAnsi="Times New Roman" w:cs="Times New Roman"/>
          <w:i/>
          <w:color w:val="222222"/>
          <w:sz w:val="24"/>
          <w:szCs w:val="24"/>
          <w:highlight w:val="white"/>
        </w:rPr>
        <w:t>Business Strategy and the Environment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28</w:t>
      </w:r>
      <w:r>
        <w:rPr>
          <w:rFonts w:ascii="Times New Roman" w:eastAsia="Times New Roman" w:hAnsi="Times New Roman" w:cs="Times New Roman"/>
          <w:color w:val="222222"/>
          <w:sz w:val="24"/>
          <w:szCs w:val="24"/>
          <w:highlight w:val="white"/>
        </w:rPr>
        <w:t>(5), pp.885-895.</w:t>
      </w:r>
    </w:p>
    <w:p w:rsidR="0045751E" w14:paraId="1A4EB00F" w14:textId="77777777">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Desmon, A.R.W. and </w:t>
      </w:r>
      <w:r>
        <w:rPr>
          <w:rFonts w:ascii="Times New Roman" w:eastAsia="Times New Roman" w:hAnsi="Times New Roman" w:cs="Times New Roman"/>
          <w:color w:val="222222"/>
          <w:sz w:val="24"/>
          <w:szCs w:val="24"/>
          <w:highlight w:val="white"/>
        </w:rPr>
        <w:t>Meirinaldi</w:t>
      </w:r>
      <w:r>
        <w:rPr>
          <w:rFonts w:ascii="Times New Roman" w:eastAsia="Times New Roman" w:hAnsi="Times New Roman" w:cs="Times New Roman"/>
          <w:color w:val="222222"/>
          <w:sz w:val="24"/>
          <w:szCs w:val="24"/>
          <w:highlight w:val="white"/>
        </w:rPr>
        <w:t xml:space="preserve">, Y.C., 2022, January. The Effect of Return on Asset, Return on Equity and Debt to Equity Ratio on the Value of the Manufacturing Firm Listed on Stock Exchange 2015-2019. In </w:t>
      </w:r>
      <w:r>
        <w:rPr>
          <w:rFonts w:ascii="Times New Roman" w:eastAsia="Times New Roman" w:hAnsi="Times New Roman" w:cs="Times New Roman"/>
          <w:i/>
          <w:color w:val="222222"/>
          <w:sz w:val="24"/>
          <w:szCs w:val="24"/>
          <w:highlight w:val="white"/>
        </w:rPr>
        <w:t>MIC 2021: Proceedings of the First Multidiscipline International Conference, MIC 2021, October 30 2021, Jakarta, Indonesia</w:t>
      </w:r>
      <w:r>
        <w:rPr>
          <w:rFonts w:ascii="Times New Roman" w:eastAsia="Times New Roman" w:hAnsi="Times New Roman" w:cs="Times New Roman"/>
          <w:color w:val="222222"/>
          <w:sz w:val="24"/>
          <w:szCs w:val="24"/>
          <w:highlight w:val="white"/>
        </w:rPr>
        <w:t xml:space="preserve"> (p. 196). European Alliance for Innovation.</w:t>
      </w:r>
    </w:p>
    <w:p w:rsidR="0045751E" w14:paraId="57C4DC68" w14:textId="77777777">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Firmansyah</w:t>
      </w:r>
      <w:r>
        <w:rPr>
          <w:rFonts w:ascii="Times New Roman" w:eastAsia="Times New Roman" w:hAnsi="Times New Roman" w:cs="Times New Roman"/>
          <w:color w:val="222222"/>
          <w:sz w:val="24"/>
          <w:szCs w:val="24"/>
          <w:highlight w:val="white"/>
        </w:rPr>
        <w:t xml:space="preserve">, B., </w:t>
      </w:r>
      <w:r>
        <w:rPr>
          <w:rFonts w:ascii="Times New Roman" w:eastAsia="Times New Roman" w:hAnsi="Times New Roman" w:cs="Times New Roman"/>
          <w:color w:val="222222"/>
          <w:sz w:val="24"/>
          <w:szCs w:val="24"/>
          <w:highlight w:val="white"/>
        </w:rPr>
        <w:t>Hamamah</w:t>
      </w:r>
      <w:r>
        <w:rPr>
          <w:rFonts w:ascii="Times New Roman" w:eastAsia="Times New Roman" w:hAnsi="Times New Roman" w:cs="Times New Roman"/>
          <w:color w:val="222222"/>
          <w:sz w:val="24"/>
          <w:szCs w:val="24"/>
          <w:highlight w:val="white"/>
        </w:rPr>
        <w:t xml:space="preserve">, H. and </w:t>
      </w:r>
      <w:r>
        <w:rPr>
          <w:rFonts w:ascii="Times New Roman" w:eastAsia="Times New Roman" w:hAnsi="Times New Roman" w:cs="Times New Roman"/>
          <w:color w:val="222222"/>
          <w:sz w:val="24"/>
          <w:szCs w:val="24"/>
          <w:highlight w:val="white"/>
        </w:rPr>
        <w:t>Emaliana</w:t>
      </w:r>
      <w:r>
        <w:rPr>
          <w:rFonts w:ascii="Times New Roman" w:eastAsia="Times New Roman" w:hAnsi="Times New Roman" w:cs="Times New Roman"/>
          <w:color w:val="222222"/>
          <w:sz w:val="24"/>
          <w:szCs w:val="24"/>
          <w:highlight w:val="white"/>
        </w:rPr>
        <w:t xml:space="preserve">, I., 2023. Recent Students' Motivation Toward Learning English After the COVID-19 </w:t>
      </w:r>
      <w:r>
        <w:rPr>
          <w:rFonts w:ascii="Times New Roman" w:eastAsia="Times New Roman" w:hAnsi="Times New Roman" w:cs="Times New Roman"/>
          <w:color w:val="222222"/>
          <w:sz w:val="24"/>
          <w:szCs w:val="24"/>
          <w:highlight w:val="white"/>
        </w:rPr>
        <w:t>Post-Pandemic</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Journal of Languages and Language Teaching</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11</w:t>
      </w:r>
      <w:r>
        <w:rPr>
          <w:rFonts w:ascii="Times New Roman" w:eastAsia="Times New Roman" w:hAnsi="Times New Roman" w:cs="Times New Roman"/>
          <w:color w:val="222222"/>
          <w:sz w:val="24"/>
          <w:szCs w:val="24"/>
          <w:highlight w:val="white"/>
        </w:rPr>
        <w:t>(1), pp.130-136.</w:t>
      </w:r>
    </w:p>
    <w:p w:rsidR="0045751E" w14:paraId="36485B06"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FirstGroup (2023). </w:t>
      </w:r>
      <w:r>
        <w:rPr>
          <w:rFonts w:ascii="Times New Roman" w:eastAsia="Times New Roman" w:hAnsi="Times New Roman" w:cs="Times New Roman"/>
          <w:i/>
          <w:sz w:val="24"/>
          <w:szCs w:val="24"/>
        </w:rPr>
        <w:t>About FirstGroup</w:t>
      </w:r>
      <w:r>
        <w:rPr>
          <w:rFonts w:ascii="Times New Roman" w:eastAsia="Times New Roman" w:hAnsi="Times New Roman" w:cs="Times New Roman"/>
          <w:sz w:val="24"/>
          <w:szCs w:val="24"/>
        </w:rPr>
        <w:t>. [online] www.firstgroupplc.com. Available at: https://www.firstgroupplc.com/about-firstgroup.aspx [Accessed 20 Apr. 2023].</w:t>
      </w:r>
    </w:p>
    <w:p w:rsidR="0045751E" w14:paraId="10D8B579" w14:textId="77777777">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Fisher, G., 2020. The complexities of new venture legitimacy. </w:t>
      </w:r>
      <w:r>
        <w:rPr>
          <w:rFonts w:ascii="Times New Roman" w:eastAsia="Times New Roman" w:hAnsi="Times New Roman" w:cs="Times New Roman"/>
          <w:i/>
          <w:color w:val="222222"/>
          <w:sz w:val="24"/>
          <w:szCs w:val="24"/>
          <w:highlight w:val="white"/>
        </w:rPr>
        <w:t>Organization Theory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w:t>
      </w:r>
      <w:r>
        <w:rPr>
          <w:rFonts w:ascii="Times New Roman" w:eastAsia="Times New Roman" w:hAnsi="Times New Roman" w:cs="Times New Roman"/>
          <w:color w:val="222222"/>
          <w:sz w:val="24"/>
          <w:szCs w:val="24"/>
          <w:highlight w:val="white"/>
        </w:rPr>
        <w:t>(2), p.2631787720913881.</w:t>
      </w:r>
    </w:p>
    <w:p w:rsidR="0045751E" w14:paraId="64B69096" w14:textId="77777777">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Hayes, S.W., Priestley, J.L., Moore, B.A. and Ray, H.E., 2021. Perceived stress, work-related burnout, and working from home before and during COVID-19: An examination of workers in the United States. </w:t>
      </w:r>
      <w:r>
        <w:rPr>
          <w:rFonts w:ascii="Times New Roman" w:eastAsia="Times New Roman" w:hAnsi="Times New Roman" w:cs="Times New Roman"/>
          <w:i/>
          <w:color w:val="222222"/>
          <w:sz w:val="24"/>
          <w:szCs w:val="24"/>
          <w:highlight w:val="white"/>
        </w:rPr>
        <w:t>Sage Open</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11</w:t>
      </w:r>
      <w:r>
        <w:rPr>
          <w:rFonts w:ascii="Times New Roman" w:eastAsia="Times New Roman" w:hAnsi="Times New Roman" w:cs="Times New Roman"/>
          <w:color w:val="222222"/>
          <w:sz w:val="24"/>
          <w:szCs w:val="24"/>
          <w:highlight w:val="white"/>
        </w:rPr>
        <w:t>(4), p.21582440211058193.</w:t>
      </w:r>
    </w:p>
    <w:p w:rsidR="0045751E" w14:paraId="4AD5BC15" w14:textId="77777777">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Jahan, S., Khan, K.I.A., </w:t>
      </w:r>
      <w:r>
        <w:rPr>
          <w:rFonts w:ascii="Times New Roman" w:eastAsia="Times New Roman" w:hAnsi="Times New Roman" w:cs="Times New Roman"/>
          <w:color w:val="222222"/>
          <w:sz w:val="24"/>
          <w:szCs w:val="24"/>
          <w:highlight w:val="white"/>
        </w:rPr>
        <w:t>Thaheem</w:t>
      </w:r>
      <w:r>
        <w:rPr>
          <w:rFonts w:ascii="Times New Roman" w:eastAsia="Times New Roman" w:hAnsi="Times New Roman" w:cs="Times New Roman"/>
          <w:color w:val="222222"/>
          <w:sz w:val="24"/>
          <w:szCs w:val="24"/>
          <w:highlight w:val="white"/>
        </w:rPr>
        <w:t xml:space="preserve">, M.J., Ullah, F., </w:t>
      </w:r>
      <w:r>
        <w:rPr>
          <w:rFonts w:ascii="Times New Roman" w:eastAsia="Times New Roman" w:hAnsi="Times New Roman" w:cs="Times New Roman"/>
          <w:color w:val="222222"/>
          <w:sz w:val="24"/>
          <w:szCs w:val="24"/>
          <w:highlight w:val="white"/>
        </w:rPr>
        <w:t>Alqurashi</w:t>
      </w:r>
      <w:r>
        <w:rPr>
          <w:rFonts w:ascii="Times New Roman" w:eastAsia="Times New Roman" w:hAnsi="Times New Roman" w:cs="Times New Roman"/>
          <w:color w:val="222222"/>
          <w:sz w:val="24"/>
          <w:szCs w:val="24"/>
          <w:highlight w:val="white"/>
        </w:rPr>
        <w:t xml:space="preserve">, M. and </w:t>
      </w:r>
      <w:r>
        <w:rPr>
          <w:rFonts w:ascii="Times New Roman" w:eastAsia="Times New Roman" w:hAnsi="Times New Roman" w:cs="Times New Roman"/>
          <w:color w:val="222222"/>
          <w:sz w:val="24"/>
          <w:szCs w:val="24"/>
          <w:highlight w:val="white"/>
        </w:rPr>
        <w:t>Alsulami</w:t>
      </w:r>
      <w:r>
        <w:rPr>
          <w:rFonts w:ascii="Times New Roman" w:eastAsia="Times New Roman" w:hAnsi="Times New Roman" w:cs="Times New Roman"/>
          <w:color w:val="222222"/>
          <w:sz w:val="24"/>
          <w:szCs w:val="24"/>
          <w:highlight w:val="white"/>
        </w:rPr>
        <w:t xml:space="preserve">, B.T., 2022. </w:t>
      </w:r>
      <w:r>
        <w:rPr>
          <w:rFonts w:ascii="Times New Roman" w:eastAsia="Times New Roman" w:hAnsi="Times New Roman" w:cs="Times New Roman"/>
          <w:color w:val="222222"/>
          <w:sz w:val="24"/>
          <w:szCs w:val="24"/>
          <w:highlight w:val="white"/>
        </w:rPr>
        <w:t>Modeling</w:t>
      </w:r>
      <w:r>
        <w:rPr>
          <w:rFonts w:ascii="Times New Roman" w:eastAsia="Times New Roman" w:hAnsi="Times New Roman" w:cs="Times New Roman"/>
          <w:color w:val="222222"/>
          <w:sz w:val="24"/>
          <w:szCs w:val="24"/>
          <w:highlight w:val="white"/>
        </w:rPr>
        <w:t xml:space="preserve"> Profitability-Influencing Risk Factors for Construction Projects: A System Dynamics Approach. </w:t>
      </w:r>
      <w:r>
        <w:rPr>
          <w:rFonts w:ascii="Times New Roman" w:eastAsia="Times New Roman" w:hAnsi="Times New Roman" w:cs="Times New Roman"/>
          <w:i/>
          <w:color w:val="222222"/>
          <w:sz w:val="24"/>
          <w:szCs w:val="24"/>
          <w:highlight w:val="white"/>
        </w:rPr>
        <w:t>Buildings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12</w:t>
      </w:r>
      <w:r>
        <w:rPr>
          <w:rFonts w:ascii="Times New Roman" w:eastAsia="Times New Roman" w:hAnsi="Times New Roman" w:cs="Times New Roman"/>
          <w:color w:val="222222"/>
          <w:sz w:val="24"/>
          <w:szCs w:val="24"/>
          <w:highlight w:val="white"/>
        </w:rPr>
        <w:t>(6), p.701.</w:t>
      </w:r>
    </w:p>
    <w:p w:rsidR="0045751E" w14:paraId="049D598F" w14:textId="77777777">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Khan, S., Mishra, J., Ahmed, N., </w:t>
      </w:r>
      <w:r>
        <w:rPr>
          <w:rFonts w:ascii="Times New Roman" w:eastAsia="Times New Roman" w:hAnsi="Times New Roman" w:cs="Times New Roman"/>
          <w:color w:val="222222"/>
          <w:sz w:val="24"/>
          <w:szCs w:val="24"/>
          <w:highlight w:val="white"/>
        </w:rPr>
        <w:t>Onyige</w:t>
      </w:r>
      <w:r>
        <w:rPr>
          <w:rFonts w:ascii="Times New Roman" w:eastAsia="Times New Roman" w:hAnsi="Times New Roman" w:cs="Times New Roman"/>
          <w:color w:val="222222"/>
          <w:sz w:val="24"/>
          <w:szCs w:val="24"/>
          <w:highlight w:val="white"/>
        </w:rPr>
        <w:t xml:space="preserve">, C.D., Lin, K.E., Siew, R. and Lim, B.H., 2022. Risk communication and community engagement during COVID-19. </w:t>
      </w:r>
      <w:r>
        <w:rPr>
          <w:rFonts w:ascii="Times New Roman" w:eastAsia="Times New Roman" w:hAnsi="Times New Roman" w:cs="Times New Roman"/>
          <w:i/>
          <w:color w:val="222222"/>
          <w:sz w:val="24"/>
          <w:szCs w:val="24"/>
          <w:highlight w:val="white"/>
        </w:rPr>
        <w:t>International Journal of Disaster Risk Reduction</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74</w:t>
      </w:r>
      <w:r>
        <w:rPr>
          <w:rFonts w:ascii="Times New Roman" w:eastAsia="Times New Roman" w:hAnsi="Times New Roman" w:cs="Times New Roman"/>
          <w:color w:val="222222"/>
          <w:sz w:val="24"/>
          <w:szCs w:val="24"/>
          <w:highlight w:val="white"/>
        </w:rPr>
        <w:t>, p.102903.</w:t>
      </w:r>
    </w:p>
    <w:p w:rsidR="0045751E" w14:paraId="238173F4" w14:textId="77777777">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Molino, M., </w:t>
      </w:r>
      <w:r>
        <w:rPr>
          <w:rFonts w:ascii="Times New Roman" w:eastAsia="Times New Roman" w:hAnsi="Times New Roman" w:cs="Times New Roman"/>
          <w:color w:val="222222"/>
          <w:sz w:val="24"/>
          <w:szCs w:val="24"/>
          <w:highlight w:val="white"/>
        </w:rPr>
        <w:t>Ingusci</w:t>
      </w:r>
      <w:r>
        <w:rPr>
          <w:rFonts w:ascii="Times New Roman" w:eastAsia="Times New Roman" w:hAnsi="Times New Roman" w:cs="Times New Roman"/>
          <w:color w:val="222222"/>
          <w:sz w:val="24"/>
          <w:szCs w:val="24"/>
          <w:highlight w:val="white"/>
        </w:rPr>
        <w:t xml:space="preserve">, E., </w:t>
      </w:r>
      <w:r>
        <w:rPr>
          <w:rFonts w:ascii="Times New Roman" w:eastAsia="Times New Roman" w:hAnsi="Times New Roman" w:cs="Times New Roman"/>
          <w:color w:val="222222"/>
          <w:sz w:val="24"/>
          <w:szCs w:val="24"/>
          <w:highlight w:val="white"/>
        </w:rPr>
        <w:t>Signore</w:t>
      </w:r>
      <w:r>
        <w:rPr>
          <w:rFonts w:ascii="Times New Roman" w:eastAsia="Times New Roman" w:hAnsi="Times New Roman" w:cs="Times New Roman"/>
          <w:color w:val="222222"/>
          <w:sz w:val="24"/>
          <w:szCs w:val="24"/>
          <w:highlight w:val="white"/>
        </w:rPr>
        <w:t xml:space="preserve">, F., </w:t>
      </w:r>
      <w:r>
        <w:rPr>
          <w:rFonts w:ascii="Times New Roman" w:eastAsia="Times New Roman" w:hAnsi="Times New Roman" w:cs="Times New Roman"/>
          <w:color w:val="222222"/>
          <w:sz w:val="24"/>
          <w:szCs w:val="24"/>
          <w:highlight w:val="white"/>
        </w:rPr>
        <w:t>Manuti</w:t>
      </w:r>
      <w:r>
        <w:rPr>
          <w:rFonts w:ascii="Times New Roman" w:eastAsia="Times New Roman" w:hAnsi="Times New Roman" w:cs="Times New Roman"/>
          <w:color w:val="222222"/>
          <w:sz w:val="24"/>
          <w:szCs w:val="24"/>
          <w:highlight w:val="white"/>
        </w:rPr>
        <w:t xml:space="preserve">, A., </w:t>
      </w:r>
      <w:r>
        <w:rPr>
          <w:rFonts w:ascii="Times New Roman" w:eastAsia="Times New Roman" w:hAnsi="Times New Roman" w:cs="Times New Roman"/>
          <w:color w:val="222222"/>
          <w:sz w:val="24"/>
          <w:szCs w:val="24"/>
          <w:highlight w:val="white"/>
        </w:rPr>
        <w:t>Giancaspro</w:t>
      </w:r>
      <w:r>
        <w:rPr>
          <w:rFonts w:ascii="Times New Roman" w:eastAsia="Times New Roman" w:hAnsi="Times New Roman" w:cs="Times New Roman"/>
          <w:color w:val="222222"/>
          <w:sz w:val="24"/>
          <w:szCs w:val="24"/>
          <w:highlight w:val="white"/>
        </w:rPr>
        <w:t xml:space="preserve">, M.L., Russo, V., Zito, M. and Cortese, C.G., 2020. Wellbeing costs of technology use during Covid-19 remote working: An investigation using the Italian translation of the technostress </w:t>
      </w:r>
      <w:r>
        <w:rPr>
          <w:rFonts w:ascii="Times New Roman" w:eastAsia="Times New Roman" w:hAnsi="Times New Roman" w:cs="Times New Roman"/>
          <w:color w:val="222222"/>
          <w:sz w:val="24"/>
          <w:szCs w:val="24"/>
          <w:highlight w:val="white"/>
        </w:rPr>
        <w:t>creators</w:t>
      </w:r>
      <w:r>
        <w:rPr>
          <w:rFonts w:ascii="Times New Roman" w:eastAsia="Times New Roman" w:hAnsi="Times New Roman" w:cs="Times New Roman"/>
          <w:color w:val="222222"/>
          <w:sz w:val="24"/>
          <w:szCs w:val="24"/>
          <w:highlight w:val="white"/>
        </w:rPr>
        <w:t xml:space="preserve"> scale. </w:t>
      </w:r>
      <w:r>
        <w:rPr>
          <w:rFonts w:ascii="Times New Roman" w:eastAsia="Times New Roman" w:hAnsi="Times New Roman" w:cs="Times New Roman"/>
          <w:i/>
          <w:color w:val="222222"/>
          <w:sz w:val="24"/>
          <w:szCs w:val="24"/>
          <w:highlight w:val="white"/>
        </w:rPr>
        <w:t>Sustainability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12</w:t>
      </w:r>
      <w:r>
        <w:rPr>
          <w:rFonts w:ascii="Times New Roman" w:eastAsia="Times New Roman" w:hAnsi="Times New Roman" w:cs="Times New Roman"/>
          <w:color w:val="222222"/>
          <w:sz w:val="24"/>
          <w:szCs w:val="24"/>
          <w:highlight w:val="white"/>
        </w:rPr>
        <w:t>(15), p.5911.</w:t>
      </w:r>
    </w:p>
    <w:p w:rsidR="0045751E" w14:paraId="384A298A" w14:textId="77777777">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Oran, D.P. and </w:t>
      </w:r>
      <w:r>
        <w:rPr>
          <w:rFonts w:ascii="Times New Roman" w:eastAsia="Times New Roman" w:hAnsi="Times New Roman" w:cs="Times New Roman"/>
          <w:color w:val="222222"/>
          <w:sz w:val="24"/>
          <w:szCs w:val="24"/>
          <w:highlight w:val="white"/>
        </w:rPr>
        <w:t>Topol</w:t>
      </w:r>
      <w:r>
        <w:rPr>
          <w:rFonts w:ascii="Times New Roman" w:eastAsia="Times New Roman" w:hAnsi="Times New Roman" w:cs="Times New Roman"/>
          <w:color w:val="222222"/>
          <w:sz w:val="24"/>
          <w:szCs w:val="24"/>
          <w:highlight w:val="white"/>
        </w:rPr>
        <w:t xml:space="preserve">, E.J., 2021. The proportion of SARS-CoV-2 infections that are asymptomatic: a systematic review. </w:t>
      </w:r>
      <w:r>
        <w:rPr>
          <w:rFonts w:ascii="Times New Roman" w:eastAsia="Times New Roman" w:hAnsi="Times New Roman" w:cs="Times New Roman"/>
          <w:i/>
          <w:color w:val="222222"/>
          <w:sz w:val="24"/>
          <w:szCs w:val="24"/>
          <w:highlight w:val="white"/>
        </w:rPr>
        <w:t>Annals of internal medicine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174</w:t>
      </w:r>
      <w:r>
        <w:rPr>
          <w:rFonts w:ascii="Times New Roman" w:eastAsia="Times New Roman" w:hAnsi="Times New Roman" w:cs="Times New Roman"/>
          <w:color w:val="222222"/>
          <w:sz w:val="24"/>
          <w:szCs w:val="24"/>
          <w:highlight w:val="white"/>
        </w:rPr>
        <w:t>(5), pp.655-662.</w:t>
      </w:r>
    </w:p>
    <w:p w:rsidR="0045751E" w14:paraId="10285B11" w14:textId="77777777">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Panoutsou</w:t>
      </w:r>
      <w:r>
        <w:rPr>
          <w:rFonts w:ascii="Times New Roman" w:eastAsia="Times New Roman" w:hAnsi="Times New Roman" w:cs="Times New Roman"/>
          <w:color w:val="222222"/>
          <w:sz w:val="24"/>
          <w:szCs w:val="24"/>
          <w:highlight w:val="white"/>
        </w:rPr>
        <w:t xml:space="preserve">, C. and </w:t>
      </w:r>
      <w:r>
        <w:rPr>
          <w:rFonts w:ascii="Times New Roman" w:eastAsia="Times New Roman" w:hAnsi="Times New Roman" w:cs="Times New Roman"/>
          <w:color w:val="222222"/>
          <w:sz w:val="24"/>
          <w:szCs w:val="24"/>
          <w:highlight w:val="white"/>
        </w:rPr>
        <w:t>Alexopoulou</w:t>
      </w:r>
      <w:r>
        <w:rPr>
          <w:rFonts w:ascii="Times New Roman" w:eastAsia="Times New Roman" w:hAnsi="Times New Roman" w:cs="Times New Roman"/>
          <w:color w:val="222222"/>
          <w:sz w:val="24"/>
          <w:szCs w:val="24"/>
          <w:highlight w:val="white"/>
        </w:rPr>
        <w:t xml:space="preserve">, E., 2020. Costs and Profitability of Crops for Bioeconomy in the EU. </w:t>
      </w:r>
      <w:r>
        <w:rPr>
          <w:rFonts w:ascii="Times New Roman" w:eastAsia="Times New Roman" w:hAnsi="Times New Roman" w:cs="Times New Roman"/>
          <w:i/>
          <w:color w:val="222222"/>
          <w:sz w:val="24"/>
          <w:szCs w:val="24"/>
          <w:highlight w:val="white"/>
        </w:rPr>
        <w:t>Energies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13</w:t>
      </w:r>
      <w:r>
        <w:rPr>
          <w:rFonts w:ascii="Times New Roman" w:eastAsia="Times New Roman" w:hAnsi="Times New Roman" w:cs="Times New Roman"/>
          <w:color w:val="222222"/>
          <w:sz w:val="24"/>
          <w:szCs w:val="24"/>
          <w:highlight w:val="white"/>
        </w:rPr>
        <w:t>(5), p.1222.</w:t>
      </w:r>
    </w:p>
    <w:p w:rsidR="0045751E" w14:paraId="773A5D09" w14:textId="77777777">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Pointer, L.V. and Khoi, P.D., 2019. Predictors of return on assets and return on equity for banking and insurance companies on Vietnam stock exchange. </w:t>
      </w:r>
      <w:r>
        <w:rPr>
          <w:rFonts w:ascii="Times New Roman" w:eastAsia="Times New Roman" w:hAnsi="Times New Roman" w:cs="Times New Roman"/>
          <w:i/>
          <w:color w:val="222222"/>
          <w:sz w:val="24"/>
          <w:szCs w:val="24"/>
          <w:highlight w:val="white"/>
        </w:rPr>
        <w:t>Entrepreneurial Business and Economics Review</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7</w:t>
      </w:r>
      <w:r>
        <w:rPr>
          <w:rFonts w:ascii="Times New Roman" w:eastAsia="Times New Roman" w:hAnsi="Times New Roman" w:cs="Times New Roman"/>
          <w:color w:val="222222"/>
          <w:sz w:val="24"/>
          <w:szCs w:val="24"/>
          <w:highlight w:val="white"/>
        </w:rPr>
        <w:t>(4), pp.185-198.</w:t>
      </w:r>
    </w:p>
    <w:p w:rsidR="0045751E" w14:paraId="15101583" w14:textId="77777777">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Puri, G.D. and Jain, D., 2021. Fears, Challenges and Opportunities During COVID-19: A Frontliner’s Perspective in Healthcare System. </w:t>
      </w:r>
      <w:r>
        <w:rPr>
          <w:rFonts w:ascii="Times New Roman" w:eastAsia="Times New Roman" w:hAnsi="Times New Roman" w:cs="Times New Roman"/>
          <w:i/>
          <w:color w:val="222222"/>
          <w:sz w:val="24"/>
          <w:szCs w:val="24"/>
          <w:highlight w:val="white"/>
        </w:rPr>
        <w:t>Delineating Health and Health System: Mechanistic Insights into Covid 19 Complications</w:t>
      </w:r>
      <w:r>
        <w:rPr>
          <w:rFonts w:ascii="Times New Roman" w:eastAsia="Times New Roman" w:hAnsi="Times New Roman" w:cs="Times New Roman"/>
          <w:color w:val="222222"/>
          <w:sz w:val="24"/>
          <w:szCs w:val="24"/>
          <w:highlight w:val="white"/>
        </w:rPr>
        <w:t>, pp.483-494.</w:t>
      </w:r>
    </w:p>
    <w:p w:rsidR="0045751E" w14:paraId="25160427" w14:textId="77777777">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Saeed, S., 2022. Online action research in the Maldives amidst the Covid-19 pandemic: </w:t>
      </w:r>
      <w:r>
        <w:rPr>
          <w:rFonts w:ascii="Times New Roman" w:eastAsia="Times New Roman" w:hAnsi="Times New Roman" w:cs="Times New Roman"/>
          <w:color w:val="222222"/>
          <w:sz w:val="24"/>
          <w:szCs w:val="24"/>
          <w:highlight w:val="white"/>
        </w:rPr>
        <w:t>Unexpected</w:t>
      </w:r>
      <w:r>
        <w:rPr>
          <w:rFonts w:ascii="Times New Roman" w:eastAsia="Times New Roman" w:hAnsi="Times New Roman" w:cs="Times New Roman"/>
          <w:color w:val="222222"/>
          <w:sz w:val="24"/>
          <w:szCs w:val="24"/>
          <w:highlight w:val="white"/>
        </w:rPr>
        <w:t xml:space="preserve"> challenges. </w:t>
      </w:r>
      <w:r>
        <w:rPr>
          <w:rFonts w:ascii="Times New Roman" w:eastAsia="Times New Roman" w:hAnsi="Times New Roman" w:cs="Times New Roman"/>
          <w:i/>
          <w:color w:val="222222"/>
          <w:sz w:val="24"/>
          <w:szCs w:val="24"/>
          <w:highlight w:val="white"/>
        </w:rPr>
        <w:t>Waikato Journal of Education (2382-0373)</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27</w:t>
      </w:r>
      <w:r>
        <w:rPr>
          <w:rFonts w:ascii="Times New Roman" w:eastAsia="Times New Roman" w:hAnsi="Times New Roman" w:cs="Times New Roman"/>
          <w:color w:val="222222"/>
          <w:sz w:val="24"/>
          <w:szCs w:val="24"/>
          <w:highlight w:val="white"/>
        </w:rPr>
        <w:t>(2).</w:t>
      </w:r>
    </w:p>
    <w:p w:rsidR="0045751E" w14:paraId="58AA2388" w14:textId="77777777">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Schlegel, P.N., </w:t>
      </w:r>
      <w:r>
        <w:rPr>
          <w:rFonts w:ascii="Times New Roman" w:eastAsia="Times New Roman" w:hAnsi="Times New Roman" w:cs="Times New Roman"/>
          <w:color w:val="222222"/>
          <w:sz w:val="24"/>
          <w:szCs w:val="24"/>
          <w:highlight w:val="white"/>
        </w:rPr>
        <w:t>Sigman</w:t>
      </w:r>
      <w:r>
        <w:rPr>
          <w:rFonts w:ascii="Times New Roman" w:eastAsia="Times New Roman" w:hAnsi="Times New Roman" w:cs="Times New Roman"/>
          <w:color w:val="222222"/>
          <w:sz w:val="24"/>
          <w:szCs w:val="24"/>
          <w:highlight w:val="white"/>
        </w:rPr>
        <w:t xml:space="preserve">, M., </w:t>
      </w:r>
      <w:r>
        <w:rPr>
          <w:rFonts w:ascii="Times New Roman" w:eastAsia="Times New Roman" w:hAnsi="Times New Roman" w:cs="Times New Roman"/>
          <w:color w:val="222222"/>
          <w:sz w:val="24"/>
          <w:szCs w:val="24"/>
          <w:highlight w:val="white"/>
        </w:rPr>
        <w:t>Collura</w:t>
      </w:r>
      <w:r>
        <w:rPr>
          <w:rFonts w:ascii="Times New Roman" w:eastAsia="Times New Roman" w:hAnsi="Times New Roman" w:cs="Times New Roman"/>
          <w:color w:val="222222"/>
          <w:sz w:val="24"/>
          <w:szCs w:val="24"/>
          <w:highlight w:val="white"/>
        </w:rPr>
        <w:t xml:space="preserve">, B., De </w:t>
      </w:r>
      <w:r>
        <w:rPr>
          <w:rFonts w:ascii="Times New Roman" w:eastAsia="Times New Roman" w:hAnsi="Times New Roman" w:cs="Times New Roman"/>
          <w:color w:val="222222"/>
          <w:sz w:val="24"/>
          <w:szCs w:val="24"/>
          <w:highlight w:val="white"/>
        </w:rPr>
        <w:t>Jonge</w:t>
      </w:r>
      <w:r>
        <w:rPr>
          <w:rFonts w:ascii="Times New Roman" w:eastAsia="Times New Roman" w:hAnsi="Times New Roman" w:cs="Times New Roman"/>
          <w:color w:val="222222"/>
          <w:sz w:val="24"/>
          <w:szCs w:val="24"/>
          <w:highlight w:val="white"/>
        </w:rPr>
        <w:t xml:space="preserve">, C.J., Eisenberg, M.L., Lamb, D.J., Mulhall, J.P., </w:t>
      </w:r>
      <w:r>
        <w:rPr>
          <w:rFonts w:ascii="Times New Roman" w:eastAsia="Times New Roman" w:hAnsi="Times New Roman" w:cs="Times New Roman"/>
          <w:color w:val="222222"/>
          <w:sz w:val="24"/>
          <w:szCs w:val="24"/>
          <w:highlight w:val="white"/>
        </w:rPr>
        <w:t>Niederberger</w:t>
      </w:r>
      <w:r>
        <w:rPr>
          <w:rFonts w:ascii="Times New Roman" w:eastAsia="Times New Roman" w:hAnsi="Times New Roman" w:cs="Times New Roman"/>
          <w:color w:val="222222"/>
          <w:sz w:val="24"/>
          <w:szCs w:val="24"/>
          <w:highlight w:val="white"/>
        </w:rPr>
        <w:t xml:space="preserve">, C., </w:t>
      </w:r>
      <w:r>
        <w:rPr>
          <w:rFonts w:ascii="Times New Roman" w:eastAsia="Times New Roman" w:hAnsi="Times New Roman" w:cs="Times New Roman"/>
          <w:color w:val="222222"/>
          <w:sz w:val="24"/>
          <w:szCs w:val="24"/>
          <w:highlight w:val="white"/>
        </w:rPr>
        <w:t>Sandlow</w:t>
      </w:r>
      <w:r>
        <w:rPr>
          <w:rFonts w:ascii="Times New Roman" w:eastAsia="Times New Roman" w:hAnsi="Times New Roman" w:cs="Times New Roman"/>
          <w:color w:val="222222"/>
          <w:sz w:val="24"/>
          <w:szCs w:val="24"/>
          <w:highlight w:val="white"/>
        </w:rPr>
        <w:t xml:space="preserve">, J.I., Sokol, R.Z. and </w:t>
      </w:r>
      <w:r>
        <w:rPr>
          <w:rFonts w:ascii="Times New Roman" w:eastAsia="Times New Roman" w:hAnsi="Times New Roman" w:cs="Times New Roman"/>
          <w:color w:val="222222"/>
          <w:sz w:val="24"/>
          <w:szCs w:val="24"/>
          <w:highlight w:val="white"/>
        </w:rPr>
        <w:t>Spandorfer</w:t>
      </w:r>
      <w:r>
        <w:rPr>
          <w:rFonts w:ascii="Times New Roman" w:eastAsia="Times New Roman" w:hAnsi="Times New Roman" w:cs="Times New Roman"/>
          <w:color w:val="222222"/>
          <w:sz w:val="24"/>
          <w:szCs w:val="24"/>
          <w:highlight w:val="white"/>
        </w:rPr>
        <w:t xml:space="preserve">, S.D., 2021. Diagnosis and treatment of infertility in men: AUA/ASRM guideline part I. </w:t>
      </w:r>
      <w:r>
        <w:rPr>
          <w:rFonts w:ascii="Times New Roman" w:eastAsia="Times New Roman" w:hAnsi="Times New Roman" w:cs="Times New Roman"/>
          <w:i/>
          <w:color w:val="222222"/>
          <w:sz w:val="24"/>
          <w:szCs w:val="24"/>
          <w:highlight w:val="white"/>
        </w:rPr>
        <w:t>The Journal of urology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205</w:t>
      </w:r>
      <w:r>
        <w:rPr>
          <w:rFonts w:ascii="Times New Roman" w:eastAsia="Times New Roman" w:hAnsi="Times New Roman" w:cs="Times New Roman"/>
          <w:color w:val="222222"/>
          <w:sz w:val="24"/>
          <w:szCs w:val="24"/>
          <w:highlight w:val="white"/>
        </w:rPr>
        <w:t>(1), pp.36-43.</w:t>
      </w:r>
    </w:p>
    <w:p w:rsidR="0045751E" w14:paraId="122210AB" w14:textId="77777777">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Shankar, K.V., Manu, K., Raj, A.N., Mukund, A., Nair, A.S., </w:t>
      </w:r>
      <w:r>
        <w:rPr>
          <w:rFonts w:ascii="Times New Roman" w:eastAsia="Times New Roman" w:hAnsi="Times New Roman" w:cs="Times New Roman"/>
          <w:color w:val="222222"/>
          <w:sz w:val="24"/>
          <w:szCs w:val="24"/>
          <w:highlight w:val="white"/>
        </w:rPr>
        <w:t>Nived</w:t>
      </w:r>
      <w:r>
        <w:rPr>
          <w:rFonts w:ascii="Times New Roman" w:eastAsia="Times New Roman" w:hAnsi="Times New Roman" w:cs="Times New Roman"/>
          <w:color w:val="222222"/>
          <w:sz w:val="24"/>
          <w:szCs w:val="24"/>
          <w:highlight w:val="white"/>
        </w:rPr>
        <w:t xml:space="preserve">, S. and Premkumar, A., 2021. </w:t>
      </w:r>
      <w:r>
        <w:rPr>
          <w:rFonts w:ascii="Times New Roman" w:eastAsia="Times New Roman" w:hAnsi="Times New Roman" w:cs="Times New Roman"/>
          <w:color w:val="222222"/>
          <w:sz w:val="24"/>
          <w:szCs w:val="24"/>
          <w:highlight w:val="white"/>
        </w:rPr>
        <w:t>Solutionising</w:t>
      </w:r>
      <w:r>
        <w:rPr>
          <w:rFonts w:ascii="Times New Roman" w:eastAsia="Times New Roman" w:hAnsi="Times New Roman" w:cs="Times New Roman"/>
          <w:color w:val="222222"/>
          <w:sz w:val="24"/>
          <w:szCs w:val="24"/>
          <w:highlight w:val="white"/>
        </w:rPr>
        <w:t xml:space="preserve"> temperature influence on the morphological and mechanical characteristics of Al–Si–Mg–Ni hypoeutectic alloys. </w:t>
      </w:r>
      <w:r>
        <w:rPr>
          <w:rFonts w:ascii="Times New Roman" w:eastAsia="Times New Roman" w:hAnsi="Times New Roman" w:cs="Times New Roman"/>
          <w:i/>
          <w:color w:val="222222"/>
          <w:sz w:val="24"/>
          <w:szCs w:val="24"/>
          <w:highlight w:val="white"/>
        </w:rPr>
        <w:t>Journal of The Institution of Engineers (India): Series D</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102</w:t>
      </w:r>
      <w:r>
        <w:rPr>
          <w:rFonts w:ascii="Times New Roman" w:eastAsia="Times New Roman" w:hAnsi="Times New Roman" w:cs="Times New Roman"/>
          <w:color w:val="222222"/>
          <w:sz w:val="24"/>
          <w:szCs w:val="24"/>
          <w:highlight w:val="white"/>
        </w:rPr>
        <w:t>, pp.131-148.</w:t>
      </w:r>
    </w:p>
    <w:p w:rsidR="0045751E" w14:paraId="3FE6380D" w14:textId="77777777">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Stephenson, B.J.K. and Willett, W.C., 2023. Racial and ethnic heterogeneity in diets of low-income adult females in the United States: results from National Health and Nutrition Examination Surveys from 2011 to 2018. </w:t>
      </w:r>
      <w:r>
        <w:rPr>
          <w:rFonts w:ascii="Times New Roman" w:eastAsia="Times New Roman" w:hAnsi="Times New Roman" w:cs="Times New Roman"/>
          <w:i/>
          <w:color w:val="222222"/>
          <w:sz w:val="24"/>
          <w:szCs w:val="24"/>
          <w:highlight w:val="white"/>
        </w:rPr>
        <w:t>The American Journal of Clinical Nutrition</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117</w:t>
      </w:r>
      <w:r>
        <w:rPr>
          <w:rFonts w:ascii="Times New Roman" w:eastAsia="Times New Roman" w:hAnsi="Times New Roman" w:cs="Times New Roman"/>
          <w:color w:val="222222"/>
          <w:sz w:val="24"/>
          <w:szCs w:val="24"/>
          <w:highlight w:val="white"/>
        </w:rPr>
        <w:t>(3), pp.625-634.</w:t>
      </w:r>
    </w:p>
    <w:p w:rsidR="0045751E" w14:paraId="7E0132F2" w14:textId="77777777">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Tian, H., Liu, Y., Li, Y., Wu, C.H., Chen, B., Kraemer, M.U., Li, B., Cai, J., Xu, B., Yang, Q. and Wang, B., 2020. An investigation of transmission control measures during the first 50 days of the COVID-19 epidemic in China. </w:t>
      </w:r>
      <w:r>
        <w:rPr>
          <w:rFonts w:ascii="Times New Roman" w:eastAsia="Times New Roman" w:hAnsi="Times New Roman" w:cs="Times New Roman"/>
          <w:i/>
          <w:color w:val="222222"/>
          <w:sz w:val="24"/>
          <w:szCs w:val="24"/>
          <w:highlight w:val="white"/>
        </w:rPr>
        <w:t>Science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368</w:t>
      </w:r>
      <w:r>
        <w:rPr>
          <w:rFonts w:ascii="Times New Roman" w:eastAsia="Times New Roman" w:hAnsi="Times New Roman" w:cs="Times New Roman"/>
          <w:color w:val="222222"/>
          <w:sz w:val="24"/>
          <w:szCs w:val="24"/>
          <w:highlight w:val="white"/>
        </w:rPr>
        <w:t>(6491), pp.638-642.</w:t>
      </w:r>
    </w:p>
    <w:p w:rsidR="0045751E" w14:paraId="0F0C6128" w14:textId="77777777">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Tomasello</w:t>
      </w:r>
      <w:r>
        <w:rPr>
          <w:rFonts w:ascii="Times New Roman" w:eastAsia="Times New Roman" w:hAnsi="Times New Roman" w:cs="Times New Roman"/>
          <w:color w:val="222222"/>
          <w:sz w:val="24"/>
          <w:szCs w:val="24"/>
          <w:highlight w:val="white"/>
        </w:rPr>
        <w:t xml:space="preserve">, M., 2020. The moral psychology of obligation. </w:t>
      </w:r>
      <w:r>
        <w:rPr>
          <w:rFonts w:ascii="Times New Roman" w:eastAsia="Times New Roman" w:hAnsi="Times New Roman" w:cs="Times New Roman"/>
          <w:i/>
          <w:color w:val="222222"/>
          <w:sz w:val="24"/>
          <w:szCs w:val="24"/>
          <w:highlight w:val="white"/>
        </w:rPr>
        <w:t>Behavioral</w:t>
      </w:r>
      <w:r>
        <w:rPr>
          <w:rFonts w:ascii="Times New Roman" w:eastAsia="Times New Roman" w:hAnsi="Times New Roman" w:cs="Times New Roman"/>
          <w:i/>
          <w:color w:val="222222"/>
          <w:sz w:val="24"/>
          <w:szCs w:val="24"/>
          <w:highlight w:val="white"/>
        </w:rPr>
        <w:t xml:space="preserve"> and Brain Sciences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43</w:t>
      </w:r>
      <w:r>
        <w:rPr>
          <w:rFonts w:ascii="Times New Roman" w:eastAsia="Times New Roman" w:hAnsi="Times New Roman" w:cs="Times New Roman"/>
          <w:color w:val="222222"/>
          <w:sz w:val="24"/>
          <w:szCs w:val="24"/>
          <w:highlight w:val="white"/>
        </w:rPr>
        <w:t>, p.e56.</w:t>
      </w:r>
    </w:p>
    <w:p w:rsidR="0045751E" w14:paraId="68F7FD17" w14:textId="77777777">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Vredenburg, J., </w:t>
      </w:r>
      <w:r>
        <w:rPr>
          <w:rFonts w:ascii="Times New Roman" w:eastAsia="Times New Roman" w:hAnsi="Times New Roman" w:cs="Times New Roman"/>
          <w:color w:val="222222"/>
          <w:sz w:val="24"/>
          <w:szCs w:val="24"/>
          <w:highlight w:val="white"/>
        </w:rPr>
        <w:t>Kapitan</w:t>
      </w:r>
      <w:r>
        <w:rPr>
          <w:rFonts w:ascii="Times New Roman" w:eastAsia="Times New Roman" w:hAnsi="Times New Roman" w:cs="Times New Roman"/>
          <w:color w:val="222222"/>
          <w:sz w:val="24"/>
          <w:szCs w:val="24"/>
          <w:highlight w:val="white"/>
        </w:rPr>
        <w:t xml:space="preserve">, S., Spry, A. and Kemper, J.A., 2020. Brands taking a stand: Authentic brand activism or woke </w:t>
      </w:r>
      <w:r>
        <w:rPr>
          <w:rFonts w:ascii="Times New Roman" w:eastAsia="Times New Roman" w:hAnsi="Times New Roman" w:cs="Times New Roman"/>
          <w:color w:val="222222"/>
          <w:sz w:val="24"/>
          <w:szCs w:val="24"/>
          <w:highlight w:val="white"/>
        </w:rPr>
        <w:t>washing?.</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Journal of public policy &amp; marketing</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39</w:t>
      </w:r>
      <w:r>
        <w:rPr>
          <w:rFonts w:ascii="Times New Roman" w:eastAsia="Times New Roman" w:hAnsi="Times New Roman" w:cs="Times New Roman"/>
          <w:color w:val="222222"/>
          <w:sz w:val="24"/>
          <w:szCs w:val="24"/>
          <w:highlight w:val="white"/>
        </w:rPr>
        <w:t>(4), pp.444-460.</w:t>
      </w:r>
    </w:p>
    <w:p w:rsidR="004C1BA3" w14:paraId="0000005A" w14:textId="77777777">
      <w:pPr>
        <w:spacing w:after="240" w:line="360" w:lineRule="auto"/>
        <w:jc w:val="both"/>
        <w:rPr>
          <w:rFonts w:ascii="Times New Roman" w:eastAsia="Times New Roman" w:hAnsi="Times New Roman" w:cs="Times New Roman"/>
          <w:sz w:val="24"/>
          <w:szCs w:val="24"/>
        </w:rPr>
      </w:pPr>
    </w:p>
    <w:p w:rsidR="004C1BA3" w14:paraId="0000005B" w14:textId="77777777">
      <w:pPr>
        <w:spacing w:line="360" w:lineRule="auto"/>
        <w:jc w:val="both"/>
        <w:rPr>
          <w:rFonts w:ascii="Times New Roman" w:eastAsia="Times New Roman" w:hAnsi="Times New Roman" w:cs="Times New Roman"/>
          <w:sz w:val="24"/>
          <w:szCs w:val="24"/>
        </w:rPr>
      </w:pPr>
    </w:p>
    <w:p w:rsidR="004C1BA3" w14:paraId="0000005C" w14:textId="77777777">
      <w:pPr>
        <w:spacing w:line="360" w:lineRule="auto"/>
        <w:jc w:val="both"/>
        <w:rPr>
          <w:rFonts w:ascii="Times New Roman" w:eastAsia="Times New Roman" w:hAnsi="Times New Roman" w:cs="Times New Roman"/>
          <w:b/>
          <w:sz w:val="24"/>
          <w:szCs w:val="24"/>
        </w:rPr>
      </w:pPr>
    </w:p>
    <w:p w:rsidR="004C1BA3" w14:paraId="0000005D" w14:textId="77777777">
      <w:pPr>
        <w:spacing w:line="360" w:lineRule="auto"/>
        <w:jc w:val="both"/>
        <w:rPr>
          <w:rFonts w:ascii="Times New Roman" w:eastAsia="Times New Roman" w:hAnsi="Times New Roman" w:cs="Times New Roman"/>
          <w:b/>
          <w:sz w:val="24"/>
          <w:szCs w:val="24"/>
        </w:rPr>
      </w:pPr>
    </w:p>
    <w:p w:rsidR="004C1BA3" w14:paraId="0000005E" w14:textId="77777777">
      <w:pPr>
        <w:spacing w:line="360" w:lineRule="auto"/>
        <w:jc w:val="both"/>
        <w:rPr>
          <w:rFonts w:ascii="Times New Roman" w:eastAsia="Times New Roman" w:hAnsi="Times New Roman" w:cs="Times New Roman"/>
          <w:b/>
          <w:sz w:val="24"/>
          <w:szCs w:val="24"/>
        </w:rPr>
      </w:pPr>
    </w:p>
    <w:sectPr w:rsidSect="0045751E">
      <w:footerReference w:type="default" r:id="rId5"/>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338386406"/>
      <w:docPartObj>
        <w:docPartGallery w:val="Page Numbers (Bottom of Page)"/>
        <w:docPartUnique/>
      </w:docPartObj>
    </w:sdtPr>
    <w:sdtEndPr>
      <w:rPr>
        <w:noProof/>
      </w:rPr>
    </w:sdtEndPr>
    <w:sdtContent>
      <w:p w:rsidR="0045751E" w14:paraId="011539E5" w14:textId="001ED77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5751E" w14:paraId="190FB252" w14:textId="77777777">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BA3"/>
    <w:rsid w:val="0045751E"/>
    <w:rsid w:val="004C1BA3"/>
    <w:rsid w:val="00DE0582"/>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4:docId w14:val="77BDCBAD"/>
  <w15:docId w15:val="{7BA8E943-DC40-414F-B459-788450076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rsid w:val="0045751E"/>
    <w:pPr>
      <w:spacing w:after="240" w:line="360" w:lineRule="auto"/>
      <w:jc w:val="both"/>
      <w:outlineLvl w:val="0"/>
    </w:pPr>
    <w:rPr>
      <w:rFonts w:ascii="Times New Roman" w:eastAsia="Times New Roman" w:hAnsi="Times New Roman" w:cs="Times New Roman"/>
      <w:b/>
      <w:sz w:val="24"/>
      <w:szCs w:val="24"/>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5751E"/>
    <w:pPr>
      <w:tabs>
        <w:tab w:val="center" w:pos="4513"/>
        <w:tab w:val="right" w:pos="9026"/>
      </w:tabs>
      <w:spacing w:line="240" w:lineRule="auto"/>
    </w:pPr>
  </w:style>
  <w:style w:type="character" w:customStyle="1" w:styleId="HeaderChar">
    <w:name w:val="Header Char"/>
    <w:basedOn w:val="DefaultParagraphFont"/>
    <w:link w:val="Header"/>
    <w:uiPriority w:val="99"/>
    <w:rsid w:val="0045751E"/>
  </w:style>
  <w:style w:type="paragraph" w:styleId="Footer">
    <w:name w:val="footer"/>
    <w:basedOn w:val="Normal"/>
    <w:link w:val="FooterChar"/>
    <w:uiPriority w:val="99"/>
    <w:unhideWhenUsed/>
    <w:rsid w:val="0045751E"/>
    <w:pPr>
      <w:tabs>
        <w:tab w:val="center" w:pos="4513"/>
        <w:tab w:val="right" w:pos="9026"/>
      </w:tabs>
      <w:spacing w:line="240" w:lineRule="auto"/>
    </w:pPr>
  </w:style>
  <w:style w:type="character" w:customStyle="1" w:styleId="FooterChar">
    <w:name w:val="Footer Char"/>
    <w:basedOn w:val="DefaultParagraphFont"/>
    <w:link w:val="Footer"/>
    <w:uiPriority w:val="99"/>
    <w:rsid w:val="0045751E"/>
  </w:style>
  <w:style w:type="paragraph" w:styleId="TOCHeading">
    <w:name w:val="TOC Heading"/>
    <w:basedOn w:val="Heading1"/>
    <w:next w:val="Normal"/>
    <w:uiPriority w:val="39"/>
    <w:unhideWhenUsed/>
    <w:qFormat/>
    <w:rsid w:val="0045751E"/>
    <w:pPr>
      <w:keepNext/>
      <w:keepLines/>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45751E"/>
    <w:pPr>
      <w:spacing w:after="100"/>
    </w:pPr>
  </w:style>
  <w:style w:type="character" w:styleId="Hyperlink">
    <w:name w:val="Hyperlink"/>
    <w:basedOn w:val="DefaultParagraphFont"/>
    <w:uiPriority w:val="99"/>
    <w:unhideWhenUsed/>
    <w:rsid w:val="004575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15C0A-6809-409E-9319-6A57D5C70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13</Pages>
  <Words>3718</Words>
  <Characters>21196</Characters>
  <Application>Microsoft Office Word</Application>
  <DocSecurity>0</DocSecurity>
  <Lines>176</Lines>
  <Paragraphs>49</Paragraphs>
  <ScaleCrop>false</ScaleCrop>
  <Company/>
  <LinksUpToDate>false</LinksUpToDate>
  <CharactersWithSpaces>24865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created xsi:type="dcterms:W3CDTF">2023-04-25T18:54:00Z</dcterms:created>
  <dcterms:modified xsi:type="dcterms:W3CDTF">2023-04-25T19:03:00Z</dcterms:modified>
</cp:coreProperties>
</file>