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3F2553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D90349" w:rsidRPr="00D02337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RECORDING BUSINESS TRANSACTIONS</w:t>
      </w:r>
    </w:p>
    <w:p w:rsidR="00D90349" w:rsidRPr="00D02337">
      <w:pPr>
        <w:pStyle w:val="Heading1"/>
        <w:rPr>
          <w:lang w:val="en-GB"/>
        </w:rPr>
      </w:pPr>
      <w:bookmarkStart w:id="0" w:name="_1291l0j65vug" w:colFirst="0" w:colLast="0"/>
      <w:bookmarkEnd w:id="0"/>
      <w:r w:rsidRPr="00D02337">
        <w:rPr>
          <w:lang w:val="en-GB"/>
        </w:rPr>
        <w:br w:type="page"/>
      </w:r>
    </w:p>
    <w:bookmarkStart w:id="1" w:name="_dhgxlo9zusm7" w:colFirst="0" w:colLast="0" w:displacedByCustomXml="next"/>
    <w:bookmarkEnd w:id="1" w:displacedByCustomXml="next"/>
    <w:sdt>
      <w:sdtPr>
        <w:rPr>
          <w:rFonts w:ascii="Times New Roman" w:hAnsi="Times New Roman" w:cs="Times New Roman"/>
          <w:color w:val="auto"/>
          <w:lang w:val="en-GB"/>
        </w:rPr>
        <w:id w:val="1092839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sz w:val="22"/>
          <w:szCs w:val="22"/>
        </w:rPr>
      </w:sdtEndPr>
      <w:sdtContent>
        <w:p w:rsidR="00B7208E" w:rsidRPr="003F2553" w:rsidP="003F2553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en-GB"/>
            </w:rPr>
          </w:pPr>
          <w:r w:rsidRPr="003F2553">
            <w:rPr>
              <w:rFonts w:ascii="Times New Roman" w:hAnsi="Times New Roman" w:cs="Times New Roman"/>
              <w:color w:val="auto"/>
              <w:lang w:val="en-GB"/>
            </w:rPr>
            <w:t>Table of Contents</w:t>
          </w:r>
        </w:p>
        <w:p w:rsidR="003F2553" w:rsidRPr="003F2553">
          <w:pPr>
            <w:pStyle w:val="TOC1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r w:rsidRPr="00D02337">
            <w:rPr>
              <w:lang w:val="en-GB"/>
            </w:rPr>
            <w:fldChar w:fldCharType="begin"/>
          </w:r>
          <w:r w:rsidRPr="00D02337">
            <w:rPr>
              <w:lang w:val="en-GB"/>
            </w:rPr>
            <w:instrText xml:space="preserve"> TOC \o "1-3" \h \z \u </w:instrText>
          </w:r>
          <w:r w:rsidRPr="00D02337">
            <w:rPr>
              <w:lang w:val="en-GB"/>
            </w:rPr>
            <w:fldChar w:fldCharType="separate"/>
          </w:r>
          <w:hyperlink w:anchor="_Toc133496591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Part A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_Toc133496591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2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2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Advantages and disadvantages of each type of business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_Toc133496592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2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3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Identification of 5 steps to starting a new business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_Toc133496593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1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4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Part B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_Toc133496594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1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5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1. Journal Entries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_Toc133496595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2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6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a. Trial Balance preparation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_Toc133496596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2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7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b. Benefits and Limitations of Trial Balance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_Toc133496597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2553" w:rsidRPr="003F2553">
          <w:pPr>
            <w:pStyle w:val="TOC1"/>
            <w:tabs>
              <w:tab w:val="right" w:leader="dot" w:pos="9019"/>
            </w:tabs>
            <w:rPr>
              <w:rFonts w:ascii="Times New Roman" w:hAnsi="Times New Roman" w:eastAsiaTheme="minorEastAsia" w:cs="Times New Roman"/>
              <w:noProof/>
              <w:sz w:val="24"/>
              <w:szCs w:val="24"/>
            </w:rPr>
          </w:pPr>
          <w:hyperlink w:anchor="_Toc133496598" w:history="1">
            <w:r w:rsidRPr="003F255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Reference list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_Toc133496598 \h </w:instrTex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F25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08E" w:rsidRPr="00D02337">
          <w:pPr>
            <w:rPr>
              <w:lang w:val="en-GB"/>
            </w:rPr>
          </w:pPr>
          <w:r w:rsidRPr="00D02337">
            <w:rPr>
              <w:lang w:val="en-GB"/>
            </w:rPr>
            <w:fldChar w:fldCharType="end"/>
          </w:r>
        </w:p>
      </w:sdtContent>
    </w:sdt>
    <w:p w:rsidR="00B7208E" w:rsidRPr="00D02337">
      <w:pPr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D02337">
        <w:rPr>
          <w:lang w:val="en-GB"/>
        </w:rPr>
        <w:br w:type="page"/>
      </w:r>
    </w:p>
    <w:p w:rsidR="00D90349" w:rsidRPr="00D02337">
      <w:pPr>
        <w:pStyle w:val="Heading1"/>
        <w:spacing w:line="360" w:lineRule="auto"/>
        <w:jc w:val="both"/>
        <w:rPr>
          <w:lang w:val="en-GB"/>
        </w:rPr>
      </w:pPr>
      <w:bookmarkStart w:id="2" w:name="_Toc133496591"/>
      <w:r w:rsidRPr="00D02337">
        <w:rPr>
          <w:lang w:val="en-GB"/>
        </w:rPr>
        <w:t>Part A</w:t>
      </w:r>
      <w:bookmarkEnd w:id="2"/>
    </w:p>
    <w:p w:rsidR="00D90349" w:rsidRPr="00D02337" w:rsidP="00E76A13">
      <w:pPr>
        <w:pStyle w:val="Heading2"/>
        <w:spacing w:line="360" w:lineRule="auto"/>
        <w:jc w:val="both"/>
        <w:rPr>
          <w:lang w:val="en-GB"/>
        </w:rPr>
      </w:pPr>
      <w:bookmarkStart w:id="3" w:name="_swfmtpvzdsto" w:colFirst="0" w:colLast="0"/>
      <w:bookmarkStart w:id="4" w:name="_Toc133496592"/>
      <w:bookmarkEnd w:id="3"/>
      <w:r w:rsidRPr="00D02337">
        <w:rPr>
          <w:lang w:val="en-GB"/>
        </w:rPr>
        <w:t>Advantages and disadvantages of each type of business</w:t>
      </w:r>
      <w:bookmarkEnd w:id="4"/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Sole-trader ship advantages</w:t>
      </w:r>
    </w:p>
    <w:p w:rsidR="00D90349" w:rsidRPr="00D02337" w:rsidP="00E76A13">
      <w:pPr>
        <w:pStyle w:val="normal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Complete control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In a solo trader ship business, the owner can get full control without having any shareholders or directors in the equation (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Phillipson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et al.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, 2019)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. In addition to this, the freedom of making choices and decisions can also be obtained while doing this ki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nd of business.</w:t>
      </w:r>
    </w:p>
    <w:p w:rsidR="00D90349" w:rsidRPr="00D02337" w:rsidP="00E76A13">
      <w:pPr>
        <w:pStyle w:val="normal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Simple registration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registration process for this type of business is very simple along with its legal requirements. The only registration that a sole trader needs to do is to be registered as self-employed for tax purposes. </w:t>
      </w:r>
    </w:p>
    <w:p w:rsidR="00D90349" w:rsidRPr="00D02337" w:rsidP="00E76A13">
      <w:pPr>
        <w:pStyle w:val="normal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Financiall</w:t>
      </w: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y rewarding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Based on the fact that a sole trader ship does not require any other owners in order to do a business or to share the profit, it is considered to be more financially rewarding than other forms of business (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Cribb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et al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., 2019)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</w:p>
    <w:p w:rsidR="00D90349" w:rsidRPr="00D02337" w:rsidP="00E76A13">
      <w:pPr>
        <w:pStyle w:val="normal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Fewer tax responsibilities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In sole trader ship, tax responsibilities are relatively straight forward and there is no existence of paying corporation tax based on the fact that the business is not incorporated. Additionally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,  sole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traders need to submit the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self-assessment tax return on an annual basis. 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Disadvantages</w:t>
      </w:r>
    </w:p>
    <w:p w:rsidR="00D90349" w:rsidRPr="00D02337" w:rsidP="00E76A13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Unlimited liabilities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Liability issues are considered to be the biggest challenge of doing sole trader ship business which means being responsible for any kind of debts and losses for doing bus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iness (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Travis, 2019)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. In times of financial difficulties, personal assets can also be at risk.</w:t>
      </w:r>
    </w:p>
    <w:p w:rsidR="00D90349" w:rsidRPr="00D02337" w:rsidP="00E76A13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Sole responsibility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Although, Having full control of the business is considered to be the biggest advantage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,  on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other hand being responsible and accountable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everything can taken to be a significant issue. 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Partnership-advantages</w:t>
      </w:r>
    </w:p>
    <w:p w:rsidR="00D90349" w:rsidRPr="00D02337" w:rsidP="00E76A13">
      <w:pPr>
        <w:pStyle w:val="normal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Less formal with fewer legal obligations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accounting process is simpler in this business, where a partnership tax return needs to be submitted. </w:t>
      </w:r>
    </w:p>
    <w:p w:rsidR="00D90349" w:rsidRPr="00D02337" w:rsidP="00E76A13">
      <w:pPr>
        <w:pStyle w:val="normal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Access to knowledge and skills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Each partner is able to bring new knowledge and expertise that can provide a better chance of being successful. </w:t>
      </w:r>
    </w:p>
    <w:p w:rsidR="00D90349" w:rsidRPr="00D02337" w:rsidP="00E76A13">
      <w:pPr>
        <w:pStyle w:val="normal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Better decision making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In comparison to sole trader ship, this type of business can be benefitted from the unique perspectives of partners that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can enhance the decision-making process (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MacDonald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et al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., 2022)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</w:p>
    <w:p w:rsidR="00D90349" w:rsidRPr="00D02337" w:rsidP="00E76A13">
      <w:pPr>
        <w:pStyle w:val="normal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Privacy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comparison to limited organisations, the activities of partnership businesses have the ability to maintain confidentiality. 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Disadvantages</w:t>
      </w:r>
    </w:p>
    <w:p w:rsidR="00D90349" w:rsidRPr="00D02337" w:rsidP="00E76A1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Limited access to capital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It becomes q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uite difficult for the partnership business the process of raising money in comparison to a limited company.</w:t>
      </w:r>
    </w:p>
    <w:p w:rsidR="00D90349" w:rsidRPr="00D02337" w:rsidP="00E76A1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Conflict development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Conflict issues are known to be one of the biggest challenges for partnerships business and each of the partners needs to demonstrate compromise and flexibility.</w:t>
      </w:r>
    </w:p>
    <w:p w:rsidR="00D90349" w:rsidRPr="00D02337" w:rsidP="00E76A1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Unlimited liability</w:t>
      </w:r>
    </w:p>
    <w:p w:rsidR="00D90349" w:rsidRPr="00D02337" w:rsidP="00E76A13">
      <w:pPr>
        <w:pStyle w:val="normal0"/>
        <w:spacing w:line="360" w:lineRule="auto"/>
        <w:jc w:val="both"/>
        <w:rPr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Based on the fact that these businesses do not have separate legal persona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lities, all the partners are liable for losses and debts personally. </w:t>
      </w:r>
    </w:p>
    <w:p w:rsidR="00D90349" w:rsidRPr="00D02337" w:rsidP="00E76A13">
      <w:pPr>
        <w:pStyle w:val="Heading2"/>
        <w:spacing w:line="360" w:lineRule="auto"/>
        <w:jc w:val="both"/>
        <w:rPr>
          <w:lang w:val="en-GB"/>
        </w:rPr>
      </w:pPr>
      <w:bookmarkStart w:id="5" w:name="_nguaxvbdfypu" w:colFirst="0" w:colLast="0"/>
      <w:bookmarkStart w:id="6" w:name="_Toc133496593"/>
      <w:bookmarkEnd w:id="5"/>
      <w:r w:rsidRPr="00D02337">
        <w:rPr>
          <w:lang w:val="en-GB"/>
        </w:rPr>
        <w:t>Identification of 5 steps to starting a new business</w:t>
      </w:r>
      <w:bookmarkEnd w:id="6"/>
    </w:p>
    <w:p w:rsidR="00D90349" w:rsidRPr="00D02337" w:rsidP="00E76A13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Conducting market research and writing a business plan.</w:t>
      </w:r>
    </w:p>
    <w:p w:rsidR="00D90349" w:rsidRPr="00D02337" w:rsidP="00E76A13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Funding the business and choosing a structure.</w:t>
      </w:r>
    </w:p>
    <w:p w:rsidR="00D90349" w:rsidRPr="00D02337" w:rsidP="00E76A13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Selection of the business name</w:t>
      </w:r>
    </w:p>
    <w:p w:rsidR="00D90349" w:rsidRPr="00D02337" w:rsidP="00E76A13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Doing registration of the business.</w:t>
      </w:r>
    </w:p>
    <w:p w:rsidR="00D90349" w:rsidRPr="00D02337" w:rsidP="00E76A13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Getting state and federal tax IDs. </w:t>
      </w:r>
    </w:p>
    <w:p w:rsidR="00D90349" w:rsidRPr="00D02337">
      <w:pPr>
        <w:pStyle w:val="normal0"/>
        <w:rPr>
          <w:lang w:val="en-GB"/>
        </w:rPr>
      </w:pPr>
    </w:p>
    <w:p w:rsidR="00D90349" w:rsidRPr="00D02337">
      <w:pPr>
        <w:pStyle w:val="Heading1"/>
        <w:spacing w:line="360" w:lineRule="auto"/>
        <w:jc w:val="both"/>
        <w:rPr>
          <w:lang w:val="en-GB"/>
        </w:rPr>
      </w:pPr>
      <w:bookmarkStart w:id="7" w:name="_2frd519lfce1" w:colFirst="0" w:colLast="0"/>
      <w:bookmarkStart w:id="8" w:name="_Toc133496594"/>
      <w:bookmarkEnd w:id="7"/>
      <w:r w:rsidRPr="00D02337">
        <w:rPr>
          <w:lang w:val="en-GB"/>
        </w:rPr>
        <w:t>Part B</w:t>
      </w:r>
      <w:bookmarkEnd w:id="8"/>
    </w:p>
    <w:p w:rsidR="00D90349" w:rsidRPr="00D02337" w:rsidP="00B7208E">
      <w:pPr>
        <w:pStyle w:val="Heading1"/>
        <w:rPr>
          <w:lang w:val="en-GB"/>
        </w:rPr>
      </w:pPr>
      <w:bookmarkStart w:id="9" w:name="_Toc133496595"/>
      <w:r w:rsidRPr="00D02337">
        <w:rPr>
          <w:lang w:val="en-GB"/>
        </w:rPr>
        <w:t>1. Journal Entries</w:t>
      </w:r>
      <w:bookmarkEnd w:id="9"/>
    </w:p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the books of 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Kavan</w:t>
      </w:r>
    </w:p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Journal Entries for the year ended March 2021</w:t>
      </w:r>
    </w:p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"/>
        <w:tblW w:w="74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45"/>
        <w:gridCol w:w="4905"/>
        <w:gridCol w:w="945"/>
        <w:gridCol w:w="945"/>
      </w:tblGrid>
      <w:tr>
        <w:tblPrEx>
          <w:tblW w:w="744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00"/>
        </w:tblPrEx>
        <w:trPr>
          <w:cantSplit/>
          <w:trHeight w:val="615"/>
          <w:tblHeader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Particulars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Amount</w:t>
            </w:r>
          </w:p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Dr. (£)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Amount</w:t>
            </w:r>
          </w:p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Cr. (£)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Purchase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Y and Co.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61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goods worth £60000 purchased</w:t>
            </w:r>
          </w:p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from Y and Co on credit)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 and Co.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Sales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61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goods worth £30000 sold to D</w:t>
            </w:r>
          </w:p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and Co. on credit)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Y and Co.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Bank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61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payment made to Y and Co through</w:t>
            </w:r>
          </w:p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bank)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Bills Receivable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D and Co.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bills accepted by D and Co worth £30000)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Sales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credit sales performed to L worth £20000)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06/03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Sales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goods sold to M worth £40000 on credit)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07/03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Bank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39000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M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sz w:val="20"/>
                <w:szCs w:val="20"/>
                <w:lang w:val="en-GB"/>
              </w:rPr>
              <w:t>39000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61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cheque received from M and deposited</w:t>
            </w:r>
          </w:p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the bank)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Y and Co.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Purchase Return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center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goods returned to Y and Co. worth £2000)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Cash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sz w:val="20"/>
                <w:szCs w:val="20"/>
                <w:lang w:val="en-GB"/>
              </w:rPr>
              <w:t>18000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Bad debt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sz w:val="20"/>
                <w:szCs w:val="20"/>
                <w:lang w:val="en-GB"/>
              </w:rPr>
              <w:t>2000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L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sz w:val="20"/>
                <w:szCs w:val="20"/>
                <w:lang w:val="en-GB"/>
              </w:rPr>
              <w:t>20000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61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L became insolvent and £18000 is</w:t>
            </w:r>
          </w:p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received as final settlement)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10/3</w:t>
            </w: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Sales Return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sz w:val="20"/>
                <w:szCs w:val="20"/>
                <w:lang w:val="en-GB"/>
              </w:rPr>
              <w:t>1000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M A/c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sz w:val="20"/>
                <w:szCs w:val="20"/>
                <w:lang w:val="en-GB"/>
              </w:rPr>
              <w:t>1000</w:t>
            </w:r>
          </w:p>
        </w:tc>
      </w:tr>
      <w:tr>
        <w:tblPrEx>
          <w:tblW w:w="7440" w:type="dxa"/>
          <w:jc w:val="center"/>
          <w:tblLayout w:type="fixed"/>
          <w:tblLook w:val="0600"/>
        </w:tblPrEx>
        <w:trPr>
          <w:cantSplit/>
          <w:trHeight w:val="345"/>
          <w:tblHeader/>
          <w:jc w:val="center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(Being goods returned by M worth £1000)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</w:tbl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Table 1: Journal entries</w:t>
      </w:r>
    </w:p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(Source: Created by self)</w:t>
      </w:r>
    </w:p>
    <w:p w:rsidR="00D90349" w:rsidRPr="00D0233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2.</w:t>
      </w:r>
      <w:r w:rsidRPr="00D02337" w:rsidR="00B7208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Trial Balance</w:t>
      </w:r>
    </w:p>
    <w:p w:rsidR="00D90349" w:rsidRPr="00D02337" w:rsidP="00D02337">
      <w:pPr>
        <w:pStyle w:val="Heading2"/>
        <w:rPr>
          <w:lang w:val="en-GB"/>
        </w:rPr>
      </w:pPr>
      <w:bookmarkStart w:id="10" w:name="_Toc133496596"/>
      <w:r w:rsidRPr="00D02337">
        <w:rPr>
          <w:lang w:val="en-GB"/>
        </w:rPr>
        <w:t>a.</w:t>
      </w:r>
      <w:r w:rsidRPr="00D02337">
        <w:rPr>
          <w:lang w:val="en-GB"/>
        </w:rPr>
        <w:t xml:space="preserve"> </w:t>
      </w:r>
      <w:r w:rsidRPr="00D02337" w:rsidR="00D02337">
        <w:rPr>
          <w:lang w:val="en-GB"/>
        </w:rPr>
        <w:t>Trial Balance preparation</w:t>
      </w:r>
      <w:bookmarkEnd w:id="10"/>
    </w:p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In the books of ABC</w:t>
      </w:r>
    </w:p>
    <w:p w:rsidR="00D90349" w:rsidRPr="00D0233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Trial Balance as of 31st August 2021</w:t>
      </w:r>
    </w:p>
    <w:tbl>
      <w:tblPr>
        <w:tblStyle w:val="a0"/>
        <w:tblW w:w="57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60"/>
        <w:gridCol w:w="1800"/>
        <w:gridCol w:w="1800"/>
      </w:tblGrid>
      <w:tr>
        <w:tblPrEx>
          <w:tblW w:w="576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Particulars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Debit Balance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Credit Balance</w:t>
            </w: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Sales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41700</w:t>
            </w: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Purchases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34680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Receivables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6,790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Payables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5650</w:t>
            </w: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General expenses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12,760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Loan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10,000</w:t>
            </w: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Plant and Machinery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5,000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Motor Van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6,000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Drawings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2,000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Rent and rates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6,700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Insurance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4,000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Capital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20000</w:t>
            </w: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Bank Overdraft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580</w:t>
            </w:r>
          </w:p>
        </w:tc>
      </w:tr>
      <w:tr>
        <w:tblPrEx>
          <w:tblW w:w="5760" w:type="dxa"/>
          <w:jc w:val="center"/>
          <w:tblLayout w:type="fixed"/>
          <w:tblLook w:val="0600"/>
        </w:tblPrEx>
        <w:trPr>
          <w:cantSplit/>
          <w:trHeight w:val="330"/>
          <w:tblHeader/>
          <w:jc w:val="center"/>
        </w:trPr>
        <w:tc>
          <w:tcPr>
            <w:tcW w:w="2160" w:type="dxa"/>
            <w:tcBorders>
              <w:top w:val="single" w:sz="9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77930</w:t>
            </w:r>
          </w:p>
        </w:tc>
        <w:tc>
          <w:tcPr>
            <w:tcW w:w="1800" w:type="dxa"/>
            <w:tcBorders>
              <w:top w:val="single" w:sz="9" w:space="0" w:color="CCCCCC"/>
              <w:left w:val="single" w:sz="9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0349" w:rsidRPr="00D02337">
            <w:pPr>
              <w:pStyle w:val="normal0"/>
              <w:widowControl w:val="0"/>
              <w:jc w:val="right"/>
              <w:rPr>
                <w:sz w:val="20"/>
                <w:szCs w:val="20"/>
                <w:lang w:val="en-GB"/>
              </w:rPr>
            </w:pPr>
            <w:r w:rsidRPr="00D02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77930</w:t>
            </w:r>
          </w:p>
        </w:tc>
      </w:tr>
    </w:tbl>
    <w:p w:rsidR="00D90349" w:rsidRPr="00D0233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90349" w:rsidRPr="00D02337" w:rsidP="00D02337">
      <w:pPr>
        <w:pStyle w:val="Heading2"/>
        <w:rPr>
          <w:lang w:val="en-GB"/>
        </w:rPr>
      </w:pPr>
      <w:bookmarkStart w:id="11" w:name="_Toc133496597"/>
      <w:r w:rsidRPr="00D02337">
        <w:rPr>
          <w:lang w:val="en-GB"/>
        </w:rPr>
        <w:t>b.</w:t>
      </w:r>
      <w:r w:rsidRPr="00D02337" w:rsidR="00D02337">
        <w:rPr>
          <w:lang w:val="en-GB"/>
        </w:rPr>
        <w:t xml:space="preserve"> Benefits and Limitations of Trial balance</w:t>
      </w:r>
      <w:bookmarkEnd w:id="11"/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The trial balance is a financial statement which is used for the purpose of listing the debit and credit balances that are derived from a ledge account. The trial balance also includes the balances of cash and bank that are taken from the books of accounts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. The trial balance has the following benefits and limitations for its use in a business organisation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The benefits of the trial balance are as follows:</w:t>
      </w:r>
    </w:p>
    <w:p w:rsidR="00D90349" w:rsidRPr="00D02337" w:rsidP="00E76A13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The financial statement allows the summarisation of transactions that take place in a business organisat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ion and provides a consolidated ledger balance (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Murdihardjo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et al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. 2020)</w:t>
      </w:r>
    </w:p>
    <w:p w:rsidR="00D90349" w:rsidRPr="00D02337" w:rsidP="00E76A13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The trial balance is considered one of the shortest methods which are used for the purpose of verifying accuracies of the transaction</w:t>
      </w:r>
    </w:p>
    <w:p w:rsidR="00D90349" w:rsidRPr="00D02337" w:rsidP="00E76A13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One of the core instruments for the development of the final account is the statement of trial balance which provides the data for the preparation of trading accounts and profit/loss accounts.</w:t>
      </w:r>
    </w:p>
    <w:p w:rsidR="00D90349" w:rsidRPr="00D02337" w:rsidP="00E76A1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The limitations of the trial balances are as follows:</w:t>
      </w:r>
    </w:p>
    <w:p w:rsidR="00D90349" w:rsidRPr="00D02337" w:rsidP="00E76A13">
      <w:pPr>
        <w:pStyle w:val="normal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The trial balan</w:t>
      </w: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ce is prepared where the financial statements and accounting are followed through a double-entry system.</w:t>
      </w:r>
    </w:p>
    <w:p w:rsidR="00D90349" w:rsidRPr="00D02337" w:rsidP="00E76A13">
      <w:pPr>
        <w:pStyle w:val="normal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2337">
        <w:rPr>
          <w:rFonts w:ascii="Times New Roman" w:eastAsia="Times New Roman" w:hAnsi="Times New Roman" w:cs="Times New Roman"/>
          <w:sz w:val="24"/>
          <w:szCs w:val="24"/>
          <w:lang w:val="en-GB"/>
        </w:rPr>
        <w:t>Even though arithmetical accuracies are projected by the trial balances, specific errors in the books of accounts are hidden from the trial balance.</w:t>
      </w:r>
    </w:p>
    <w:p w:rsidR="00D90349" w:rsidRPr="00D0233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90349" w:rsidRPr="00D02337">
      <w:pPr>
        <w:pStyle w:val="Heading1"/>
        <w:spacing w:line="360" w:lineRule="auto"/>
        <w:jc w:val="both"/>
        <w:rPr>
          <w:lang w:val="en-GB"/>
        </w:rPr>
      </w:pPr>
      <w:bookmarkStart w:id="12" w:name="_2es6pxvqn6rk" w:colFirst="0" w:colLast="0"/>
      <w:bookmarkEnd w:id="12"/>
      <w:r w:rsidRPr="00D02337">
        <w:rPr>
          <w:lang w:val="en-GB"/>
        </w:rPr>
        <w:br w:type="page"/>
      </w:r>
    </w:p>
    <w:p w:rsidR="00D90349" w:rsidRPr="00D02337">
      <w:pPr>
        <w:pStyle w:val="Heading1"/>
        <w:rPr>
          <w:lang w:val="en-GB"/>
        </w:rPr>
      </w:pPr>
      <w:bookmarkStart w:id="13" w:name="_60f01u41jwgo" w:colFirst="0" w:colLast="0"/>
      <w:bookmarkStart w:id="14" w:name="_Toc133496598"/>
      <w:bookmarkEnd w:id="13"/>
      <w:r w:rsidRPr="00D02337">
        <w:rPr>
          <w:lang w:val="en-GB"/>
        </w:rPr>
        <w:t>Reference</w:t>
      </w:r>
      <w:bookmarkEnd w:id="14"/>
      <w:r>
        <w:rPr>
          <w:lang w:val="en-GB"/>
        </w:rPr>
        <w:t>s</w:t>
      </w:r>
    </w:p>
    <w:p w:rsidR="00C63B04" w:rsidRPr="00D02337" w:rsidP="00C63B04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</w:pP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Cribb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, J., Miller, H. and Pope, T., 2019.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Who are business owners and what are they doing?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(No.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R158). IFS Report.\</w:t>
      </w:r>
    </w:p>
    <w:p w:rsidR="00C63B04" w:rsidRPr="00D02337" w:rsidP="00C63B04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</w:pP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MacDonald, A., Clarke, A. and Huang, L., 2022. Multi-stakeholder partnerships for sustainability: Designing decision-making processes for partnership capacity. In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Business and the Ethical Implications of Technology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(pp. 103-120). Cham: Springer Nature Switzerland.</w:t>
      </w:r>
    </w:p>
    <w:p w:rsidR="00C63B04" w:rsidRPr="00D02337" w:rsidP="00C63B04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</w:pP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Murdihardjo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L.,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Nurjanah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Y. and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Rendy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R., 2020, May.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Implementing INTACS Dynamics Enterprise Resources Planning System for Financial Statements.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In 2nd International Seminar on Business, Economics, Social Science and Technology (ISBEST 2019) (pp. 228-233).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Atlantis Press.</w:t>
      </w:r>
    </w:p>
    <w:p w:rsidR="00C63B04" w:rsidRPr="00D02337" w:rsidP="00C63B04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</w:pP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Phillipson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J.,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Tiwasing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P., Gorton, M., 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Maioli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, S., Newbery, R. and Turner, R., 2019.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Shining a spotlight on small rural businesses: How does their performance compare with urban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?.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Journal of Rural Studies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68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, pp.230-239.</w:t>
      </w:r>
    </w:p>
    <w:p w:rsidR="00C63B04" w:rsidRPr="00D02337" w:rsidP="00C63B04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</w:pP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Travis, A., 2019. The organization of neglect: Limited liability companies and housing disinvestment.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American Sociological Review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, </w:t>
      </w:r>
      <w:r w:rsidRPr="00D02337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GB"/>
        </w:rPr>
        <w:t>84</w:t>
      </w:r>
      <w:r w:rsidRPr="00D023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>(1), pp.142-170.</w:t>
      </w:r>
    </w:p>
    <w:sectPr w:rsidSect="00D90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D05A9"/>
    <w:multiLevelType w:val="multilevel"/>
    <w:tmpl w:val="C8422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95D5ABB"/>
    <w:multiLevelType w:val="multilevel"/>
    <w:tmpl w:val="DE60B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5B2874"/>
    <w:multiLevelType w:val="multilevel"/>
    <w:tmpl w:val="C9601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2F3036A"/>
    <w:multiLevelType w:val="multilevel"/>
    <w:tmpl w:val="46EC6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F05C09"/>
    <w:multiLevelType w:val="multilevel"/>
    <w:tmpl w:val="FA509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6825287"/>
    <w:multiLevelType w:val="multilevel"/>
    <w:tmpl w:val="A2BC7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F265A3"/>
    <w:multiLevelType w:val="multilevel"/>
    <w:tmpl w:val="B3B6D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349"/>
    <w:rsid w:val="003F2553"/>
    <w:rsid w:val="00B7208E"/>
    <w:rsid w:val="00C63B04"/>
    <w:rsid w:val="00D02337"/>
    <w:rsid w:val="00D90349"/>
    <w:rsid w:val="00E76A1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0349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0"/>
    <w:next w:val="normal0"/>
    <w:rsid w:val="00D90349"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3">
    <w:name w:val="heading 3"/>
    <w:basedOn w:val="normal0"/>
    <w:next w:val="normal0"/>
    <w:rsid w:val="00D903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03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03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03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0349"/>
  </w:style>
  <w:style w:type="paragraph" w:styleId="Title">
    <w:name w:val="Title"/>
    <w:basedOn w:val="normal0"/>
    <w:next w:val="normal0"/>
    <w:rsid w:val="00D903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9034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rsid w:val="00D9034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rsid w:val="00D9034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D90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34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03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8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08E"/>
    <w:p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0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0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0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36C42-658E-4BE3-A8DA-7F6DDC3E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2023-04-27T08:29:00Z</dcterms:created>
  <dcterms:modified xsi:type="dcterms:W3CDTF">2023-04-27T08:34:00Z</dcterms:modified>
</cp:coreProperties>
</file>