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5B0" w:rsidRDefault="001865B0" w:rsidP="001865B0">
      <w:pPr>
        <w:spacing w:line="360" w:lineRule="auto"/>
        <w:jc w:val="center"/>
        <w:rPr>
          <w:rFonts w:ascii="Times New Roman" w:hAnsi="Times New Roman" w:cs="Times New Roman"/>
          <w:b/>
          <w:sz w:val="32"/>
          <w:szCs w:val="32"/>
          <w:lang w:val="en-US"/>
        </w:rPr>
      </w:pPr>
    </w:p>
    <w:p w:rsidR="001865B0" w:rsidRDefault="001865B0" w:rsidP="001865B0">
      <w:pPr>
        <w:spacing w:line="360" w:lineRule="auto"/>
        <w:jc w:val="center"/>
        <w:rPr>
          <w:rFonts w:ascii="Times New Roman" w:hAnsi="Times New Roman" w:cs="Times New Roman"/>
          <w:b/>
          <w:sz w:val="32"/>
          <w:szCs w:val="32"/>
          <w:lang w:val="en-US"/>
        </w:rPr>
      </w:pPr>
    </w:p>
    <w:p w:rsidR="001865B0" w:rsidRDefault="001865B0" w:rsidP="001865B0">
      <w:pPr>
        <w:spacing w:line="360" w:lineRule="auto"/>
        <w:jc w:val="center"/>
        <w:rPr>
          <w:rFonts w:ascii="Times New Roman" w:hAnsi="Times New Roman" w:cs="Times New Roman"/>
          <w:b/>
          <w:sz w:val="32"/>
          <w:szCs w:val="32"/>
          <w:lang w:val="en-US"/>
        </w:rPr>
      </w:pPr>
    </w:p>
    <w:p w:rsidR="001865B0" w:rsidRDefault="001865B0" w:rsidP="001865B0">
      <w:pPr>
        <w:spacing w:line="360" w:lineRule="auto"/>
        <w:jc w:val="center"/>
        <w:rPr>
          <w:rFonts w:ascii="Times New Roman" w:hAnsi="Times New Roman" w:cs="Times New Roman"/>
          <w:b/>
          <w:sz w:val="32"/>
          <w:szCs w:val="32"/>
          <w:lang w:val="en-US"/>
        </w:rPr>
      </w:pPr>
    </w:p>
    <w:p w:rsidR="001865B0" w:rsidRDefault="001865B0" w:rsidP="001865B0">
      <w:pPr>
        <w:spacing w:line="360" w:lineRule="auto"/>
        <w:jc w:val="center"/>
        <w:rPr>
          <w:rFonts w:ascii="Times New Roman" w:hAnsi="Times New Roman" w:cs="Times New Roman"/>
          <w:b/>
          <w:sz w:val="32"/>
          <w:szCs w:val="32"/>
          <w:lang w:val="en-US"/>
        </w:rPr>
      </w:pPr>
    </w:p>
    <w:p w:rsidR="001865B0" w:rsidRDefault="001865B0" w:rsidP="001865B0">
      <w:pPr>
        <w:spacing w:line="360" w:lineRule="auto"/>
        <w:jc w:val="center"/>
        <w:rPr>
          <w:rFonts w:ascii="Times New Roman" w:hAnsi="Times New Roman" w:cs="Times New Roman"/>
          <w:b/>
          <w:sz w:val="32"/>
          <w:szCs w:val="32"/>
          <w:lang w:val="en-US"/>
        </w:rPr>
      </w:pPr>
    </w:p>
    <w:p w:rsidR="001865B0" w:rsidRDefault="001865B0" w:rsidP="001865B0">
      <w:pPr>
        <w:spacing w:line="360" w:lineRule="auto"/>
        <w:jc w:val="center"/>
        <w:rPr>
          <w:rFonts w:ascii="Times New Roman" w:hAnsi="Times New Roman" w:cs="Times New Roman"/>
          <w:b/>
          <w:sz w:val="32"/>
          <w:szCs w:val="32"/>
          <w:lang w:val="en-US"/>
        </w:rPr>
      </w:pPr>
    </w:p>
    <w:p w:rsidR="001865B0" w:rsidRDefault="001865B0" w:rsidP="001865B0">
      <w:pPr>
        <w:spacing w:line="360" w:lineRule="auto"/>
        <w:jc w:val="center"/>
        <w:rPr>
          <w:rFonts w:ascii="Times New Roman" w:hAnsi="Times New Roman" w:cs="Times New Roman"/>
          <w:b/>
          <w:sz w:val="32"/>
          <w:szCs w:val="32"/>
          <w:lang w:val="en-US"/>
        </w:rPr>
      </w:pPr>
    </w:p>
    <w:p w:rsidR="002E1DD2" w:rsidRPr="001865B0" w:rsidRDefault="00B845B7" w:rsidP="001865B0">
      <w:pPr>
        <w:spacing w:line="360" w:lineRule="auto"/>
        <w:jc w:val="center"/>
        <w:rPr>
          <w:rFonts w:ascii="Times New Roman" w:hAnsi="Times New Roman" w:cs="Times New Roman"/>
          <w:b/>
          <w:sz w:val="32"/>
          <w:szCs w:val="32"/>
          <w:lang w:val="en-US"/>
        </w:rPr>
      </w:pPr>
      <w:r w:rsidRPr="001865B0">
        <w:rPr>
          <w:rFonts w:ascii="Times New Roman" w:hAnsi="Times New Roman" w:cs="Times New Roman"/>
          <w:b/>
          <w:sz w:val="32"/>
          <w:szCs w:val="32"/>
          <w:lang w:val="en-US"/>
        </w:rPr>
        <w:t>CASE STUDY: ACCOUNTING AND FINANCE</w:t>
      </w:r>
    </w:p>
    <w:p w:rsidR="001865B0" w:rsidRDefault="00B845B7">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CF0F6B" w:rsidRPr="001865B0" w:rsidRDefault="00B845B7" w:rsidP="001865B0">
      <w:pPr>
        <w:pStyle w:val="Heading1"/>
        <w:jc w:val="center"/>
        <w:rPr>
          <w:b w:val="0"/>
          <w:lang w:val="en-US"/>
        </w:rPr>
      </w:pPr>
      <w:bookmarkStart w:id="0" w:name="_Toc133429712"/>
      <w:r w:rsidRPr="001865B0">
        <w:rPr>
          <w:lang w:val="en-US"/>
        </w:rPr>
        <w:lastRenderedPageBreak/>
        <w:t>Executive Summary</w:t>
      </w:r>
      <w:bookmarkEnd w:id="0"/>
    </w:p>
    <w:p w:rsidR="00CE5291" w:rsidRDefault="00B845B7" w:rsidP="001865B0">
      <w:pPr>
        <w:spacing w:line="360" w:lineRule="auto"/>
        <w:jc w:val="both"/>
        <w:rPr>
          <w:rFonts w:ascii="Times New Roman" w:hAnsi="Times New Roman" w:cs="Times New Roman"/>
          <w:sz w:val="24"/>
          <w:szCs w:val="24"/>
          <w:lang w:val="en-US"/>
        </w:rPr>
      </w:pPr>
      <w:r w:rsidRPr="001865B0">
        <w:rPr>
          <w:rFonts w:ascii="Times New Roman" w:hAnsi="Times New Roman" w:cs="Times New Roman"/>
          <w:sz w:val="24"/>
          <w:szCs w:val="24"/>
          <w:lang w:val="en-US"/>
        </w:rPr>
        <w:t>The given report intends to evaluate the financial performance of the UK-based company, FirstGroup Plc. A brief introduction about the company, its key characteristics, resources, recent financial structure, and issues are highlighted. Interpretation of th</w:t>
      </w:r>
      <w:r w:rsidRPr="001865B0">
        <w:rPr>
          <w:rFonts w:ascii="Times New Roman" w:hAnsi="Times New Roman" w:cs="Times New Roman"/>
          <w:sz w:val="24"/>
          <w:szCs w:val="24"/>
          <w:lang w:val="en-US"/>
        </w:rPr>
        <w:t xml:space="preserve">e financial ratios is included in the paper accessing the financial position of the company in the past 3 years. </w:t>
      </w:r>
      <w:r w:rsidR="001865B0" w:rsidRPr="001865B0">
        <w:rPr>
          <w:rFonts w:ascii="Times New Roman" w:hAnsi="Times New Roman" w:cs="Times New Roman"/>
          <w:sz w:val="24"/>
          <w:szCs w:val="24"/>
          <w:lang w:val="en-US"/>
        </w:rPr>
        <w:t xml:space="preserve">Financial performance comparison of FirstGroup is reflected concerning to its core rivalry, National Express Group Plc. The justification behind developing a new joint venture for the company's Board of Directors is also incorporated. </w:t>
      </w:r>
    </w:p>
    <w:p w:rsidR="00CE5291" w:rsidRDefault="00CE5291">
      <w:pPr>
        <w:rPr>
          <w:rFonts w:ascii="Times New Roman" w:hAnsi="Times New Roman" w:cs="Times New Roman"/>
          <w:sz w:val="24"/>
          <w:szCs w:val="24"/>
          <w:lang w:val="en-US"/>
        </w:rPr>
      </w:pPr>
      <w:r>
        <w:rPr>
          <w:rFonts w:ascii="Times New Roman" w:hAnsi="Times New Roman" w:cs="Times New Roman"/>
          <w:sz w:val="24"/>
          <w:szCs w:val="24"/>
          <w:lang w:val="en-US"/>
        </w:rPr>
        <w:br w:type="page"/>
      </w:r>
    </w:p>
    <w:sdt>
      <w:sdtPr>
        <w:id w:val="1424308358"/>
        <w:docPartObj>
          <w:docPartGallery w:val="Table of Contents"/>
          <w:docPartUnique/>
        </w:docPartObj>
      </w:sdtPr>
      <w:sdtEndPr>
        <w:rPr>
          <w:rFonts w:ascii="Times New Roman" w:eastAsiaTheme="minorHAnsi" w:hAnsi="Times New Roman" w:cs="Times New Roman"/>
          <w:b/>
          <w:bCs/>
          <w:noProof/>
          <w:color w:val="auto"/>
          <w:sz w:val="24"/>
          <w:szCs w:val="24"/>
          <w:lang w:val="en-IN"/>
        </w:rPr>
      </w:sdtEndPr>
      <w:sdtContent>
        <w:p w:rsidR="00CE5291" w:rsidRPr="00CE5291" w:rsidRDefault="00CE5291" w:rsidP="00CE5291">
          <w:pPr>
            <w:pStyle w:val="TOCHeading"/>
            <w:jc w:val="center"/>
            <w:rPr>
              <w:rFonts w:ascii="Times New Roman" w:hAnsi="Times New Roman" w:cs="Times New Roman"/>
              <w:b/>
              <w:color w:val="auto"/>
              <w:sz w:val="24"/>
              <w:szCs w:val="24"/>
            </w:rPr>
          </w:pPr>
          <w:r w:rsidRPr="00CE5291">
            <w:rPr>
              <w:rFonts w:ascii="Times New Roman" w:hAnsi="Times New Roman" w:cs="Times New Roman"/>
              <w:b/>
              <w:color w:val="auto"/>
              <w:sz w:val="24"/>
              <w:szCs w:val="24"/>
            </w:rPr>
            <w:t>Table of Contents</w:t>
          </w:r>
        </w:p>
        <w:p w:rsidR="00CE5291" w:rsidRPr="00CE5291" w:rsidRDefault="00CE5291" w:rsidP="00CE5291">
          <w:pPr>
            <w:pStyle w:val="TOC1"/>
            <w:tabs>
              <w:tab w:val="right" w:leader="dot" w:pos="9016"/>
            </w:tabs>
            <w:spacing w:line="360" w:lineRule="auto"/>
            <w:jc w:val="both"/>
            <w:rPr>
              <w:rFonts w:ascii="Times New Roman" w:hAnsi="Times New Roman" w:cs="Times New Roman"/>
              <w:noProof/>
              <w:sz w:val="24"/>
              <w:szCs w:val="24"/>
            </w:rPr>
          </w:pPr>
          <w:r w:rsidRPr="00CE5291">
            <w:rPr>
              <w:rFonts w:ascii="Times New Roman" w:hAnsi="Times New Roman" w:cs="Times New Roman"/>
              <w:sz w:val="24"/>
              <w:szCs w:val="24"/>
            </w:rPr>
            <w:fldChar w:fldCharType="begin"/>
          </w:r>
          <w:r w:rsidRPr="00CE5291">
            <w:rPr>
              <w:rFonts w:ascii="Times New Roman" w:hAnsi="Times New Roman" w:cs="Times New Roman"/>
              <w:sz w:val="24"/>
              <w:szCs w:val="24"/>
            </w:rPr>
            <w:instrText xml:space="preserve"> TOC \o "1-3" \h \z \u </w:instrText>
          </w:r>
          <w:r w:rsidRPr="00CE5291">
            <w:rPr>
              <w:rFonts w:ascii="Times New Roman" w:hAnsi="Times New Roman" w:cs="Times New Roman"/>
              <w:sz w:val="24"/>
              <w:szCs w:val="24"/>
            </w:rPr>
            <w:fldChar w:fldCharType="separate"/>
          </w:r>
          <w:hyperlink w:anchor="_Toc133429712" w:history="1">
            <w:r w:rsidRPr="00CE5291">
              <w:rPr>
                <w:rStyle w:val="Hyperlink"/>
                <w:rFonts w:ascii="Times New Roman" w:hAnsi="Times New Roman" w:cs="Times New Roman"/>
                <w:noProof/>
                <w:sz w:val="24"/>
                <w:szCs w:val="24"/>
                <w:lang w:val="en-US"/>
              </w:rPr>
              <w:t>Executive Summary</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_Toc133429712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2</w:t>
            </w:r>
            <w:r w:rsidRPr="00CE5291">
              <w:rPr>
                <w:rFonts w:ascii="Times New Roman" w:hAnsi="Times New Roman" w:cs="Times New Roman"/>
                <w:noProof/>
                <w:webHidden/>
                <w:sz w:val="24"/>
                <w:szCs w:val="24"/>
              </w:rPr>
              <w:fldChar w:fldCharType="end"/>
            </w:r>
          </w:hyperlink>
        </w:p>
        <w:p w:rsidR="00CE5291" w:rsidRPr="00CE5291" w:rsidRDefault="00CE5291" w:rsidP="00CE5291">
          <w:pPr>
            <w:pStyle w:val="TOC1"/>
            <w:tabs>
              <w:tab w:val="right" w:leader="dot" w:pos="9016"/>
            </w:tabs>
            <w:spacing w:line="360" w:lineRule="auto"/>
            <w:jc w:val="both"/>
            <w:rPr>
              <w:rFonts w:ascii="Times New Roman" w:hAnsi="Times New Roman" w:cs="Times New Roman"/>
              <w:noProof/>
              <w:sz w:val="24"/>
              <w:szCs w:val="24"/>
            </w:rPr>
          </w:pPr>
          <w:hyperlink w:anchor="_Toc133429713" w:history="1">
            <w:r w:rsidRPr="00CE5291">
              <w:rPr>
                <w:rStyle w:val="Hyperlink"/>
                <w:rFonts w:ascii="Times New Roman" w:hAnsi="Times New Roman" w:cs="Times New Roman"/>
                <w:noProof/>
                <w:sz w:val="24"/>
                <w:szCs w:val="24"/>
                <w:lang w:val="en-US"/>
              </w:rPr>
              <w:t>(i) Introduction</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_Toc133429713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4</w:t>
            </w:r>
            <w:r w:rsidRPr="00CE5291">
              <w:rPr>
                <w:rFonts w:ascii="Times New Roman" w:hAnsi="Times New Roman" w:cs="Times New Roman"/>
                <w:noProof/>
                <w:webHidden/>
                <w:sz w:val="24"/>
                <w:szCs w:val="24"/>
              </w:rPr>
              <w:fldChar w:fldCharType="end"/>
            </w:r>
          </w:hyperlink>
        </w:p>
        <w:p w:rsidR="00CE5291" w:rsidRPr="00CE5291" w:rsidRDefault="00CE5291" w:rsidP="00CE5291">
          <w:pPr>
            <w:pStyle w:val="TOC1"/>
            <w:tabs>
              <w:tab w:val="right" w:leader="dot" w:pos="9016"/>
            </w:tabs>
            <w:spacing w:line="360" w:lineRule="auto"/>
            <w:jc w:val="both"/>
            <w:rPr>
              <w:rFonts w:ascii="Times New Roman" w:hAnsi="Times New Roman" w:cs="Times New Roman"/>
              <w:noProof/>
              <w:sz w:val="24"/>
              <w:szCs w:val="24"/>
            </w:rPr>
          </w:pPr>
          <w:hyperlink w:anchor="_Toc133429714" w:history="1">
            <w:r w:rsidRPr="00CE5291">
              <w:rPr>
                <w:rStyle w:val="Hyperlink"/>
                <w:rFonts w:ascii="Times New Roman" w:hAnsi="Times New Roman" w:cs="Times New Roman"/>
                <w:noProof/>
                <w:sz w:val="24"/>
                <w:szCs w:val="24"/>
                <w:lang w:val="en-US"/>
              </w:rPr>
              <w:t>(ii) Evaluation of the First Group Plc’s financial statements and other financial information</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_Toc133429714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5</w:t>
            </w:r>
            <w:r w:rsidRPr="00CE5291">
              <w:rPr>
                <w:rFonts w:ascii="Times New Roman" w:hAnsi="Times New Roman" w:cs="Times New Roman"/>
                <w:noProof/>
                <w:webHidden/>
                <w:sz w:val="24"/>
                <w:szCs w:val="24"/>
              </w:rPr>
              <w:fldChar w:fldCharType="end"/>
            </w:r>
          </w:hyperlink>
        </w:p>
        <w:p w:rsidR="00CE5291" w:rsidRPr="00CE5291" w:rsidRDefault="00CE5291" w:rsidP="00CE5291">
          <w:pPr>
            <w:pStyle w:val="TOC2"/>
            <w:tabs>
              <w:tab w:val="right" w:leader="dot" w:pos="9016"/>
            </w:tabs>
            <w:spacing w:line="360" w:lineRule="auto"/>
            <w:jc w:val="both"/>
            <w:rPr>
              <w:rFonts w:ascii="Times New Roman" w:hAnsi="Times New Roman" w:cs="Times New Roman"/>
              <w:noProof/>
              <w:sz w:val="24"/>
              <w:szCs w:val="24"/>
            </w:rPr>
          </w:pPr>
          <w:hyperlink w:anchor="_Toc133429715" w:history="1">
            <w:r w:rsidRPr="00CE5291">
              <w:rPr>
                <w:rStyle w:val="Hyperlink"/>
                <w:rFonts w:ascii="Times New Roman" w:hAnsi="Times New Roman" w:cs="Times New Roman"/>
                <w:noProof/>
                <w:sz w:val="24"/>
                <w:szCs w:val="24"/>
                <w:lang w:val="en-US"/>
              </w:rPr>
              <w:t>Profitability performance</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_Toc133429715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5</w:t>
            </w:r>
            <w:r w:rsidRPr="00CE5291">
              <w:rPr>
                <w:rFonts w:ascii="Times New Roman" w:hAnsi="Times New Roman" w:cs="Times New Roman"/>
                <w:noProof/>
                <w:webHidden/>
                <w:sz w:val="24"/>
                <w:szCs w:val="24"/>
              </w:rPr>
              <w:fldChar w:fldCharType="end"/>
            </w:r>
          </w:hyperlink>
        </w:p>
        <w:p w:rsidR="00CE5291" w:rsidRPr="00CE5291" w:rsidRDefault="00CE5291" w:rsidP="00CE5291">
          <w:pPr>
            <w:pStyle w:val="TOC2"/>
            <w:tabs>
              <w:tab w:val="right" w:leader="dot" w:pos="9016"/>
            </w:tabs>
            <w:spacing w:line="360" w:lineRule="auto"/>
            <w:jc w:val="both"/>
            <w:rPr>
              <w:rFonts w:ascii="Times New Roman" w:hAnsi="Times New Roman" w:cs="Times New Roman"/>
              <w:noProof/>
              <w:sz w:val="24"/>
              <w:szCs w:val="24"/>
            </w:rPr>
          </w:pPr>
          <w:hyperlink w:anchor="_Toc133429716" w:history="1">
            <w:r w:rsidRPr="00CE5291">
              <w:rPr>
                <w:rStyle w:val="Hyperlink"/>
                <w:rFonts w:ascii="Times New Roman" w:hAnsi="Times New Roman" w:cs="Times New Roman"/>
                <w:noProof/>
                <w:sz w:val="24"/>
                <w:szCs w:val="24"/>
                <w:lang w:val="en-US"/>
              </w:rPr>
              <w:t>Liquidity performance</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_Toc133429716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6</w:t>
            </w:r>
            <w:r w:rsidRPr="00CE5291">
              <w:rPr>
                <w:rFonts w:ascii="Times New Roman" w:hAnsi="Times New Roman" w:cs="Times New Roman"/>
                <w:noProof/>
                <w:webHidden/>
                <w:sz w:val="24"/>
                <w:szCs w:val="24"/>
              </w:rPr>
              <w:fldChar w:fldCharType="end"/>
            </w:r>
          </w:hyperlink>
        </w:p>
        <w:p w:rsidR="00CE5291" w:rsidRPr="00CE5291" w:rsidRDefault="00CE5291" w:rsidP="00CE5291">
          <w:pPr>
            <w:pStyle w:val="TOC2"/>
            <w:tabs>
              <w:tab w:val="right" w:leader="dot" w:pos="9016"/>
            </w:tabs>
            <w:spacing w:line="360" w:lineRule="auto"/>
            <w:jc w:val="both"/>
            <w:rPr>
              <w:rFonts w:ascii="Times New Roman" w:hAnsi="Times New Roman" w:cs="Times New Roman"/>
              <w:noProof/>
              <w:sz w:val="24"/>
              <w:szCs w:val="24"/>
            </w:rPr>
          </w:pPr>
          <w:hyperlink w:anchor="_Toc133429717" w:history="1">
            <w:r w:rsidRPr="00CE5291">
              <w:rPr>
                <w:rStyle w:val="Hyperlink"/>
                <w:rFonts w:ascii="Times New Roman" w:hAnsi="Times New Roman" w:cs="Times New Roman"/>
                <w:noProof/>
                <w:sz w:val="24"/>
                <w:szCs w:val="24"/>
                <w:lang w:val="en-US"/>
              </w:rPr>
              <w:t>Solvency performance</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_Toc133429717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7</w:t>
            </w:r>
            <w:r w:rsidRPr="00CE5291">
              <w:rPr>
                <w:rFonts w:ascii="Times New Roman" w:hAnsi="Times New Roman" w:cs="Times New Roman"/>
                <w:noProof/>
                <w:webHidden/>
                <w:sz w:val="24"/>
                <w:szCs w:val="24"/>
              </w:rPr>
              <w:fldChar w:fldCharType="end"/>
            </w:r>
          </w:hyperlink>
        </w:p>
        <w:p w:rsidR="00CE5291" w:rsidRPr="00CE5291" w:rsidRDefault="00CE5291" w:rsidP="00CE5291">
          <w:pPr>
            <w:pStyle w:val="TOC2"/>
            <w:tabs>
              <w:tab w:val="right" w:leader="dot" w:pos="9016"/>
            </w:tabs>
            <w:spacing w:line="360" w:lineRule="auto"/>
            <w:jc w:val="both"/>
            <w:rPr>
              <w:rFonts w:ascii="Times New Roman" w:hAnsi="Times New Roman" w:cs="Times New Roman"/>
              <w:noProof/>
              <w:sz w:val="24"/>
              <w:szCs w:val="24"/>
            </w:rPr>
          </w:pPr>
          <w:hyperlink w:anchor="_Toc133429718" w:history="1">
            <w:r w:rsidRPr="00CE5291">
              <w:rPr>
                <w:rStyle w:val="Hyperlink"/>
                <w:rFonts w:ascii="Times New Roman" w:hAnsi="Times New Roman" w:cs="Times New Roman"/>
                <w:noProof/>
                <w:sz w:val="24"/>
                <w:szCs w:val="24"/>
                <w:lang w:val="en-US"/>
              </w:rPr>
              <w:t>Efficiency performance</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_Toc133429718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8</w:t>
            </w:r>
            <w:r w:rsidRPr="00CE5291">
              <w:rPr>
                <w:rFonts w:ascii="Times New Roman" w:hAnsi="Times New Roman" w:cs="Times New Roman"/>
                <w:noProof/>
                <w:webHidden/>
                <w:sz w:val="24"/>
                <w:szCs w:val="24"/>
              </w:rPr>
              <w:fldChar w:fldCharType="end"/>
            </w:r>
          </w:hyperlink>
        </w:p>
        <w:p w:rsidR="00CE5291" w:rsidRPr="00CE5291" w:rsidRDefault="00CE5291" w:rsidP="00CE5291">
          <w:pPr>
            <w:pStyle w:val="TOC2"/>
            <w:tabs>
              <w:tab w:val="right" w:leader="dot" w:pos="9016"/>
            </w:tabs>
            <w:spacing w:line="360" w:lineRule="auto"/>
            <w:jc w:val="both"/>
            <w:rPr>
              <w:rFonts w:ascii="Times New Roman" w:hAnsi="Times New Roman" w:cs="Times New Roman"/>
              <w:noProof/>
              <w:sz w:val="24"/>
              <w:szCs w:val="24"/>
            </w:rPr>
          </w:pPr>
          <w:hyperlink w:anchor="_Toc133429719" w:history="1">
            <w:r w:rsidRPr="00CE5291">
              <w:rPr>
                <w:rStyle w:val="Hyperlink"/>
                <w:rFonts w:ascii="Times New Roman" w:hAnsi="Times New Roman" w:cs="Times New Roman"/>
                <w:noProof/>
                <w:sz w:val="24"/>
                <w:szCs w:val="24"/>
                <w:lang w:val="en-US"/>
              </w:rPr>
              <w:t>Overall financial performance of FirstGroup Plc in the past three years</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_Toc133429719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10</w:t>
            </w:r>
            <w:r w:rsidRPr="00CE5291">
              <w:rPr>
                <w:rFonts w:ascii="Times New Roman" w:hAnsi="Times New Roman" w:cs="Times New Roman"/>
                <w:noProof/>
                <w:webHidden/>
                <w:sz w:val="24"/>
                <w:szCs w:val="24"/>
              </w:rPr>
              <w:fldChar w:fldCharType="end"/>
            </w:r>
          </w:hyperlink>
        </w:p>
        <w:p w:rsidR="00CE5291" w:rsidRPr="00CE5291" w:rsidRDefault="00CE5291" w:rsidP="00CE5291">
          <w:pPr>
            <w:pStyle w:val="TOC1"/>
            <w:tabs>
              <w:tab w:val="right" w:leader="dot" w:pos="9016"/>
            </w:tabs>
            <w:spacing w:line="360" w:lineRule="auto"/>
            <w:jc w:val="both"/>
            <w:rPr>
              <w:rFonts w:ascii="Times New Roman" w:hAnsi="Times New Roman" w:cs="Times New Roman"/>
              <w:noProof/>
              <w:sz w:val="24"/>
              <w:szCs w:val="24"/>
            </w:rPr>
          </w:pPr>
          <w:hyperlink w:anchor="_Toc133429720" w:history="1">
            <w:r w:rsidRPr="00CE5291">
              <w:rPr>
                <w:rStyle w:val="Hyperlink"/>
                <w:rFonts w:ascii="Times New Roman" w:hAnsi="Times New Roman" w:cs="Times New Roman"/>
                <w:noProof/>
                <w:sz w:val="24"/>
                <w:szCs w:val="24"/>
                <w:lang w:val="en-US"/>
              </w:rPr>
              <w:t>(iii) Discussing First Group Plc's performance over the last three periods compared with one of its major competitors</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_Toc133429720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10</w:t>
            </w:r>
            <w:r w:rsidRPr="00CE5291">
              <w:rPr>
                <w:rFonts w:ascii="Times New Roman" w:hAnsi="Times New Roman" w:cs="Times New Roman"/>
                <w:noProof/>
                <w:webHidden/>
                <w:sz w:val="24"/>
                <w:szCs w:val="24"/>
              </w:rPr>
              <w:fldChar w:fldCharType="end"/>
            </w:r>
          </w:hyperlink>
        </w:p>
        <w:p w:rsidR="00CE5291" w:rsidRPr="00CE5291" w:rsidRDefault="00CE5291" w:rsidP="00CE5291">
          <w:pPr>
            <w:pStyle w:val="TOC2"/>
            <w:tabs>
              <w:tab w:val="right" w:leader="dot" w:pos="9016"/>
            </w:tabs>
            <w:spacing w:line="360" w:lineRule="auto"/>
            <w:jc w:val="both"/>
            <w:rPr>
              <w:rFonts w:ascii="Times New Roman" w:hAnsi="Times New Roman" w:cs="Times New Roman"/>
              <w:noProof/>
              <w:sz w:val="24"/>
              <w:szCs w:val="24"/>
            </w:rPr>
          </w:pPr>
          <w:hyperlink w:anchor="_Toc133429721" w:history="1">
            <w:r w:rsidRPr="00CE5291">
              <w:rPr>
                <w:rStyle w:val="Hyperlink"/>
                <w:rFonts w:ascii="Times New Roman" w:hAnsi="Times New Roman" w:cs="Times New Roman"/>
                <w:noProof/>
                <w:sz w:val="24"/>
                <w:szCs w:val="24"/>
                <w:lang w:val="en-US"/>
              </w:rPr>
              <w:t>Profitability performance</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_Toc133429721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10</w:t>
            </w:r>
            <w:r w:rsidRPr="00CE5291">
              <w:rPr>
                <w:rFonts w:ascii="Times New Roman" w:hAnsi="Times New Roman" w:cs="Times New Roman"/>
                <w:noProof/>
                <w:webHidden/>
                <w:sz w:val="24"/>
                <w:szCs w:val="24"/>
              </w:rPr>
              <w:fldChar w:fldCharType="end"/>
            </w:r>
          </w:hyperlink>
        </w:p>
        <w:p w:rsidR="00CE5291" w:rsidRPr="00CE5291" w:rsidRDefault="00CE5291" w:rsidP="00CE5291">
          <w:pPr>
            <w:pStyle w:val="TOC2"/>
            <w:tabs>
              <w:tab w:val="right" w:leader="dot" w:pos="9016"/>
            </w:tabs>
            <w:spacing w:line="360" w:lineRule="auto"/>
            <w:jc w:val="both"/>
            <w:rPr>
              <w:rFonts w:ascii="Times New Roman" w:hAnsi="Times New Roman" w:cs="Times New Roman"/>
              <w:noProof/>
              <w:sz w:val="24"/>
              <w:szCs w:val="24"/>
            </w:rPr>
          </w:pPr>
          <w:hyperlink w:anchor="_Toc133429722" w:history="1">
            <w:r w:rsidRPr="00CE5291">
              <w:rPr>
                <w:rStyle w:val="Hyperlink"/>
                <w:rFonts w:ascii="Times New Roman" w:hAnsi="Times New Roman" w:cs="Times New Roman"/>
                <w:noProof/>
                <w:sz w:val="24"/>
                <w:szCs w:val="24"/>
                <w:lang w:val="en-US"/>
              </w:rPr>
              <w:t>Liquidity performance</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_Toc133429722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11</w:t>
            </w:r>
            <w:r w:rsidRPr="00CE5291">
              <w:rPr>
                <w:rFonts w:ascii="Times New Roman" w:hAnsi="Times New Roman" w:cs="Times New Roman"/>
                <w:noProof/>
                <w:webHidden/>
                <w:sz w:val="24"/>
                <w:szCs w:val="24"/>
              </w:rPr>
              <w:fldChar w:fldCharType="end"/>
            </w:r>
          </w:hyperlink>
        </w:p>
        <w:p w:rsidR="00CE5291" w:rsidRPr="00CE5291" w:rsidRDefault="00CE5291" w:rsidP="00CE5291">
          <w:pPr>
            <w:pStyle w:val="TOC2"/>
            <w:tabs>
              <w:tab w:val="right" w:leader="dot" w:pos="9016"/>
            </w:tabs>
            <w:spacing w:line="360" w:lineRule="auto"/>
            <w:jc w:val="both"/>
            <w:rPr>
              <w:rFonts w:ascii="Times New Roman" w:hAnsi="Times New Roman" w:cs="Times New Roman"/>
              <w:noProof/>
              <w:sz w:val="24"/>
              <w:szCs w:val="24"/>
            </w:rPr>
          </w:pPr>
          <w:hyperlink w:anchor="_Toc133429723" w:history="1">
            <w:r w:rsidRPr="00CE5291">
              <w:rPr>
                <w:rStyle w:val="Hyperlink"/>
                <w:rFonts w:ascii="Times New Roman" w:hAnsi="Times New Roman" w:cs="Times New Roman"/>
                <w:noProof/>
                <w:sz w:val="24"/>
                <w:szCs w:val="24"/>
                <w:lang w:val="en-US"/>
              </w:rPr>
              <w:t>Solvency performance</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_Toc133429723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13</w:t>
            </w:r>
            <w:r w:rsidRPr="00CE5291">
              <w:rPr>
                <w:rFonts w:ascii="Times New Roman" w:hAnsi="Times New Roman" w:cs="Times New Roman"/>
                <w:noProof/>
                <w:webHidden/>
                <w:sz w:val="24"/>
                <w:szCs w:val="24"/>
              </w:rPr>
              <w:fldChar w:fldCharType="end"/>
            </w:r>
          </w:hyperlink>
        </w:p>
        <w:p w:rsidR="00CE5291" w:rsidRPr="00CE5291" w:rsidRDefault="00CE5291" w:rsidP="00CE5291">
          <w:pPr>
            <w:pStyle w:val="TOC2"/>
            <w:tabs>
              <w:tab w:val="right" w:leader="dot" w:pos="9016"/>
            </w:tabs>
            <w:spacing w:line="360" w:lineRule="auto"/>
            <w:jc w:val="both"/>
            <w:rPr>
              <w:rFonts w:ascii="Times New Roman" w:hAnsi="Times New Roman" w:cs="Times New Roman"/>
              <w:noProof/>
              <w:sz w:val="24"/>
              <w:szCs w:val="24"/>
            </w:rPr>
          </w:pPr>
          <w:hyperlink w:anchor="_Toc133429724" w:history="1">
            <w:r w:rsidRPr="00CE5291">
              <w:rPr>
                <w:rStyle w:val="Hyperlink"/>
                <w:rFonts w:ascii="Times New Roman" w:hAnsi="Times New Roman" w:cs="Times New Roman"/>
                <w:noProof/>
                <w:sz w:val="24"/>
                <w:szCs w:val="24"/>
                <w:lang w:val="en-US"/>
              </w:rPr>
              <w:t>Efficiency performance</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_Toc133429724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14</w:t>
            </w:r>
            <w:r w:rsidRPr="00CE5291">
              <w:rPr>
                <w:rFonts w:ascii="Times New Roman" w:hAnsi="Times New Roman" w:cs="Times New Roman"/>
                <w:noProof/>
                <w:webHidden/>
                <w:sz w:val="24"/>
                <w:szCs w:val="24"/>
              </w:rPr>
              <w:fldChar w:fldCharType="end"/>
            </w:r>
          </w:hyperlink>
        </w:p>
        <w:p w:rsidR="00CE5291" w:rsidRPr="00CE5291" w:rsidRDefault="00CE5291" w:rsidP="00CE5291">
          <w:pPr>
            <w:pStyle w:val="TOC1"/>
            <w:tabs>
              <w:tab w:val="right" w:leader="dot" w:pos="9016"/>
            </w:tabs>
            <w:spacing w:line="360" w:lineRule="auto"/>
            <w:jc w:val="both"/>
            <w:rPr>
              <w:rFonts w:ascii="Times New Roman" w:hAnsi="Times New Roman" w:cs="Times New Roman"/>
              <w:noProof/>
              <w:sz w:val="24"/>
              <w:szCs w:val="24"/>
            </w:rPr>
          </w:pPr>
          <w:hyperlink w:anchor="_Toc133429725" w:history="1">
            <w:r w:rsidRPr="00CE5291">
              <w:rPr>
                <w:rStyle w:val="Hyperlink"/>
                <w:rFonts w:ascii="Times New Roman" w:hAnsi="Times New Roman" w:cs="Times New Roman"/>
                <w:noProof/>
                <w:sz w:val="24"/>
                <w:szCs w:val="24"/>
                <w:lang w:val="en-US"/>
              </w:rPr>
              <w:t>(iv) Justification concern to support a new joint venture by First Group Plc</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_Toc133429725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15</w:t>
            </w:r>
            <w:r w:rsidRPr="00CE5291">
              <w:rPr>
                <w:rFonts w:ascii="Times New Roman" w:hAnsi="Times New Roman" w:cs="Times New Roman"/>
                <w:noProof/>
                <w:webHidden/>
                <w:sz w:val="24"/>
                <w:szCs w:val="24"/>
              </w:rPr>
              <w:fldChar w:fldCharType="end"/>
            </w:r>
          </w:hyperlink>
        </w:p>
        <w:p w:rsidR="00CE5291" w:rsidRPr="00CE5291" w:rsidRDefault="00CE5291" w:rsidP="00CE5291">
          <w:pPr>
            <w:pStyle w:val="TOC1"/>
            <w:tabs>
              <w:tab w:val="right" w:leader="dot" w:pos="9016"/>
            </w:tabs>
            <w:spacing w:line="360" w:lineRule="auto"/>
            <w:jc w:val="both"/>
            <w:rPr>
              <w:rFonts w:ascii="Times New Roman" w:hAnsi="Times New Roman" w:cs="Times New Roman"/>
              <w:noProof/>
              <w:sz w:val="24"/>
              <w:szCs w:val="24"/>
            </w:rPr>
          </w:pPr>
          <w:hyperlink w:anchor="_Toc133429726" w:history="1">
            <w:r w:rsidRPr="00CE5291">
              <w:rPr>
                <w:rStyle w:val="Hyperlink"/>
                <w:rFonts w:ascii="Times New Roman" w:hAnsi="Times New Roman" w:cs="Times New Roman"/>
                <w:noProof/>
                <w:sz w:val="24"/>
                <w:szCs w:val="24"/>
                <w:lang w:val="en-US"/>
              </w:rPr>
              <w:t>Conclusion</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_Toc133429726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16</w:t>
            </w:r>
            <w:r w:rsidRPr="00CE5291">
              <w:rPr>
                <w:rFonts w:ascii="Times New Roman" w:hAnsi="Times New Roman" w:cs="Times New Roman"/>
                <w:noProof/>
                <w:webHidden/>
                <w:sz w:val="24"/>
                <w:szCs w:val="24"/>
              </w:rPr>
              <w:fldChar w:fldCharType="end"/>
            </w:r>
          </w:hyperlink>
        </w:p>
        <w:p w:rsidR="00CE5291" w:rsidRPr="00CE5291" w:rsidRDefault="00CE5291" w:rsidP="00CE5291">
          <w:pPr>
            <w:pStyle w:val="TOC1"/>
            <w:tabs>
              <w:tab w:val="right" w:leader="dot" w:pos="9016"/>
            </w:tabs>
            <w:spacing w:line="360" w:lineRule="auto"/>
            <w:jc w:val="both"/>
            <w:rPr>
              <w:rFonts w:ascii="Times New Roman" w:hAnsi="Times New Roman" w:cs="Times New Roman"/>
              <w:noProof/>
              <w:sz w:val="24"/>
              <w:szCs w:val="24"/>
            </w:rPr>
          </w:pPr>
          <w:hyperlink w:anchor="_Toc133429727" w:history="1">
            <w:r w:rsidRPr="00CE5291">
              <w:rPr>
                <w:rStyle w:val="Hyperlink"/>
                <w:rFonts w:ascii="Times New Roman" w:hAnsi="Times New Roman" w:cs="Times New Roman"/>
                <w:noProof/>
                <w:sz w:val="24"/>
                <w:szCs w:val="24"/>
                <w:lang w:val="en-US"/>
              </w:rPr>
              <w:t>Reference List</w:t>
            </w:r>
            <w:r w:rsidRPr="00CE5291">
              <w:rPr>
                <w:rFonts w:ascii="Times New Roman" w:hAnsi="Times New Roman" w:cs="Times New Roman"/>
                <w:noProof/>
                <w:webHidden/>
                <w:sz w:val="24"/>
                <w:szCs w:val="24"/>
              </w:rPr>
              <w:tab/>
            </w:r>
            <w:r w:rsidRPr="00CE5291">
              <w:rPr>
                <w:rFonts w:ascii="Times New Roman" w:hAnsi="Times New Roman" w:cs="Times New Roman"/>
                <w:noProof/>
                <w:webHidden/>
                <w:sz w:val="24"/>
                <w:szCs w:val="24"/>
              </w:rPr>
              <w:fldChar w:fldCharType="begin"/>
            </w:r>
            <w:r w:rsidRPr="00CE5291">
              <w:rPr>
                <w:rFonts w:ascii="Times New Roman" w:hAnsi="Times New Roman" w:cs="Times New Roman"/>
                <w:noProof/>
                <w:webHidden/>
                <w:sz w:val="24"/>
                <w:szCs w:val="24"/>
              </w:rPr>
              <w:instrText xml:space="preserve"> PAGEREF _Toc133429727 \h </w:instrText>
            </w:r>
            <w:r w:rsidRPr="00CE5291">
              <w:rPr>
                <w:rFonts w:ascii="Times New Roman" w:hAnsi="Times New Roman" w:cs="Times New Roman"/>
                <w:noProof/>
                <w:webHidden/>
                <w:sz w:val="24"/>
                <w:szCs w:val="24"/>
              </w:rPr>
            </w:r>
            <w:r w:rsidRPr="00CE5291">
              <w:rPr>
                <w:rFonts w:ascii="Times New Roman" w:hAnsi="Times New Roman" w:cs="Times New Roman"/>
                <w:noProof/>
                <w:webHidden/>
                <w:sz w:val="24"/>
                <w:szCs w:val="24"/>
              </w:rPr>
              <w:fldChar w:fldCharType="separate"/>
            </w:r>
            <w:r w:rsidRPr="00CE5291">
              <w:rPr>
                <w:rFonts w:ascii="Times New Roman" w:hAnsi="Times New Roman" w:cs="Times New Roman"/>
                <w:noProof/>
                <w:webHidden/>
                <w:sz w:val="24"/>
                <w:szCs w:val="24"/>
              </w:rPr>
              <w:t>17</w:t>
            </w:r>
            <w:r w:rsidRPr="00CE5291">
              <w:rPr>
                <w:rFonts w:ascii="Times New Roman" w:hAnsi="Times New Roman" w:cs="Times New Roman"/>
                <w:noProof/>
                <w:webHidden/>
                <w:sz w:val="24"/>
                <w:szCs w:val="24"/>
              </w:rPr>
              <w:fldChar w:fldCharType="end"/>
            </w:r>
          </w:hyperlink>
        </w:p>
        <w:p w:rsidR="00CE5291" w:rsidRPr="00CE5291" w:rsidRDefault="00CE5291" w:rsidP="00CE5291">
          <w:pPr>
            <w:spacing w:line="360" w:lineRule="auto"/>
            <w:jc w:val="both"/>
            <w:rPr>
              <w:rFonts w:ascii="Times New Roman" w:hAnsi="Times New Roman" w:cs="Times New Roman"/>
              <w:sz w:val="24"/>
              <w:szCs w:val="24"/>
            </w:rPr>
          </w:pPr>
          <w:r w:rsidRPr="00CE5291">
            <w:rPr>
              <w:rFonts w:ascii="Times New Roman" w:hAnsi="Times New Roman" w:cs="Times New Roman"/>
              <w:b/>
              <w:bCs/>
              <w:noProof/>
              <w:sz w:val="24"/>
              <w:szCs w:val="24"/>
            </w:rPr>
            <w:fldChar w:fldCharType="end"/>
          </w:r>
        </w:p>
      </w:sdtContent>
    </w:sdt>
    <w:p w:rsidR="0037731E" w:rsidRPr="001865B0" w:rsidRDefault="0037731E" w:rsidP="001865B0">
      <w:pPr>
        <w:spacing w:line="360" w:lineRule="auto"/>
        <w:jc w:val="both"/>
        <w:rPr>
          <w:rFonts w:ascii="Times New Roman" w:hAnsi="Times New Roman" w:cs="Times New Roman"/>
          <w:sz w:val="24"/>
          <w:szCs w:val="24"/>
          <w:lang w:val="en-US"/>
        </w:rPr>
      </w:pPr>
    </w:p>
    <w:p w:rsidR="001865B0" w:rsidRDefault="00B845B7">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CF0F6B" w:rsidRPr="001865B0" w:rsidRDefault="00B845B7" w:rsidP="001865B0">
      <w:pPr>
        <w:pStyle w:val="Heading1"/>
        <w:rPr>
          <w:lang w:val="en-US"/>
        </w:rPr>
      </w:pPr>
      <w:bookmarkStart w:id="1" w:name="_Toc133429713"/>
      <w:r w:rsidRPr="001865B0">
        <w:rPr>
          <w:lang w:val="en-US"/>
        </w:rPr>
        <w:lastRenderedPageBreak/>
        <w:t>(i) Introduction</w:t>
      </w:r>
      <w:bookmarkEnd w:id="1"/>
    </w:p>
    <w:p w:rsidR="00FA49FE" w:rsidRPr="001865B0" w:rsidRDefault="00B845B7" w:rsidP="001865B0">
      <w:pPr>
        <w:pStyle w:val="NormalWeb"/>
        <w:spacing w:before="240" w:beforeAutospacing="0" w:after="240" w:afterAutospacing="0" w:line="360" w:lineRule="auto"/>
        <w:jc w:val="both"/>
      </w:pPr>
      <w:r w:rsidRPr="001865B0">
        <w:rPr>
          <w:color w:val="000000"/>
        </w:rPr>
        <w:t>Accounting and finance are two closely associated concepts that are fundamental to the functioning of the business corporation. The existing ass</w:t>
      </w:r>
      <w:r w:rsidRPr="001865B0">
        <w:rPr>
          <w:color w:val="000000"/>
        </w:rPr>
        <w:t>ignment is developed to evaluate the financial performance and position of FirstGroup Plc based on its past three year’s structure.</w:t>
      </w:r>
    </w:p>
    <w:p w:rsidR="00FA49FE" w:rsidRPr="001865B0" w:rsidRDefault="00B845B7" w:rsidP="001865B0">
      <w:pPr>
        <w:pStyle w:val="NormalWeb"/>
        <w:spacing w:before="240" w:beforeAutospacing="0" w:after="240" w:afterAutospacing="0" w:line="360" w:lineRule="auto"/>
        <w:jc w:val="both"/>
      </w:pPr>
      <w:r w:rsidRPr="001865B0">
        <w:rPr>
          <w:color w:val="000000"/>
        </w:rPr>
        <w:t>FirstGroup Plc identifies as the multinational transport corporation of the United Kingdom (UK) engaged to offer transit, tr</w:t>
      </w:r>
      <w:r w:rsidRPr="001865B0">
        <w:rPr>
          <w:color w:val="000000"/>
        </w:rPr>
        <w:t>ain, and bus services in North America and the UK. The organisation operates a diversified business portfolio comprising First Student, First Rail, and First Bus. The core business of FirstGroup evolves bus transportation which comprises nearly 5,000 buses</w:t>
      </w:r>
      <w:r w:rsidRPr="001865B0">
        <w:rPr>
          <w:color w:val="000000"/>
        </w:rPr>
        <w:t xml:space="preserve"> operating in 40 cities and towns across the nation</w:t>
      </w:r>
      <w:r w:rsidR="0075541E">
        <w:rPr>
          <w:color w:val="000000"/>
        </w:rPr>
        <w:t xml:space="preserve"> (</w:t>
      </w:r>
      <w:r w:rsidR="0075541E" w:rsidRPr="00F17168">
        <w:rPr>
          <w:iCs/>
        </w:rPr>
        <w:t>FirstGroup Plc | About Us</w:t>
      </w:r>
      <w:r w:rsidR="0075541E">
        <w:t xml:space="preserve">, </w:t>
      </w:r>
      <w:r w:rsidR="0075541E" w:rsidRPr="00F17168">
        <w:t>2023)</w:t>
      </w:r>
      <w:r w:rsidRPr="001865B0">
        <w:rPr>
          <w:color w:val="000000"/>
        </w:rPr>
        <w:t>. The rail business of FirstGroup comprises commuter rail services in North America and passenger rail services in the UK. Besides, the division of First Student of the company operates nearly 40,000 schoo</w:t>
      </w:r>
      <w:r w:rsidRPr="001865B0">
        <w:rPr>
          <w:color w:val="000000"/>
        </w:rPr>
        <w:t>l buses within the premises in North America. FirstGroup concerning its recent financial position reported aggregate revenue of £6.9 billion for the period ending 31 March 2022 with an incremental of 1.6% compared to its initial period. Additionally, the o</w:t>
      </w:r>
      <w:r w:rsidRPr="001865B0">
        <w:rPr>
          <w:color w:val="000000"/>
        </w:rPr>
        <w:t>rganisation reported a loss before taxation worth £2.8 billion for the period, specifically associated with impairment charges associated with the pandemic's consequence on its business.</w:t>
      </w:r>
    </w:p>
    <w:p w:rsidR="00FA49FE" w:rsidRPr="001865B0" w:rsidRDefault="00B845B7" w:rsidP="001865B0">
      <w:pPr>
        <w:pStyle w:val="NormalWeb"/>
        <w:spacing w:before="240" w:beforeAutospacing="0" w:after="240" w:afterAutospacing="0" w:line="360" w:lineRule="auto"/>
        <w:jc w:val="both"/>
      </w:pPr>
      <w:r w:rsidRPr="001865B0">
        <w:rPr>
          <w:color w:val="000000"/>
        </w:rPr>
        <w:t>The key resources of FirstGroup comprise its extensive network of tra</w:t>
      </w:r>
      <w:r w:rsidRPr="001865B0">
        <w:rPr>
          <w:color w:val="000000"/>
        </w:rPr>
        <w:t>nsit, trains, and bus services followed by its experienced workforce and management team. The organisation's scale and size of its crucial bargaining power with suppliers, whereas its developed brands in the context of the transport industry help to retain</w:t>
      </w:r>
      <w:r w:rsidRPr="001865B0">
        <w:rPr>
          <w:color w:val="000000"/>
        </w:rPr>
        <w:t xml:space="preserve"> and attract potential customers. The investments in digital technologies, for instance, its mobile payment and ticketing platform ensure FirstGroup to improve its operational efficiency and customer experience</w:t>
      </w:r>
      <w:r w:rsidR="0075541E">
        <w:rPr>
          <w:color w:val="000000"/>
        </w:rPr>
        <w:t xml:space="preserve"> </w:t>
      </w:r>
      <w:r w:rsidR="0075541E">
        <w:rPr>
          <w:color w:val="000000"/>
        </w:rPr>
        <w:t>(</w:t>
      </w:r>
      <w:r w:rsidR="0075541E" w:rsidRPr="00F17168">
        <w:rPr>
          <w:iCs/>
        </w:rPr>
        <w:t>FirstGroup Plc | About Us</w:t>
      </w:r>
      <w:r w:rsidR="0075541E">
        <w:t xml:space="preserve">, </w:t>
      </w:r>
      <w:r w:rsidR="0075541E" w:rsidRPr="00F17168">
        <w:t>2023)</w:t>
      </w:r>
      <w:r w:rsidRPr="001865B0">
        <w:rPr>
          <w:color w:val="000000"/>
        </w:rPr>
        <w:t>. Moreover, FirstGroup evolves with numerous i</w:t>
      </w:r>
      <w:r w:rsidRPr="001865B0">
        <w:rPr>
          <w:color w:val="000000"/>
        </w:rPr>
        <w:t>ssues in the context of fulfilling its objectives within its marketplaces. One of the prominent issues is the ongoing consequence of the Covid-19 pandemic on its operations. The pandemic has led to a majority demand reduction for public transport services,</w:t>
      </w:r>
      <w:r w:rsidRPr="001865B0">
        <w:rPr>
          <w:color w:val="000000"/>
        </w:rPr>
        <w:t xml:space="preserve"> especially in urban regions, and has also forced it to adapt its operations to the evolving customer requirements. The financial position of the company has also been affected leading to reporting major losses in the past period concerning high expenses a</w:t>
      </w:r>
      <w:r w:rsidRPr="001865B0">
        <w:rPr>
          <w:color w:val="000000"/>
        </w:rPr>
        <w:t>nd impairment charges. Another major issue for FirstGroup is competition within the transportation sector. FirstGroup faces competition from other developed operators including new disruptors and entrants such as car-sharing services and ride-hailing. As a</w:t>
      </w:r>
      <w:r w:rsidRPr="001865B0">
        <w:rPr>
          <w:color w:val="000000"/>
        </w:rPr>
        <w:t xml:space="preserve"> </w:t>
      </w:r>
      <w:r w:rsidRPr="001865B0">
        <w:rPr>
          <w:color w:val="000000"/>
        </w:rPr>
        <w:lastRenderedPageBreak/>
        <w:t>consequence, the company should continue investing in innovative services and technologies to meet their customer’s changing needs and stiff competition. Referring to the annual reports of the recent periods, the report intends to analyse the financial st</w:t>
      </w:r>
      <w:r w:rsidRPr="001865B0">
        <w:rPr>
          <w:color w:val="000000"/>
        </w:rPr>
        <w:t>ructure of FirstGroup including offering adequate recommendations about the same. </w:t>
      </w:r>
    </w:p>
    <w:p w:rsidR="00CF0F6B" w:rsidRPr="001865B0" w:rsidRDefault="00B845B7" w:rsidP="001865B0">
      <w:pPr>
        <w:pStyle w:val="Heading1"/>
        <w:rPr>
          <w:lang w:val="en-US"/>
        </w:rPr>
      </w:pPr>
      <w:bookmarkStart w:id="2" w:name="_Toc133429714"/>
      <w:r w:rsidRPr="001865B0">
        <w:rPr>
          <w:lang w:val="en-US"/>
        </w:rPr>
        <w:t>(ii) Evaluation of the First Group Plc’s financial statements and other financial information</w:t>
      </w:r>
      <w:bookmarkEnd w:id="2"/>
      <w:r w:rsidR="00060795" w:rsidRPr="001865B0">
        <w:rPr>
          <w:lang w:val="en-US"/>
        </w:rPr>
        <w:t xml:space="preserve"> </w:t>
      </w:r>
    </w:p>
    <w:p w:rsidR="00CE5A60" w:rsidRPr="001865B0" w:rsidRDefault="00B845B7" w:rsidP="001865B0">
      <w:pPr>
        <w:pStyle w:val="Heading2"/>
        <w:rPr>
          <w:b w:val="0"/>
          <w:lang w:val="en-US"/>
        </w:rPr>
      </w:pPr>
      <w:bookmarkStart w:id="3" w:name="_Toc133429715"/>
      <w:r w:rsidRPr="001865B0">
        <w:rPr>
          <w:lang w:val="en-US"/>
        </w:rPr>
        <w:t>Profitability performance</w:t>
      </w:r>
      <w:bookmarkEnd w:id="3"/>
    </w:p>
    <w:p w:rsidR="00C579EA"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Operating profit margin</w:t>
      </w:r>
    </w:p>
    <w:p w:rsidR="00EC57DB" w:rsidRPr="001865B0" w:rsidRDefault="00B845B7" w:rsidP="001865B0">
      <w:pPr>
        <w:spacing w:line="360" w:lineRule="auto"/>
        <w:jc w:val="center"/>
        <w:rPr>
          <w:rFonts w:ascii="Times New Roman" w:hAnsi="Times New Roman" w:cs="Times New Roman"/>
          <w:b/>
          <w:i/>
          <w:sz w:val="24"/>
          <w:szCs w:val="24"/>
          <w:lang w:val="en-US"/>
        </w:rPr>
      </w:pPr>
      <w:r w:rsidRPr="001865B0">
        <w:rPr>
          <w:rFonts w:ascii="Times New Roman" w:hAnsi="Times New Roman" w:cs="Times New Roman"/>
          <w:noProof/>
          <w:sz w:val="24"/>
          <w:szCs w:val="24"/>
          <w:lang w:eastAsia="en-IN"/>
        </w:rPr>
        <w:drawing>
          <wp:inline distT="0" distB="0" distL="0" distR="0">
            <wp:extent cx="3873500" cy="1663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4101F"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t>Figure 1: Graph indicating</w:t>
      </w:r>
      <w:r w:rsidRPr="001865B0">
        <w:rPr>
          <w:rFonts w:ascii="Times New Roman" w:hAnsi="Times New Roman" w:cs="Times New Roman"/>
          <w:b/>
          <w:sz w:val="24"/>
          <w:szCs w:val="24"/>
          <w:lang w:val="en-US"/>
        </w:rPr>
        <w:t xml:space="preserve"> the operating profit structure of First Group Plc over the last 3 years</w:t>
      </w:r>
    </w:p>
    <w:p w:rsidR="0085174D"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t>(Source: Self-created)</w:t>
      </w:r>
    </w:p>
    <w:p w:rsidR="002328E8" w:rsidRPr="001865B0" w:rsidRDefault="00B845B7" w:rsidP="001865B0">
      <w:pPr>
        <w:pStyle w:val="NormalWeb"/>
        <w:spacing w:before="240" w:beforeAutospacing="0" w:after="240" w:afterAutospacing="0" w:line="360" w:lineRule="auto"/>
        <w:jc w:val="both"/>
      </w:pPr>
      <w:r w:rsidRPr="001865B0">
        <w:rPr>
          <w:b/>
          <w:lang w:val="en-US"/>
        </w:rPr>
        <w:t>Analysis:</w:t>
      </w:r>
      <w:r w:rsidRPr="001865B0">
        <w:rPr>
          <w:lang w:val="en-US"/>
        </w:rPr>
        <w:t xml:space="preserve"> </w:t>
      </w:r>
      <w:r w:rsidRPr="001865B0">
        <w:rPr>
          <w:color w:val="000000"/>
        </w:rPr>
        <w:t>The operating profit margin of FirstGroup Plc decreased from 5% in 2021 to 3% in 2022. Although the operating profit margin of the company has decreased, it has not decreased as significantly as it did from -2% in 2020. This in return shows that the busine</w:t>
      </w:r>
      <w:r w:rsidRPr="001865B0">
        <w:rPr>
          <w:color w:val="000000"/>
        </w:rPr>
        <w:t>ss has been able to increase its profitability over the past two years by acquiring a better structure of operating profit and revenue in both of the years of 2021 and 2022</w:t>
      </w:r>
      <w:r w:rsidR="0047094A">
        <w:rPr>
          <w:color w:val="000000"/>
        </w:rPr>
        <w:t xml:space="preserve"> (</w:t>
      </w:r>
      <w:r w:rsidR="0047094A">
        <w:rPr>
          <w:color w:val="222222"/>
          <w:shd w:val="clear" w:color="auto" w:fill="FFFFFF"/>
        </w:rPr>
        <w:t xml:space="preserve">Alvarez </w:t>
      </w:r>
      <w:r w:rsidR="0047094A" w:rsidRPr="0047094A">
        <w:rPr>
          <w:i/>
          <w:color w:val="222222"/>
          <w:shd w:val="clear" w:color="auto" w:fill="FFFFFF"/>
        </w:rPr>
        <w:t>et al.</w:t>
      </w:r>
      <w:r w:rsidR="0047094A">
        <w:rPr>
          <w:color w:val="222222"/>
          <w:shd w:val="clear" w:color="auto" w:fill="FFFFFF"/>
        </w:rPr>
        <w:t xml:space="preserve"> </w:t>
      </w:r>
      <w:r w:rsidR="0047094A" w:rsidRPr="00F17168">
        <w:rPr>
          <w:color w:val="222222"/>
          <w:shd w:val="clear" w:color="auto" w:fill="FFFFFF"/>
        </w:rPr>
        <w:t>2021</w:t>
      </w:r>
      <w:r w:rsidR="0047094A">
        <w:rPr>
          <w:color w:val="222222"/>
          <w:shd w:val="clear" w:color="auto" w:fill="FFFFFF"/>
        </w:rPr>
        <w:t>)</w:t>
      </w:r>
      <w:r w:rsidRPr="001865B0">
        <w:rPr>
          <w:color w:val="000000"/>
        </w:rPr>
        <w:t xml:space="preserve">. </w:t>
      </w:r>
    </w:p>
    <w:p w:rsidR="006644D5"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Net profit margin</w:t>
      </w:r>
    </w:p>
    <w:p w:rsidR="00663447" w:rsidRPr="001865B0" w:rsidRDefault="00B845B7" w:rsidP="001865B0">
      <w:pPr>
        <w:spacing w:line="360" w:lineRule="auto"/>
        <w:jc w:val="center"/>
        <w:rPr>
          <w:rFonts w:ascii="Times New Roman" w:hAnsi="Times New Roman" w:cs="Times New Roman"/>
          <w:b/>
          <w:i/>
          <w:sz w:val="24"/>
          <w:szCs w:val="24"/>
          <w:lang w:val="en-US"/>
        </w:rPr>
      </w:pPr>
      <w:r w:rsidRPr="001865B0">
        <w:rPr>
          <w:rFonts w:ascii="Times New Roman" w:hAnsi="Times New Roman" w:cs="Times New Roman"/>
          <w:noProof/>
          <w:sz w:val="24"/>
          <w:szCs w:val="24"/>
          <w:lang w:eastAsia="en-IN"/>
        </w:rPr>
        <w:drawing>
          <wp:inline distT="0" distB="0" distL="0" distR="0">
            <wp:extent cx="3987800" cy="1676400"/>
            <wp:effectExtent l="0" t="0" r="1270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74A0C"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lastRenderedPageBreak/>
        <w:t xml:space="preserve">Figure 2: Graph showing the net profit structure of First </w:t>
      </w:r>
      <w:r w:rsidRPr="001865B0">
        <w:rPr>
          <w:rFonts w:ascii="Times New Roman" w:hAnsi="Times New Roman" w:cs="Times New Roman"/>
          <w:b/>
          <w:sz w:val="24"/>
          <w:szCs w:val="24"/>
          <w:lang w:val="en-US"/>
        </w:rPr>
        <w:t>Group Plc over the last 3 years</w:t>
      </w:r>
    </w:p>
    <w:p w:rsidR="00374A0C"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t>(Source: Self-created)</w:t>
      </w:r>
    </w:p>
    <w:p w:rsidR="002328E8" w:rsidRPr="001865B0" w:rsidRDefault="00B845B7" w:rsidP="001865B0">
      <w:pPr>
        <w:pStyle w:val="NormalWeb"/>
        <w:spacing w:before="240" w:beforeAutospacing="0" w:after="240" w:afterAutospacing="0" w:line="360" w:lineRule="auto"/>
        <w:jc w:val="both"/>
      </w:pPr>
      <w:r w:rsidRPr="001865B0">
        <w:rPr>
          <w:b/>
          <w:lang w:val="en-US"/>
        </w:rPr>
        <w:t>Analysis:</w:t>
      </w:r>
      <w:r w:rsidRPr="001865B0">
        <w:rPr>
          <w:lang w:val="en-US"/>
        </w:rPr>
        <w:t xml:space="preserve"> </w:t>
      </w:r>
      <w:r w:rsidRPr="001865B0">
        <w:rPr>
          <w:color w:val="000000"/>
        </w:rPr>
        <w:t xml:space="preserve">The net profit margin of FirstGroup Plc has increased from -4% in 2020 to 2% in 2021. Furthermore, the company experienced a dramatic increase in net profit margin structure in the year 2022 </w:t>
      </w:r>
      <w:r w:rsidRPr="001865B0">
        <w:rPr>
          <w:color w:val="000000"/>
        </w:rPr>
        <w:t>worth 14% in comparison to both of its initial periods of 2020 and 2021</w:t>
      </w:r>
      <w:r w:rsidR="00F92C15">
        <w:rPr>
          <w:color w:val="000000"/>
        </w:rPr>
        <w:t xml:space="preserve"> (</w:t>
      </w:r>
      <w:r w:rsidR="00F92C15" w:rsidRPr="00F17168">
        <w:rPr>
          <w:iCs/>
        </w:rPr>
        <w:t xml:space="preserve">FirstGroup </w:t>
      </w:r>
      <w:r w:rsidR="00F92C15">
        <w:rPr>
          <w:iCs/>
        </w:rPr>
        <w:t xml:space="preserve">Plc| Annual Report and Accounts, </w:t>
      </w:r>
      <w:r w:rsidR="00F92C15" w:rsidRPr="00F17168">
        <w:rPr>
          <w:iCs/>
        </w:rPr>
        <w:t>2022</w:t>
      </w:r>
      <w:r w:rsidR="00F92C15">
        <w:t>)</w:t>
      </w:r>
      <w:r w:rsidRPr="001865B0">
        <w:rPr>
          <w:color w:val="000000"/>
        </w:rPr>
        <w:t xml:space="preserve">. This in return highlights that the business of FirstGroup Plc has been able to keep costs under control and increase its operating earnings in the recent period. </w:t>
      </w:r>
    </w:p>
    <w:p w:rsidR="004A200B" w:rsidRPr="001865B0" w:rsidRDefault="00B845B7" w:rsidP="001865B0">
      <w:pPr>
        <w:pStyle w:val="Heading2"/>
        <w:rPr>
          <w:lang w:val="en-US"/>
        </w:rPr>
      </w:pPr>
      <w:bookmarkStart w:id="4" w:name="_Toc133429716"/>
      <w:r w:rsidRPr="001865B0">
        <w:rPr>
          <w:lang w:val="en-US"/>
        </w:rPr>
        <w:t>Liquidity performanc</w:t>
      </w:r>
      <w:r w:rsidRPr="001865B0">
        <w:rPr>
          <w:lang w:val="en-US"/>
        </w:rPr>
        <w:t>e</w:t>
      </w:r>
      <w:bookmarkEnd w:id="4"/>
    </w:p>
    <w:p w:rsidR="006644D5"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Current ratio</w:t>
      </w:r>
    </w:p>
    <w:p w:rsidR="00663447" w:rsidRPr="001865B0" w:rsidRDefault="00B845B7" w:rsidP="001865B0">
      <w:pPr>
        <w:spacing w:line="360" w:lineRule="auto"/>
        <w:jc w:val="center"/>
        <w:rPr>
          <w:rFonts w:ascii="Times New Roman" w:hAnsi="Times New Roman" w:cs="Times New Roman"/>
          <w:b/>
          <w:i/>
          <w:sz w:val="24"/>
          <w:szCs w:val="24"/>
          <w:lang w:val="en-US"/>
        </w:rPr>
      </w:pPr>
      <w:r w:rsidRPr="001865B0">
        <w:rPr>
          <w:rFonts w:ascii="Times New Roman" w:hAnsi="Times New Roman" w:cs="Times New Roman"/>
          <w:noProof/>
          <w:sz w:val="24"/>
          <w:szCs w:val="24"/>
          <w:lang w:eastAsia="en-IN"/>
        </w:rPr>
        <w:drawing>
          <wp:inline distT="0" distB="0" distL="0" distR="0">
            <wp:extent cx="3962400" cy="2298700"/>
            <wp:effectExtent l="0" t="0" r="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E1F10"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t>Figure 3: Gr</w:t>
      </w:r>
      <w:r w:rsidR="009F618A" w:rsidRPr="001865B0">
        <w:rPr>
          <w:rFonts w:ascii="Times New Roman" w:hAnsi="Times New Roman" w:cs="Times New Roman"/>
          <w:b/>
          <w:sz w:val="24"/>
          <w:szCs w:val="24"/>
          <w:lang w:val="en-US"/>
        </w:rPr>
        <w:t xml:space="preserve">aph highlighting the current ratio </w:t>
      </w:r>
      <w:r w:rsidRPr="001865B0">
        <w:rPr>
          <w:rFonts w:ascii="Times New Roman" w:hAnsi="Times New Roman" w:cs="Times New Roman"/>
          <w:b/>
          <w:sz w:val="24"/>
          <w:szCs w:val="24"/>
          <w:lang w:val="en-US"/>
        </w:rPr>
        <w:t>structure of First Group Plc over the last 3 years</w:t>
      </w:r>
    </w:p>
    <w:p w:rsidR="00CE1F10"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t>(Source: Self-created)</w:t>
      </w:r>
    </w:p>
    <w:p w:rsidR="00A437D8" w:rsidRPr="001865B0" w:rsidRDefault="00B845B7" w:rsidP="001865B0">
      <w:pPr>
        <w:pStyle w:val="NormalWeb"/>
        <w:spacing w:before="240" w:beforeAutospacing="0" w:after="240" w:afterAutospacing="0" w:line="360" w:lineRule="auto"/>
        <w:jc w:val="both"/>
      </w:pPr>
      <w:r w:rsidRPr="001865B0">
        <w:rPr>
          <w:b/>
          <w:lang w:val="en-US"/>
        </w:rPr>
        <w:t>Analysis:</w:t>
      </w:r>
      <w:r w:rsidRPr="001865B0">
        <w:rPr>
          <w:lang w:val="en-US"/>
        </w:rPr>
        <w:t xml:space="preserve"> </w:t>
      </w:r>
      <w:r w:rsidRPr="001865B0">
        <w:rPr>
          <w:color w:val="000000"/>
        </w:rPr>
        <w:t>FirstGroup Plc incurs a current ratio structure worth 0.75 in 2020, 0.71 in 2021, and 0.74 in the year 2022. Moreover, it is identified that the current ratio for the company has been very consistent over the last three years</w:t>
      </w:r>
      <w:r w:rsidR="00426799">
        <w:rPr>
          <w:color w:val="000000"/>
        </w:rPr>
        <w:t xml:space="preserve"> </w:t>
      </w:r>
      <w:r w:rsidR="00426799">
        <w:rPr>
          <w:color w:val="000000"/>
        </w:rPr>
        <w:t>(</w:t>
      </w:r>
      <w:r w:rsidR="00426799">
        <w:rPr>
          <w:color w:val="222222"/>
          <w:shd w:val="clear" w:color="auto" w:fill="FFFFFF"/>
        </w:rPr>
        <w:t xml:space="preserve">Gafrej and Boujelbéne, </w:t>
      </w:r>
      <w:r w:rsidR="00426799" w:rsidRPr="00F17168">
        <w:rPr>
          <w:color w:val="222222"/>
          <w:shd w:val="clear" w:color="auto" w:fill="FFFFFF"/>
        </w:rPr>
        <w:t>2022</w:t>
      </w:r>
      <w:r w:rsidR="00426799">
        <w:rPr>
          <w:color w:val="222222"/>
          <w:shd w:val="clear" w:color="auto" w:fill="FFFFFF"/>
        </w:rPr>
        <w:t>)</w:t>
      </w:r>
      <w:r w:rsidRPr="001865B0">
        <w:rPr>
          <w:color w:val="000000"/>
        </w:rPr>
        <w:t>. This condition also signifies</w:t>
      </w:r>
      <w:r w:rsidRPr="001865B0">
        <w:rPr>
          <w:color w:val="000000"/>
        </w:rPr>
        <w:t xml:space="preserve"> that FirstGroup Plc is not able to specifically pay off its short-term debt obligations with the help of the structure of its current assets. </w:t>
      </w:r>
    </w:p>
    <w:p w:rsidR="008F1650" w:rsidRDefault="008F1650" w:rsidP="001865B0">
      <w:pPr>
        <w:spacing w:line="360" w:lineRule="auto"/>
        <w:jc w:val="both"/>
        <w:rPr>
          <w:rFonts w:ascii="Times New Roman" w:hAnsi="Times New Roman" w:cs="Times New Roman"/>
          <w:b/>
          <w:i/>
          <w:sz w:val="24"/>
          <w:szCs w:val="24"/>
          <w:lang w:val="en-US"/>
        </w:rPr>
      </w:pPr>
    </w:p>
    <w:p w:rsidR="008F1650" w:rsidRDefault="008F1650" w:rsidP="001865B0">
      <w:pPr>
        <w:spacing w:line="360" w:lineRule="auto"/>
        <w:jc w:val="both"/>
        <w:rPr>
          <w:rFonts w:ascii="Times New Roman" w:hAnsi="Times New Roman" w:cs="Times New Roman"/>
          <w:b/>
          <w:i/>
          <w:sz w:val="24"/>
          <w:szCs w:val="24"/>
          <w:lang w:val="en-US"/>
        </w:rPr>
      </w:pPr>
    </w:p>
    <w:p w:rsidR="008F1650" w:rsidRDefault="008F1650" w:rsidP="001865B0">
      <w:pPr>
        <w:spacing w:line="360" w:lineRule="auto"/>
        <w:jc w:val="both"/>
        <w:rPr>
          <w:rFonts w:ascii="Times New Roman" w:hAnsi="Times New Roman" w:cs="Times New Roman"/>
          <w:b/>
          <w:i/>
          <w:sz w:val="24"/>
          <w:szCs w:val="24"/>
          <w:lang w:val="en-US"/>
        </w:rPr>
      </w:pPr>
    </w:p>
    <w:p w:rsidR="006644D5"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Quick ratio</w:t>
      </w:r>
    </w:p>
    <w:p w:rsidR="00663447" w:rsidRPr="001865B0" w:rsidRDefault="00B845B7" w:rsidP="001865B0">
      <w:pPr>
        <w:spacing w:line="360" w:lineRule="auto"/>
        <w:jc w:val="center"/>
        <w:rPr>
          <w:rFonts w:ascii="Times New Roman" w:hAnsi="Times New Roman" w:cs="Times New Roman"/>
          <w:b/>
          <w:i/>
          <w:sz w:val="24"/>
          <w:szCs w:val="24"/>
          <w:lang w:val="en-US"/>
        </w:rPr>
      </w:pPr>
      <w:r w:rsidRPr="001865B0">
        <w:rPr>
          <w:rFonts w:ascii="Times New Roman" w:hAnsi="Times New Roman" w:cs="Times New Roman"/>
          <w:noProof/>
          <w:sz w:val="24"/>
          <w:szCs w:val="24"/>
          <w:lang w:eastAsia="en-IN"/>
        </w:rPr>
        <w:drawing>
          <wp:inline distT="0" distB="0" distL="0" distR="0">
            <wp:extent cx="4165600" cy="1866900"/>
            <wp:effectExtent l="0" t="0" r="63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10C0"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t>Figure 4: Graph offering quick ratio structure of First Group Plc over the last 3 years</w:t>
      </w:r>
    </w:p>
    <w:p w:rsidR="00F810C0"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t xml:space="preserve">(Source: </w:t>
      </w:r>
      <w:r w:rsidRPr="001865B0">
        <w:rPr>
          <w:rFonts w:ascii="Times New Roman" w:hAnsi="Times New Roman" w:cs="Times New Roman"/>
          <w:sz w:val="24"/>
          <w:szCs w:val="24"/>
          <w:lang w:val="en-US"/>
        </w:rPr>
        <w:t>Self-created)</w:t>
      </w:r>
    </w:p>
    <w:p w:rsidR="009C242E" w:rsidRPr="001865B0" w:rsidRDefault="00B845B7" w:rsidP="001865B0">
      <w:pPr>
        <w:pStyle w:val="NormalWeb"/>
        <w:spacing w:before="240" w:beforeAutospacing="0" w:after="240" w:afterAutospacing="0" w:line="360" w:lineRule="auto"/>
        <w:jc w:val="both"/>
      </w:pPr>
      <w:r w:rsidRPr="001865B0">
        <w:rPr>
          <w:b/>
          <w:lang w:val="en-US"/>
        </w:rPr>
        <w:t>Analysis:</w:t>
      </w:r>
      <w:r w:rsidRPr="001865B0">
        <w:rPr>
          <w:lang w:val="en-US"/>
        </w:rPr>
        <w:t xml:space="preserve"> </w:t>
      </w:r>
      <w:r w:rsidRPr="001865B0">
        <w:rPr>
          <w:color w:val="000000"/>
        </w:rPr>
        <w:t>The quick or acid-test ratio of FirstGroup Plc is explored as 0.73 in 2020, 0.70 in 2021, and 0.72 in 2022. It is relevant to exclaim that the quick ratio held steady, fluctuating between 0.70 and 0.73 between 2020 and 2022. Further</w:t>
      </w:r>
      <w:r w:rsidRPr="001865B0">
        <w:rPr>
          <w:color w:val="000000"/>
        </w:rPr>
        <w:t>more, it indicates that the quick assets of the company fall short of covering its current liabilities and hereby provide a sign that the business has cash flow issues</w:t>
      </w:r>
      <w:r w:rsidR="00FA62F8">
        <w:rPr>
          <w:color w:val="000000"/>
        </w:rPr>
        <w:t xml:space="preserve"> (</w:t>
      </w:r>
      <w:r w:rsidR="00FA62F8">
        <w:rPr>
          <w:color w:val="222222"/>
          <w:shd w:val="clear" w:color="auto" w:fill="FFFFFF"/>
        </w:rPr>
        <w:t xml:space="preserve">Arsyad </w:t>
      </w:r>
      <w:r w:rsidR="00FA62F8" w:rsidRPr="00FA62F8">
        <w:rPr>
          <w:i/>
          <w:color w:val="222222"/>
          <w:shd w:val="clear" w:color="auto" w:fill="FFFFFF"/>
        </w:rPr>
        <w:t>et al.</w:t>
      </w:r>
      <w:r w:rsidR="00FA62F8">
        <w:rPr>
          <w:color w:val="222222"/>
          <w:shd w:val="clear" w:color="auto" w:fill="FFFFFF"/>
        </w:rPr>
        <w:t xml:space="preserve"> </w:t>
      </w:r>
      <w:r w:rsidR="00FA62F8" w:rsidRPr="00F17168">
        <w:rPr>
          <w:color w:val="222222"/>
          <w:shd w:val="clear" w:color="auto" w:fill="FFFFFF"/>
        </w:rPr>
        <w:t>2021</w:t>
      </w:r>
      <w:r w:rsidR="00FA62F8">
        <w:rPr>
          <w:color w:val="222222"/>
          <w:shd w:val="clear" w:color="auto" w:fill="FFFFFF"/>
        </w:rPr>
        <w:t>)</w:t>
      </w:r>
      <w:r w:rsidRPr="001865B0">
        <w:rPr>
          <w:color w:val="000000"/>
        </w:rPr>
        <w:t>.</w:t>
      </w:r>
    </w:p>
    <w:p w:rsidR="004A200B" w:rsidRPr="001865B0" w:rsidRDefault="00B845B7" w:rsidP="001865B0">
      <w:pPr>
        <w:pStyle w:val="Heading2"/>
        <w:rPr>
          <w:lang w:val="en-US"/>
        </w:rPr>
      </w:pPr>
      <w:bookmarkStart w:id="5" w:name="_Toc133429717"/>
      <w:r w:rsidRPr="001865B0">
        <w:rPr>
          <w:lang w:val="en-US"/>
        </w:rPr>
        <w:t>Solvency performance</w:t>
      </w:r>
      <w:bookmarkEnd w:id="5"/>
    </w:p>
    <w:p w:rsidR="006644D5"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Debt to equity ratio</w:t>
      </w:r>
    </w:p>
    <w:p w:rsidR="003326C9" w:rsidRPr="001865B0" w:rsidRDefault="00B845B7" w:rsidP="001865B0">
      <w:pPr>
        <w:spacing w:line="360" w:lineRule="auto"/>
        <w:jc w:val="center"/>
        <w:rPr>
          <w:rFonts w:ascii="Times New Roman" w:hAnsi="Times New Roman" w:cs="Times New Roman"/>
          <w:b/>
          <w:i/>
          <w:sz w:val="24"/>
          <w:szCs w:val="24"/>
          <w:lang w:val="en-US"/>
        </w:rPr>
      </w:pPr>
      <w:r w:rsidRPr="001865B0">
        <w:rPr>
          <w:rFonts w:ascii="Times New Roman" w:hAnsi="Times New Roman" w:cs="Times New Roman"/>
          <w:noProof/>
          <w:sz w:val="24"/>
          <w:szCs w:val="24"/>
          <w:lang w:eastAsia="en-IN"/>
        </w:rPr>
        <w:drawing>
          <wp:inline distT="0" distB="0" distL="0" distR="0">
            <wp:extent cx="4064000" cy="2344420"/>
            <wp:effectExtent l="0" t="0" r="1270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D4BC6"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t xml:space="preserve">Figure 5: Graph reflecting debt to equity </w:t>
      </w:r>
      <w:r w:rsidRPr="001865B0">
        <w:rPr>
          <w:rFonts w:ascii="Times New Roman" w:hAnsi="Times New Roman" w:cs="Times New Roman"/>
          <w:b/>
          <w:sz w:val="24"/>
          <w:szCs w:val="24"/>
          <w:lang w:val="en-US"/>
        </w:rPr>
        <w:t>structure of First Group Plc over the last 3 years</w:t>
      </w:r>
    </w:p>
    <w:p w:rsidR="008D4BC6"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lastRenderedPageBreak/>
        <w:t>(Source: Self-created)</w:t>
      </w:r>
    </w:p>
    <w:p w:rsidR="00574AA4" w:rsidRPr="001865B0" w:rsidRDefault="00B845B7" w:rsidP="001865B0">
      <w:pPr>
        <w:pStyle w:val="NormalWeb"/>
        <w:spacing w:before="240" w:beforeAutospacing="0" w:after="240" w:afterAutospacing="0" w:line="360" w:lineRule="auto"/>
        <w:jc w:val="both"/>
      </w:pPr>
      <w:r w:rsidRPr="001865B0">
        <w:rPr>
          <w:b/>
          <w:lang w:val="en-US"/>
        </w:rPr>
        <w:t>Analysis:</w:t>
      </w:r>
      <w:r w:rsidRPr="001865B0">
        <w:rPr>
          <w:lang w:val="en-US"/>
        </w:rPr>
        <w:t xml:space="preserve"> </w:t>
      </w:r>
      <w:r w:rsidRPr="001865B0">
        <w:rPr>
          <w:color w:val="000000"/>
        </w:rPr>
        <w:t>The debt-to-equity ratio of FirstGroup Plc has increased from 6.09 in 2020 to 6.19 in 2021, showing that the firm possesses a higher debt structure during this period</w:t>
      </w:r>
      <w:r w:rsidR="002836AF">
        <w:rPr>
          <w:color w:val="000000"/>
        </w:rPr>
        <w:t xml:space="preserve"> (</w:t>
      </w:r>
      <w:r w:rsidR="002836AF" w:rsidRPr="00F17168">
        <w:rPr>
          <w:iCs/>
        </w:rPr>
        <w:t xml:space="preserve">FirstGroup </w:t>
      </w:r>
      <w:r w:rsidR="002836AF">
        <w:rPr>
          <w:iCs/>
        </w:rPr>
        <w:t>Plc| Annual Report and Accounts, 2021</w:t>
      </w:r>
      <w:r w:rsidR="002836AF">
        <w:t>)</w:t>
      </w:r>
      <w:r w:rsidRPr="001865B0">
        <w:rPr>
          <w:color w:val="000000"/>
        </w:rPr>
        <w:t>. More</w:t>
      </w:r>
      <w:r w:rsidRPr="001865B0">
        <w:rPr>
          <w:color w:val="000000"/>
        </w:rPr>
        <w:t>over, the value subsequently decreases in 2022 with a structure of 3.33 in comparison to both of its previous periods and hereby reflects that the company has been able to significantly lower its debt levels during the year. Furthermore, the corporation ma</w:t>
      </w:r>
      <w:r w:rsidRPr="001865B0">
        <w:rPr>
          <w:color w:val="000000"/>
        </w:rPr>
        <w:t>y still be exposed to some financial risk concerning acquiring a higher debt structure in comparison to its equity figures.</w:t>
      </w:r>
    </w:p>
    <w:p w:rsidR="006644D5"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Interest coverage ratio</w:t>
      </w:r>
    </w:p>
    <w:p w:rsidR="00B20DC1" w:rsidRPr="001865B0" w:rsidRDefault="00B845B7" w:rsidP="001865B0">
      <w:pPr>
        <w:spacing w:line="360" w:lineRule="auto"/>
        <w:jc w:val="center"/>
        <w:rPr>
          <w:rFonts w:ascii="Times New Roman" w:hAnsi="Times New Roman" w:cs="Times New Roman"/>
          <w:b/>
          <w:i/>
          <w:sz w:val="24"/>
          <w:szCs w:val="24"/>
          <w:lang w:val="en-US"/>
        </w:rPr>
      </w:pPr>
      <w:r w:rsidRPr="001865B0">
        <w:rPr>
          <w:rFonts w:ascii="Times New Roman" w:hAnsi="Times New Roman" w:cs="Times New Roman"/>
          <w:noProof/>
          <w:sz w:val="24"/>
          <w:szCs w:val="24"/>
          <w:lang w:eastAsia="en-IN"/>
        </w:rPr>
        <w:drawing>
          <wp:inline distT="0" distB="0" distL="0" distR="0">
            <wp:extent cx="3822700" cy="2247900"/>
            <wp:effectExtent l="0" t="0" r="63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D395A"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t>Figure 6</w:t>
      </w:r>
      <w:r w:rsidR="001B19E7" w:rsidRPr="001865B0">
        <w:rPr>
          <w:rFonts w:ascii="Times New Roman" w:hAnsi="Times New Roman" w:cs="Times New Roman"/>
          <w:b/>
          <w:sz w:val="24"/>
          <w:szCs w:val="24"/>
          <w:lang w:val="en-US"/>
        </w:rPr>
        <w:t>: Graph providing interest coverage</w:t>
      </w:r>
      <w:r w:rsidRPr="001865B0">
        <w:rPr>
          <w:rFonts w:ascii="Times New Roman" w:hAnsi="Times New Roman" w:cs="Times New Roman"/>
          <w:b/>
          <w:sz w:val="24"/>
          <w:szCs w:val="24"/>
          <w:lang w:val="en-US"/>
        </w:rPr>
        <w:t xml:space="preserve"> structure of First Group Plc over the last 3 years</w:t>
      </w:r>
    </w:p>
    <w:p w:rsidR="000D395A"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t xml:space="preserve">(Source: </w:t>
      </w:r>
      <w:r w:rsidRPr="001865B0">
        <w:rPr>
          <w:rFonts w:ascii="Times New Roman" w:hAnsi="Times New Roman" w:cs="Times New Roman"/>
          <w:sz w:val="24"/>
          <w:szCs w:val="24"/>
          <w:lang w:val="en-US"/>
        </w:rPr>
        <w:t>Self-created)</w:t>
      </w:r>
    </w:p>
    <w:p w:rsidR="006A499C" w:rsidRPr="001865B0" w:rsidRDefault="00B845B7" w:rsidP="001865B0">
      <w:pPr>
        <w:pStyle w:val="NormalWeb"/>
        <w:spacing w:before="240" w:beforeAutospacing="0" w:after="240" w:afterAutospacing="0" w:line="360" w:lineRule="auto"/>
        <w:jc w:val="both"/>
      </w:pPr>
      <w:r w:rsidRPr="001865B0">
        <w:rPr>
          <w:b/>
          <w:lang w:val="en-US"/>
        </w:rPr>
        <w:t>Analysis:</w:t>
      </w:r>
      <w:r w:rsidRPr="001865B0">
        <w:rPr>
          <w:lang w:val="en-US"/>
        </w:rPr>
        <w:t xml:space="preserve"> </w:t>
      </w:r>
      <w:r w:rsidRPr="001865B0">
        <w:rPr>
          <w:color w:val="000000"/>
        </w:rPr>
        <w:t xml:space="preserve">In 2020, FirstGroup Plc's interest coverage ratio was negative, indicating that the business did not make enough money to pay its interest costs. However, this ratio dramatically improved in 2021 and 2022, showing that the business </w:t>
      </w:r>
      <w:r w:rsidRPr="001865B0">
        <w:rPr>
          <w:color w:val="000000"/>
        </w:rPr>
        <w:t>was able to increase its operating profits and lower its financial risk during both of these periods.</w:t>
      </w:r>
    </w:p>
    <w:p w:rsidR="004A200B" w:rsidRPr="001865B0" w:rsidRDefault="00B845B7" w:rsidP="001865B0">
      <w:pPr>
        <w:pStyle w:val="Heading2"/>
        <w:rPr>
          <w:lang w:val="en-US"/>
        </w:rPr>
      </w:pPr>
      <w:bookmarkStart w:id="6" w:name="_Toc133429718"/>
      <w:r w:rsidRPr="001865B0">
        <w:rPr>
          <w:lang w:val="en-US"/>
        </w:rPr>
        <w:t>Efficiency performance</w:t>
      </w:r>
      <w:bookmarkEnd w:id="6"/>
      <w:r w:rsidRPr="001865B0">
        <w:rPr>
          <w:lang w:val="en-US"/>
        </w:rPr>
        <w:t xml:space="preserve"> </w:t>
      </w:r>
    </w:p>
    <w:p w:rsidR="00E30CFC"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Asset turnover ratio</w:t>
      </w:r>
    </w:p>
    <w:p w:rsidR="00B20DC1" w:rsidRPr="001865B0" w:rsidRDefault="00B845B7" w:rsidP="001865B0">
      <w:pPr>
        <w:spacing w:line="360" w:lineRule="auto"/>
        <w:jc w:val="center"/>
        <w:rPr>
          <w:rFonts w:ascii="Times New Roman" w:hAnsi="Times New Roman" w:cs="Times New Roman"/>
          <w:b/>
          <w:i/>
          <w:sz w:val="24"/>
          <w:szCs w:val="24"/>
          <w:lang w:val="en-US"/>
        </w:rPr>
      </w:pPr>
      <w:r w:rsidRPr="001865B0">
        <w:rPr>
          <w:rFonts w:ascii="Times New Roman" w:hAnsi="Times New Roman" w:cs="Times New Roman"/>
          <w:noProof/>
          <w:sz w:val="24"/>
          <w:szCs w:val="24"/>
          <w:lang w:eastAsia="en-IN"/>
        </w:rPr>
        <w:lastRenderedPageBreak/>
        <w:drawing>
          <wp:inline distT="0" distB="0" distL="0" distR="0">
            <wp:extent cx="3667125" cy="2233612"/>
            <wp:effectExtent l="0" t="0" r="952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A1143"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t>Figure 7</w:t>
      </w:r>
      <w:r w:rsidR="00F06411" w:rsidRPr="001865B0">
        <w:rPr>
          <w:rFonts w:ascii="Times New Roman" w:hAnsi="Times New Roman" w:cs="Times New Roman"/>
          <w:b/>
          <w:sz w:val="24"/>
          <w:szCs w:val="24"/>
          <w:lang w:val="en-US"/>
        </w:rPr>
        <w:t>: Graph indicating asset turnover</w:t>
      </w:r>
      <w:r w:rsidRPr="001865B0">
        <w:rPr>
          <w:rFonts w:ascii="Times New Roman" w:hAnsi="Times New Roman" w:cs="Times New Roman"/>
          <w:b/>
          <w:sz w:val="24"/>
          <w:szCs w:val="24"/>
          <w:lang w:val="en-US"/>
        </w:rPr>
        <w:t xml:space="preserve"> structure of First Group Plc over the last 3 years</w:t>
      </w:r>
    </w:p>
    <w:p w:rsidR="00FA1143"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t xml:space="preserve">(Source: </w:t>
      </w:r>
      <w:r w:rsidRPr="001865B0">
        <w:rPr>
          <w:rFonts w:ascii="Times New Roman" w:hAnsi="Times New Roman" w:cs="Times New Roman"/>
          <w:sz w:val="24"/>
          <w:szCs w:val="24"/>
          <w:lang w:val="en-US"/>
        </w:rPr>
        <w:t>Self-created)</w:t>
      </w:r>
    </w:p>
    <w:p w:rsidR="006A499C" w:rsidRPr="001865B0" w:rsidRDefault="00B845B7" w:rsidP="001865B0">
      <w:pPr>
        <w:pStyle w:val="NormalWeb"/>
        <w:spacing w:before="240" w:beforeAutospacing="0" w:after="240" w:afterAutospacing="0" w:line="360" w:lineRule="auto"/>
        <w:jc w:val="both"/>
      </w:pPr>
      <w:r w:rsidRPr="001865B0">
        <w:rPr>
          <w:b/>
          <w:lang w:val="en-US"/>
        </w:rPr>
        <w:t>Analysis:</w:t>
      </w:r>
      <w:r w:rsidRPr="001865B0">
        <w:rPr>
          <w:lang w:val="en-US"/>
        </w:rPr>
        <w:t xml:space="preserve"> </w:t>
      </w:r>
      <w:r w:rsidRPr="001865B0">
        <w:rPr>
          <w:color w:val="000000"/>
        </w:rPr>
        <w:t>FirstGroup Plc's asset turnover ratio increased from 0.55 in 2021 to 0.76 in 2022, demonstrating the company's ability to produce more revenue from its assets. Moreover, this structure identifies as lower than the valuation acquired</w:t>
      </w:r>
      <w:r w:rsidRPr="001865B0">
        <w:rPr>
          <w:color w:val="000000"/>
        </w:rPr>
        <w:t xml:space="preserve"> in the period 2020. The fact that this ratio is still below the industry average suggests that the company may need to increase the effectiveness of how it utilises its assets</w:t>
      </w:r>
      <w:r w:rsidR="00DB506C">
        <w:rPr>
          <w:color w:val="000000"/>
        </w:rPr>
        <w:t xml:space="preserve"> (</w:t>
      </w:r>
      <w:r w:rsidR="00DB506C">
        <w:rPr>
          <w:color w:val="222222"/>
          <w:shd w:val="clear" w:color="auto" w:fill="FFFFFF"/>
        </w:rPr>
        <w:t xml:space="preserve">Beracha </w:t>
      </w:r>
      <w:r w:rsidR="00DB506C" w:rsidRPr="00DB506C">
        <w:rPr>
          <w:i/>
          <w:color w:val="222222"/>
          <w:shd w:val="clear" w:color="auto" w:fill="FFFFFF"/>
        </w:rPr>
        <w:t>et al.</w:t>
      </w:r>
      <w:r w:rsidR="00DB506C">
        <w:rPr>
          <w:color w:val="222222"/>
          <w:shd w:val="clear" w:color="auto" w:fill="FFFFFF"/>
        </w:rPr>
        <w:t xml:space="preserve"> </w:t>
      </w:r>
      <w:r w:rsidR="00DB506C" w:rsidRPr="00F17168">
        <w:rPr>
          <w:color w:val="222222"/>
          <w:shd w:val="clear" w:color="auto" w:fill="FFFFFF"/>
        </w:rPr>
        <w:t>2019</w:t>
      </w:r>
      <w:r w:rsidR="00DB506C">
        <w:rPr>
          <w:color w:val="222222"/>
          <w:shd w:val="clear" w:color="auto" w:fill="FFFFFF"/>
        </w:rPr>
        <w:t>)</w:t>
      </w:r>
      <w:r w:rsidRPr="001865B0">
        <w:rPr>
          <w:color w:val="000000"/>
        </w:rPr>
        <w:t>.</w:t>
      </w:r>
    </w:p>
    <w:p w:rsidR="00C00A31"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Receivables turnover ratio</w:t>
      </w:r>
    </w:p>
    <w:p w:rsidR="00B20DC1" w:rsidRPr="001865B0" w:rsidRDefault="00B845B7" w:rsidP="001865B0">
      <w:pPr>
        <w:spacing w:line="360" w:lineRule="auto"/>
        <w:jc w:val="center"/>
        <w:rPr>
          <w:rFonts w:ascii="Times New Roman" w:hAnsi="Times New Roman" w:cs="Times New Roman"/>
          <w:b/>
          <w:i/>
          <w:sz w:val="24"/>
          <w:szCs w:val="24"/>
          <w:lang w:val="en-US"/>
        </w:rPr>
      </w:pPr>
      <w:r w:rsidRPr="001865B0">
        <w:rPr>
          <w:rFonts w:ascii="Times New Roman" w:hAnsi="Times New Roman" w:cs="Times New Roman"/>
          <w:noProof/>
          <w:sz w:val="24"/>
          <w:szCs w:val="24"/>
          <w:lang w:eastAsia="en-IN"/>
        </w:rPr>
        <w:drawing>
          <wp:inline distT="0" distB="0" distL="0" distR="0">
            <wp:extent cx="4279900" cy="2247900"/>
            <wp:effectExtent l="0" t="0" r="63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6304D"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t xml:space="preserve">Figure 8: Graph offering receivables turnover </w:t>
      </w:r>
      <w:r w:rsidRPr="001865B0">
        <w:rPr>
          <w:rFonts w:ascii="Times New Roman" w:hAnsi="Times New Roman" w:cs="Times New Roman"/>
          <w:b/>
          <w:sz w:val="24"/>
          <w:szCs w:val="24"/>
          <w:lang w:val="en-US"/>
        </w:rPr>
        <w:t>structure of First Group Plc over the last 3 years</w:t>
      </w:r>
    </w:p>
    <w:p w:rsidR="0056304D"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t>(Source: Self-created)</w:t>
      </w:r>
    </w:p>
    <w:p w:rsidR="006A499C" w:rsidRPr="001865B0" w:rsidRDefault="00B845B7" w:rsidP="001865B0">
      <w:pPr>
        <w:pStyle w:val="NormalWeb"/>
        <w:spacing w:before="240" w:beforeAutospacing="0" w:after="240" w:afterAutospacing="0" w:line="360" w:lineRule="auto"/>
        <w:jc w:val="both"/>
      </w:pPr>
      <w:r w:rsidRPr="001865B0">
        <w:rPr>
          <w:b/>
          <w:lang w:val="en-US"/>
        </w:rPr>
        <w:lastRenderedPageBreak/>
        <w:t>Analysis:</w:t>
      </w:r>
      <w:r w:rsidRPr="001865B0">
        <w:rPr>
          <w:lang w:val="en-US"/>
        </w:rPr>
        <w:t xml:space="preserve"> </w:t>
      </w:r>
      <w:r w:rsidRPr="001865B0">
        <w:rPr>
          <w:color w:val="000000"/>
        </w:rPr>
        <w:t>FirstGroup Plc determines a receivables turnover ratio worth 6.71 in 2020, 5.03 in 2021, and 6.76 in 2022. The Company has been able to collect its receivables more effecti</w:t>
      </w:r>
      <w:r w:rsidRPr="001865B0">
        <w:rPr>
          <w:color w:val="000000"/>
        </w:rPr>
        <w:t>vely, as evidenced by the fact that the turnover ratio of receivables has greatly increased in 2022. This development is encouraging for the business since it shows that working capital has been managed well during the period in comparison to its initial y</w:t>
      </w:r>
      <w:r w:rsidRPr="001865B0">
        <w:rPr>
          <w:color w:val="000000"/>
        </w:rPr>
        <w:t>ears.</w:t>
      </w:r>
    </w:p>
    <w:p w:rsidR="00B15DFA" w:rsidRPr="001865B0" w:rsidRDefault="00B845B7" w:rsidP="001865B0">
      <w:pPr>
        <w:pStyle w:val="Heading2"/>
        <w:rPr>
          <w:lang w:val="en-US"/>
        </w:rPr>
      </w:pPr>
      <w:bookmarkStart w:id="7" w:name="_Toc133429719"/>
      <w:r w:rsidRPr="001865B0">
        <w:rPr>
          <w:lang w:val="en-US"/>
        </w:rPr>
        <w:t>Overall financial performance of FirstGroup Plc in the past three years</w:t>
      </w:r>
      <w:bookmarkEnd w:id="7"/>
    </w:p>
    <w:p w:rsidR="00B15DFA" w:rsidRPr="001865B0" w:rsidRDefault="00B845B7" w:rsidP="001865B0">
      <w:pPr>
        <w:spacing w:line="360" w:lineRule="auto"/>
        <w:jc w:val="both"/>
        <w:rPr>
          <w:rFonts w:ascii="Times New Roman" w:hAnsi="Times New Roman" w:cs="Times New Roman"/>
          <w:sz w:val="24"/>
          <w:szCs w:val="24"/>
          <w:lang w:val="en-US"/>
        </w:rPr>
      </w:pPr>
      <w:r w:rsidRPr="001865B0">
        <w:rPr>
          <w:rFonts w:ascii="Times New Roman" w:hAnsi="Times New Roman" w:cs="Times New Roman"/>
          <w:sz w:val="24"/>
          <w:szCs w:val="24"/>
          <w:lang w:val="en-US"/>
        </w:rPr>
        <w:t xml:space="preserve">The negative profitability and </w:t>
      </w:r>
      <w:r w:rsidR="005751EF" w:rsidRPr="001865B0">
        <w:rPr>
          <w:rFonts w:ascii="Times New Roman" w:hAnsi="Times New Roman" w:cs="Times New Roman"/>
          <w:sz w:val="24"/>
          <w:szCs w:val="24"/>
          <w:lang w:val="en-US"/>
        </w:rPr>
        <w:t xml:space="preserve">inadequate </w:t>
      </w:r>
      <w:r w:rsidRPr="001865B0">
        <w:rPr>
          <w:rFonts w:ascii="Times New Roman" w:hAnsi="Times New Roman" w:cs="Times New Roman"/>
          <w:sz w:val="24"/>
          <w:szCs w:val="24"/>
          <w:lang w:val="en-US"/>
        </w:rPr>
        <w:t xml:space="preserve">liquidity ratios suggest that FirstGroup plc </w:t>
      </w:r>
      <w:r w:rsidR="005751EF" w:rsidRPr="001865B0">
        <w:rPr>
          <w:rFonts w:ascii="Times New Roman" w:hAnsi="Times New Roman" w:cs="Times New Roman"/>
          <w:sz w:val="24"/>
          <w:szCs w:val="24"/>
          <w:lang w:val="en-US"/>
        </w:rPr>
        <w:t xml:space="preserve">experienced </w:t>
      </w:r>
      <w:r w:rsidRPr="001865B0">
        <w:rPr>
          <w:rFonts w:ascii="Times New Roman" w:hAnsi="Times New Roman" w:cs="Times New Roman"/>
          <w:sz w:val="24"/>
          <w:szCs w:val="24"/>
          <w:lang w:val="en-US"/>
        </w:rPr>
        <w:t>serious</w:t>
      </w:r>
      <w:r w:rsidR="00374EA3" w:rsidRPr="001865B0">
        <w:rPr>
          <w:rFonts w:ascii="Times New Roman" w:hAnsi="Times New Roman" w:cs="Times New Roman"/>
          <w:sz w:val="24"/>
          <w:szCs w:val="24"/>
          <w:lang w:val="en-US"/>
        </w:rPr>
        <w:t xml:space="preserve"> financial difficulties in </w:t>
      </w:r>
      <w:r w:rsidR="00374EA3" w:rsidRPr="00B82C3B">
        <w:rPr>
          <w:rFonts w:ascii="Times New Roman" w:hAnsi="Times New Roman" w:cs="Times New Roman"/>
          <w:sz w:val="24"/>
          <w:szCs w:val="24"/>
          <w:lang w:val="en-US"/>
        </w:rPr>
        <w:t>2020</w:t>
      </w:r>
      <w:r w:rsidR="00B82C3B" w:rsidRPr="00B82C3B">
        <w:rPr>
          <w:rFonts w:ascii="Times New Roman" w:hAnsi="Times New Roman" w:cs="Times New Roman"/>
          <w:sz w:val="24"/>
          <w:szCs w:val="24"/>
          <w:lang w:val="en-US"/>
        </w:rPr>
        <w:t xml:space="preserve"> </w:t>
      </w:r>
      <w:r w:rsidR="00B82C3B" w:rsidRPr="00B82C3B">
        <w:rPr>
          <w:rFonts w:ascii="Times New Roman" w:hAnsi="Times New Roman" w:cs="Times New Roman"/>
          <w:color w:val="000000"/>
          <w:sz w:val="24"/>
          <w:szCs w:val="24"/>
        </w:rPr>
        <w:t>(</w:t>
      </w:r>
      <w:r w:rsidR="00B82C3B" w:rsidRPr="00B82C3B">
        <w:rPr>
          <w:rFonts w:ascii="Times New Roman" w:eastAsia="Times New Roman" w:hAnsi="Times New Roman" w:cs="Times New Roman"/>
          <w:iCs/>
          <w:sz w:val="24"/>
          <w:szCs w:val="24"/>
          <w:lang w:eastAsia="en-IN"/>
        </w:rPr>
        <w:t xml:space="preserve">FirstGroup </w:t>
      </w:r>
      <w:r w:rsidR="00B82C3B" w:rsidRPr="00B82C3B">
        <w:rPr>
          <w:rFonts w:ascii="Times New Roman" w:hAnsi="Times New Roman" w:cs="Times New Roman"/>
          <w:iCs/>
          <w:sz w:val="24"/>
          <w:szCs w:val="24"/>
        </w:rPr>
        <w:t xml:space="preserve">Plc| Annual Report and Accounts, </w:t>
      </w:r>
      <w:r w:rsidR="00B82C3B" w:rsidRPr="00B82C3B">
        <w:rPr>
          <w:rFonts w:ascii="Times New Roman" w:hAnsi="Times New Roman" w:cs="Times New Roman"/>
          <w:iCs/>
          <w:sz w:val="24"/>
          <w:szCs w:val="24"/>
        </w:rPr>
        <w:t>2020</w:t>
      </w:r>
      <w:r w:rsidR="00B82C3B" w:rsidRPr="00B82C3B">
        <w:rPr>
          <w:rFonts w:ascii="Times New Roman" w:hAnsi="Times New Roman" w:cs="Times New Roman"/>
          <w:sz w:val="24"/>
          <w:szCs w:val="24"/>
        </w:rPr>
        <w:t>)</w:t>
      </w:r>
      <w:r w:rsidRPr="00B82C3B">
        <w:rPr>
          <w:rFonts w:ascii="Times New Roman" w:hAnsi="Times New Roman" w:cs="Times New Roman"/>
          <w:sz w:val="24"/>
          <w:szCs w:val="24"/>
          <w:lang w:val="en-US"/>
        </w:rPr>
        <w:t xml:space="preserve">. </w:t>
      </w:r>
      <w:r w:rsidR="00374EA3" w:rsidRPr="00B82C3B">
        <w:rPr>
          <w:rFonts w:ascii="Times New Roman" w:hAnsi="Times New Roman" w:cs="Times New Roman"/>
          <w:sz w:val="24"/>
          <w:szCs w:val="24"/>
          <w:lang w:val="en-US"/>
        </w:rPr>
        <w:t>Moreover, t</w:t>
      </w:r>
      <w:r w:rsidRPr="00B82C3B">
        <w:rPr>
          <w:rFonts w:ascii="Times New Roman" w:hAnsi="Times New Roman" w:cs="Times New Roman"/>
          <w:sz w:val="24"/>
          <w:szCs w:val="24"/>
          <w:lang w:val="en-US"/>
        </w:rPr>
        <w:t>he corporation was able to r</w:t>
      </w:r>
      <w:r w:rsidRPr="00B82C3B">
        <w:rPr>
          <w:rFonts w:ascii="Times New Roman" w:hAnsi="Times New Roman" w:cs="Times New Roman"/>
          <w:sz w:val="24"/>
          <w:szCs w:val="24"/>
          <w:lang w:val="en-US"/>
        </w:rPr>
        <w:t>ecover, nevertheless, as seen by the increased profitability and efficiency ratios in 2021 and 2022. In 2022</w:t>
      </w:r>
      <w:r w:rsidRPr="001865B0">
        <w:rPr>
          <w:rFonts w:ascii="Times New Roman" w:hAnsi="Times New Roman" w:cs="Times New Roman"/>
          <w:sz w:val="24"/>
          <w:szCs w:val="24"/>
          <w:lang w:val="en-US"/>
        </w:rPr>
        <w:t xml:space="preserve">, the business also decreased its debt levels, which is a beneficial trend. However, as shown by the liquidity and solvency ratios, the corporation </w:t>
      </w:r>
      <w:r w:rsidRPr="001865B0">
        <w:rPr>
          <w:rFonts w:ascii="Times New Roman" w:hAnsi="Times New Roman" w:cs="Times New Roman"/>
          <w:sz w:val="24"/>
          <w:szCs w:val="24"/>
          <w:lang w:val="en-US"/>
        </w:rPr>
        <w:t>has trouble covering its present obligations and paying off its debt. This can mean that the business has to concentrate on enhancing its cash flow and further lowering its debt levels</w:t>
      </w:r>
      <w:r w:rsidR="00DB506C">
        <w:rPr>
          <w:rFonts w:ascii="Times New Roman" w:hAnsi="Times New Roman" w:cs="Times New Roman"/>
          <w:sz w:val="24"/>
          <w:szCs w:val="24"/>
          <w:lang w:val="en-US"/>
        </w:rPr>
        <w:t xml:space="preserve"> (</w:t>
      </w:r>
      <w:r w:rsidR="00DB506C">
        <w:rPr>
          <w:rFonts w:ascii="Times New Roman" w:hAnsi="Times New Roman" w:cs="Times New Roman"/>
          <w:color w:val="222222"/>
          <w:sz w:val="24"/>
          <w:szCs w:val="24"/>
          <w:shd w:val="clear" w:color="auto" w:fill="FFFFFF"/>
        </w:rPr>
        <w:t xml:space="preserve">Fajriyanti and Wiyarni, </w:t>
      </w:r>
      <w:r w:rsidR="00DB506C" w:rsidRPr="00F17168">
        <w:rPr>
          <w:rFonts w:ascii="Times New Roman" w:hAnsi="Times New Roman" w:cs="Times New Roman"/>
          <w:color w:val="222222"/>
          <w:sz w:val="24"/>
          <w:szCs w:val="24"/>
          <w:shd w:val="clear" w:color="auto" w:fill="FFFFFF"/>
        </w:rPr>
        <w:t>2022</w:t>
      </w:r>
      <w:r w:rsidR="00DB506C">
        <w:rPr>
          <w:rFonts w:ascii="Times New Roman" w:hAnsi="Times New Roman" w:cs="Times New Roman"/>
          <w:color w:val="222222"/>
          <w:sz w:val="24"/>
          <w:szCs w:val="24"/>
          <w:shd w:val="clear" w:color="auto" w:fill="FFFFFF"/>
        </w:rPr>
        <w:t>)</w:t>
      </w:r>
      <w:r w:rsidRPr="001865B0">
        <w:rPr>
          <w:rFonts w:ascii="Times New Roman" w:hAnsi="Times New Roman" w:cs="Times New Roman"/>
          <w:sz w:val="24"/>
          <w:szCs w:val="24"/>
          <w:lang w:val="en-US"/>
        </w:rPr>
        <w:t>. Over the past three years, the company has performed relatively well o</w:t>
      </w:r>
      <w:r w:rsidRPr="001865B0">
        <w:rPr>
          <w:rFonts w:ascii="Times New Roman" w:hAnsi="Times New Roman" w:cs="Times New Roman"/>
          <w:sz w:val="24"/>
          <w:szCs w:val="24"/>
          <w:lang w:val="en-US"/>
        </w:rPr>
        <w:t>verall, but there is still an opportunity for growth in some areas.</w:t>
      </w:r>
    </w:p>
    <w:p w:rsidR="00CF0F6B" w:rsidRPr="001865B0" w:rsidRDefault="00B845B7" w:rsidP="001865B0">
      <w:pPr>
        <w:pStyle w:val="Heading1"/>
        <w:rPr>
          <w:lang w:val="en-US"/>
        </w:rPr>
      </w:pPr>
      <w:bookmarkStart w:id="8" w:name="_Toc133429720"/>
      <w:r w:rsidRPr="001865B0">
        <w:rPr>
          <w:lang w:val="en-US"/>
        </w:rPr>
        <w:t>(iii) Discussing First Group Plc's performance over the last three periods compared with on</w:t>
      </w:r>
      <w:r w:rsidR="008C532D" w:rsidRPr="001865B0">
        <w:rPr>
          <w:lang w:val="en-US"/>
        </w:rPr>
        <w:t>e of its major competitors</w:t>
      </w:r>
      <w:bookmarkEnd w:id="8"/>
      <w:r w:rsidR="008C532D" w:rsidRPr="001865B0">
        <w:rPr>
          <w:lang w:val="en-US"/>
        </w:rPr>
        <w:t xml:space="preserve"> </w:t>
      </w:r>
    </w:p>
    <w:p w:rsidR="00DB676A" w:rsidRPr="001865B0" w:rsidRDefault="00B845B7" w:rsidP="001865B0">
      <w:pPr>
        <w:pStyle w:val="Heading2"/>
        <w:rPr>
          <w:lang w:val="en-US"/>
        </w:rPr>
      </w:pPr>
      <w:bookmarkStart w:id="9" w:name="_Toc133429721"/>
      <w:r w:rsidRPr="001865B0">
        <w:rPr>
          <w:lang w:val="en-US"/>
        </w:rPr>
        <w:t>Profitability performance</w:t>
      </w:r>
      <w:bookmarkEnd w:id="9"/>
      <w:r w:rsidRPr="001865B0">
        <w:rPr>
          <w:lang w:val="en-US"/>
        </w:rPr>
        <w:t xml:space="preserve"> </w:t>
      </w:r>
    </w:p>
    <w:p w:rsidR="001074A4"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Operating profit margin</w:t>
      </w:r>
    </w:p>
    <w:p w:rsidR="007A6214" w:rsidRPr="001865B0" w:rsidRDefault="00B845B7" w:rsidP="001865B0">
      <w:pPr>
        <w:spacing w:line="360" w:lineRule="auto"/>
        <w:jc w:val="center"/>
        <w:rPr>
          <w:rFonts w:ascii="Times New Roman" w:hAnsi="Times New Roman" w:cs="Times New Roman"/>
          <w:b/>
          <w:i/>
          <w:sz w:val="24"/>
          <w:szCs w:val="24"/>
          <w:lang w:val="en-US"/>
        </w:rPr>
      </w:pPr>
      <w:r w:rsidRPr="001865B0">
        <w:rPr>
          <w:rFonts w:ascii="Times New Roman" w:hAnsi="Times New Roman" w:cs="Times New Roman"/>
          <w:noProof/>
          <w:sz w:val="24"/>
          <w:szCs w:val="24"/>
          <w:lang w:eastAsia="en-IN"/>
        </w:rPr>
        <w:drawing>
          <wp:inline distT="0" distB="0" distL="0" distR="0">
            <wp:extent cx="4054929" cy="2216375"/>
            <wp:effectExtent l="0" t="0" r="317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941C8"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t xml:space="preserve">Figure 9: </w:t>
      </w:r>
      <w:r w:rsidR="00D05AE1" w:rsidRPr="001865B0">
        <w:rPr>
          <w:rFonts w:ascii="Times New Roman" w:hAnsi="Times New Roman" w:cs="Times New Roman"/>
          <w:b/>
          <w:sz w:val="24"/>
          <w:szCs w:val="24"/>
          <w:lang w:val="en-US"/>
        </w:rPr>
        <w:t>Graph indicating comparison of operating profit margin over the last three periods</w:t>
      </w:r>
    </w:p>
    <w:p w:rsidR="00D05AE1"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t>(Source: Self-created)</w:t>
      </w:r>
    </w:p>
    <w:p w:rsidR="008D5014" w:rsidRPr="001865B0" w:rsidRDefault="00B845B7" w:rsidP="001865B0">
      <w:pPr>
        <w:pStyle w:val="NormalWeb"/>
        <w:spacing w:before="240" w:beforeAutospacing="0" w:after="240" w:afterAutospacing="0" w:line="360" w:lineRule="auto"/>
        <w:jc w:val="both"/>
      </w:pPr>
      <w:r w:rsidRPr="001865B0">
        <w:rPr>
          <w:b/>
          <w:lang w:val="en-US"/>
        </w:rPr>
        <w:lastRenderedPageBreak/>
        <w:t>Analysis:</w:t>
      </w:r>
      <w:r w:rsidR="00C90A2B" w:rsidRPr="001865B0">
        <w:rPr>
          <w:b/>
          <w:lang w:val="en-US"/>
        </w:rPr>
        <w:t xml:space="preserve"> </w:t>
      </w:r>
      <w:r w:rsidRPr="001865B0">
        <w:rPr>
          <w:color w:val="000000"/>
        </w:rPr>
        <w:t xml:space="preserve">Over the last three years, the operational profit margin of First Group Plc has fluctuated, ranging from -2% to 5%, whereas it maintains a 3% </w:t>
      </w:r>
      <w:r w:rsidRPr="001865B0">
        <w:rPr>
          <w:color w:val="000000"/>
        </w:rPr>
        <w:t>valuation in the year 2022. On the other hand, National Express Group Plc had a poor operating profit margin that ranged from -19% to -2% in the periods 2020 and 2021 respectively inclusive of -6% during the year 2022</w:t>
      </w:r>
      <w:r w:rsidR="008F1650">
        <w:rPr>
          <w:color w:val="000000"/>
        </w:rPr>
        <w:t xml:space="preserve"> (</w:t>
      </w:r>
      <w:r w:rsidR="008F1650" w:rsidRPr="00F17168">
        <w:rPr>
          <w:iCs/>
        </w:rPr>
        <w:t xml:space="preserve">National Express </w:t>
      </w:r>
      <w:r w:rsidR="008F1650">
        <w:rPr>
          <w:iCs/>
        </w:rPr>
        <w:t xml:space="preserve">Plc| Annual Report and Accounts, </w:t>
      </w:r>
      <w:r w:rsidR="008F1650" w:rsidRPr="00F17168">
        <w:rPr>
          <w:iCs/>
        </w:rPr>
        <w:t>2021</w:t>
      </w:r>
      <w:r w:rsidR="008F1650" w:rsidRPr="00F17168">
        <w:t>)</w:t>
      </w:r>
      <w:r w:rsidRPr="001865B0">
        <w:rPr>
          <w:color w:val="000000"/>
        </w:rPr>
        <w:t>. While the profitability ratios of bot</w:t>
      </w:r>
      <w:r w:rsidRPr="001865B0">
        <w:rPr>
          <w:color w:val="000000"/>
        </w:rPr>
        <w:t>h businesses fluctuated, FirstGroup was adequately able to keep its operating profit margin in 2022 while National Express Group Plc remained in concern.</w:t>
      </w:r>
    </w:p>
    <w:p w:rsidR="001074A4"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Net profit margin</w:t>
      </w:r>
    </w:p>
    <w:p w:rsidR="007A6214" w:rsidRPr="001865B0" w:rsidRDefault="00B845B7" w:rsidP="001865B0">
      <w:pPr>
        <w:spacing w:line="360" w:lineRule="auto"/>
        <w:jc w:val="center"/>
        <w:rPr>
          <w:rFonts w:ascii="Times New Roman" w:hAnsi="Times New Roman" w:cs="Times New Roman"/>
          <w:b/>
          <w:i/>
          <w:sz w:val="24"/>
          <w:szCs w:val="24"/>
          <w:lang w:val="en-US"/>
        </w:rPr>
      </w:pPr>
      <w:r w:rsidRPr="001865B0">
        <w:rPr>
          <w:rFonts w:ascii="Times New Roman" w:hAnsi="Times New Roman" w:cs="Times New Roman"/>
          <w:noProof/>
          <w:sz w:val="24"/>
          <w:szCs w:val="24"/>
          <w:lang w:eastAsia="en-IN"/>
        </w:rPr>
        <w:drawing>
          <wp:inline distT="0" distB="0" distL="0" distR="0">
            <wp:extent cx="3805464" cy="2193697"/>
            <wp:effectExtent l="0" t="0" r="5080" b="165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55510"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t>Figure 10: Graph showing a comparison of net profit margin over the last three per</w:t>
      </w:r>
      <w:r w:rsidRPr="001865B0">
        <w:rPr>
          <w:rFonts w:ascii="Times New Roman" w:hAnsi="Times New Roman" w:cs="Times New Roman"/>
          <w:b/>
          <w:sz w:val="24"/>
          <w:szCs w:val="24"/>
          <w:lang w:val="en-US"/>
        </w:rPr>
        <w:t>iods</w:t>
      </w:r>
    </w:p>
    <w:p w:rsidR="00555510"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t>(Source: Self-created)</w:t>
      </w:r>
    </w:p>
    <w:p w:rsidR="00603424" w:rsidRPr="001865B0" w:rsidRDefault="00B845B7" w:rsidP="001865B0">
      <w:pPr>
        <w:pStyle w:val="NormalWeb"/>
        <w:spacing w:before="240" w:beforeAutospacing="0" w:after="240" w:afterAutospacing="0" w:line="360" w:lineRule="auto"/>
        <w:jc w:val="both"/>
      </w:pPr>
      <w:r w:rsidRPr="001865B0">
        <w:rPr>
          <w:b/>
          <w:lang w:val="en-US"/>
        </w:rPr>
        <w:t>Analysis:</w:t>
      </w:r>
      <w:r w:rsidR="00214C29" w:rsidRPr="001865B0">
        <w:rPr>
          <w:b/>
          <w:lang w:val="en-US"/>
        </w:rPr>
        <w:t xml:space="preserve"> </w:t>
      </w:r>
      <w:r w:rsidRPr="001865B0">
        <w:rPr>
          <w:color w:val="000000"/>
        </w:rPr>
        <w:t xml:space="preserve">The net profit margin for FirstGroup increased from -4% in 2020 to 14% in 2022. In comparison to this, throughout the previous three years, National Express Group Plc had a negative net profit margin ranging from -17% </w:t>
      </w:r>
      <w:r w:rsidRPr="001865B0">
        <w:rPr>
          <w:color w:val="000000"/>
        </w:rPr>
        <w:t>to -8%. This in return highlights that First Group Plc subsequently was able to maintain better profitability performance associated with net profit margin than National Express Group Plc over the past three years</w:t>
      </w:r>
      <w:r w:rsidR="0047094A">
        <w:rPr>
          <w:color w:val="000000"/>
        </w:rPr>
        <w:t xml:space="preserve"> (</w:t>
      </w:r>
      <w:r w:rsidR="0047094A">
        <w:rPr>
          <w:color w:val="222222"/>
          <w:shd w:val="clear" w:color="auto" w:fill="FFFFFF"/>
        </w:rPr>
        <w:t xml:space="preserve">Jihadi </w:t>
      </w:r>
      <w:r w:rsidR="0047094A" w:rsidRPr="0047094A">
        <w:rPr>
          <w:i/>
          <w:color w:val="222222"/>
          <w:shd w:val="clear" w:color="auto" w:fill="FFFFFF"/>
        </w:rPr>
        <w:t>et al.</w:t>
      </w:r>
      <w:r w:rsidR="0047094A">
        <w:rPr>
          <w:color w:val="222222"/>
          <w:shd w:val="clear" w:color="auto" w:fill="FFFFFF"/>
        </w:rPr>
        <w:t xml:space="preserve"> </w:t>
      </w:r>
      <w:r w:rsidR="0047094A" w:rsidRPr="00F17168">
        <w:rPr>
          <w:color w:val="222222"/>
          <w:shd w:val="clear" w:color="auto" w:fill="FFFFFF"/>
        </w:rPr>
        <w:t>2021</w:t>
      </w:r>
      <w:r w:rsidR="0047094A">
        <w:rPr>
          <w:color w:val="222222"/>
          <w:shd w:val="clear" w:color="auto" w:fill="FFFFFF"/>
        </w:rPr>
        <w:t>)</w:t>
      </w:r>
      <w:r w:rsidRPr="001865B0">
        <w:rPr>
          <w:color w:val="000000"/>
        </w:rPr>
        <w:t>. </w:t>
      </w:r>
    </w:p>
    <w:p w:rsidR="00F72EC1" w:rsidRPr="001865B0" w:rsidRDefault="00B845B7" w:rsidP="001865B0">
      <w:pPr>
        <w:pStyle w:val="Heading2"/>
        <w:rPr>
          <w:lang w:val="en-US"/>
        </w:rPr>
      </w:pPr>
      <w:bookmarkStart w:id="10" w:name="_Toc133429722"/>
      <w:r w:rsidRPr="001865B0">
        <w:rPr>
          <w:lang w:val="en-US"/>
        </w:rPr>
        <w:t>Liquidity performance</w:t>
      </w:r>
      <w:bookmarkEnd w:id="10"/>
    </w:p>
    <w:p w:rsidR="00F31878"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Current ratio</w:t>
      </w:r>
    </w:p>
    <w:p w:rsidR="007A6214" w:rsidRPr="001865B0" w:rsidRDefault="00B845B7" w:rsidP="001865B0">
      <w:pPr>
        <w:spacing w:line="360" w:lineRule="auto"/>
        <w:jc w:val="center"/>
        <w:rPr>
          <w:rFonts w:ascii="Times New Roman" w:hAnsi="Times New Roman" w:cs="Times New Roman"/>
          <w:b/>
          <w:i/>
          <w:sz w:val="24"/>
          <w:szCs w:val="24"/>
          <w:lang w:val="en-US"/>
        </w:rPr>
      </w:pPr>
      <w:r w:rsidRPr="001865B0">
        <w:rPr>
          <w:rFonts w:ascii="Times New Roman" w:hAnsi="Times New Roman" w:cs="Times New Roman"/>
          <w:noProof/>
          <w:sz w:val="24"/>
          <w:szCs w:val="24"/>
          <w:lang w:eastAsia="en-IN"/>
        </w:rPr>
        <w:lastRenderedPageBreak/>
        <w:drawing>
          <wp:inline distT="0" distB="0" distL="0" distR="0">
            <wp:extent cx="3822700" cy="2209800"/>
            <wp:effectExtent l="0" t="0" r="63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E4BBD"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t>Figure 11: Graph presenting a comparison of the current ratio over the last three periods</w:t>
      </w:r>
    </w:p>
    <w:p w:rsidR="006E4BBD"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t>(Source: Self-created)</w:t>
      </w:r>
    </w:p>
    <w:p w:rsidR="002D40B6" w:rsidRPr="001865B0" w:rsidRDefault="00B845B7" w:rsidP="001865B0">
      <w:pPr>
        <w:pStyle w:val="NormalWeb"/>
        <w:spacing w:before="240" w:beforeAutospacing="0" w:after="240" w:afterAutospacing="0" w:line="360" w:lineRule="auto"/>
        <w:jc w:val="both"/>
      </w:pPr>
      <w:r w:rsidRPr="001865B0">
        <w:rPr>
          <w:b/>
          <w:lang w:val="en-US"/>
        </w:rPr>
        <w:t>Analysis:</w:t>
      </w:r>
      <w:r w:rsidR="00813CA3" w:rsidRPr="001865B0">
        <w:rPr>
          <w:b/>
          <w:lang w:val="en-US"/>
        </w:rPr>
        <w:t xml:space="preserve"> </w:t>
      </w:r>
      <w:r w:rsidRPr="001865B0">
        <w:rPr>
          <w:color w:val="000000"/>
        </w:rPr>
        <w:t>In 2022, FirstGroup's current ratio was 0.74, which showed that its current assets did not cover its current obligations. Besides, Na</w:t>
      </w:r>
      <w:r w:rsidRPr="001865B0">
        <w:rPr>
          <w:color w:val="000000"/>
        </w:rPr>
        <w:t>tional Express Group Plc had a current ratio that was 0.58 lower. However, both businesses had current ratios below 1, indicating that both of the business corporations have trouble paying their immediate debts and undertaking the structure of their curren</w:t>
      </w:r>
      <w:r w:rsidRPr="001865B0">
        <w:rPr>
          <w:color w:val="000000"/>
        </w:rPr>
        <w:t>t assets</w:t>
      </w:r>
      <w:r w:rsidR="00426799">
        <w:rPr>
          <w:color w:val="000000"/>
        </w:rPr>
        <w:t xml:space="preserve"> (</w:t>
      </w:r>
      <w:r w:rsidR="00426799">
        <w:rPr>
          <w:color w:val="222222"/>
          <w:shd w:val="clear" w:color="auto" w:fill="FFFFFF"/>
        </w:rPr>
        <w:t xml:space="preserve">Gafrej and Boujelbéne, </w:t>
      </w:r>
      <w:r w:rsidR="00426799" w:rsidRPr="00F17168">
        <w:rPr>
          <w:color w:val="222222"/>
          <w:shd w:val="clear" w:color="auto" w:fill="FFFFFF"/>
        </w:rPr>
        <w:t>2022</w:t>
      </w:r>
      <w:r w:rsidR="00426799">
        <w:rPr>
          <w:color w:val="222222"/>
          <w:shd w:val="clear" w:color="auto" w:fill="FFFFFF"/>
        </w:rPr>
        <w:t>)</w:t>
      </w:r>
      <w:r w:rsidRPr="001865B0">
        <w:rPr>
          <w:color w:val="000000"/>
        </w:rPr>
        <w:t>.</w:t>
      </w:r>
    </w:p>
    <w:p w:rsidR="00F31878"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 xml:space="preserve">Quick ratio </w:t>
      </w:r>
    </w:p>
    <w:p w:rsidR="007A6214" w:rsidRPr="001865B0" w:rsidRDefault="00B845B7" w:rsidP="001865B0">
      <w:pPr>
        <w:spacing w:line="360" w:lineRule="auto"/>
        <w:jc w:val="center"/>
        <w:rPr>
          <w:rFonts w:ascii="Times New Roman" w:hAnsi="Times New Roman" w:cs="Times New Roman"/>
          <w:b/>
          <w:i/>
          <w:sz w:val="24"/>
          <w:szCs w:val="24"/>
          <w:lang w:val="en-US"/>
        </w:rPr>
      </w:pPr>
      <w:r w:rsidRPr="001865B0">
        <w:rPr>
          <w:rFonts w:ascii="Times New Roman" w:hAnsi="Times New Roman" w:cs="Times New Roman"/>
          <w:noProof/>
          <w:sz w:val="24"/>
          <w:szCs w:val="24"/>
          <w:lang w:eastAsia="en-IN"/>
        </w:rPr>
        <w:drawing>
          <wp:inline distT="0" distB="0" distL="0" distR="0">
            <wp:extent cx="3987800" cy="2222500"/>
            <wp:effectExtent l="0" t="0" r="0" b="63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43CDA"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t>Figure 12: Graph highlighting comparison of the quick ratio over the last three periods</w:t>
      </w:r>
    </w:p>
    <w:p w:rsidR="00143CDA"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t>(Source: Self-created)</w:t>
      </w:r>
    </w:p>
    <w:p w:rsidR="003F26A7" w:rsidRPr="001865B0" w:rsidRDefault="00B845B7" w:rsidP="001865B0">
      <w:pPr>
        <w:pStyle w:val="NormalWeb"/>
        <w:spacing w:before="240" w:beforeAutospacing="0" w:after="240" w:afterAutospacing="0" w:line="360" w:lineRule="auto"/>
        <w:jc w:val="both"/>
      </w:pPr>
      <w:r w:rsidRPr="001865B0">
        <w:rPr>
          <w:b/>
          <w:lang w:val="en-US"/>
        </w:rPr>
        <w:lastRenderedPageBreak/>
        <w:t>Analysis:</w:t>
      </w:r>
      <w:r w:rsidR="0036625A" w:rsidRPr="001865B0">
        <w:rPr>
          <w:b/>
          <w:lang w:val="en-US"/>
        </w:rPr>
        <w:t xml:space="preserve"> </w:t>
      </w:r>
      <w:r w:rsidRPr="001865B0">
        <w:rPr>
          <w:color w:val="000000"/>
        </w:rPr>
        <w:t>FirstGroup had a quick ratio of 0.72 in 2022, compared to a quick ratio of 0.56 for National Express Group Plc. This in return suggests that FirstGroup Plc is likely to be more able than National Express Group Plc to cover its immediate obligations by util</w:t>
      </w:r>
      <w:r w:rsidRPr="001865B0">
        <w:rPr>
          <w:color w:val="000000"/>
        </w:rPr>
        <w:t>ising the structure of its quick assets</w:t>
      </w:r>
      <w:r w:rsidR="008F1650">
        <w:rPr>
          <w:color w:val="000000"/>
        </w:rPr>
        <w:t xml:space="preserve"> </w:t>
      </w:r>
      <w:r w:rsidR="008F1650">
        <w:rPr>
          <w:color w:val="000000"/>
        </w:rPr>
        <w:t>(</w:t>
      </w:r>
      <w:r w:rsidR="008F1650" w:rsidRPr="00F17168">
        <w:rPr>
          <w:iCs/>
        </w:rPr>
        <w:t xml:space="preserve">National Express </w:t>
      </w:r>
      <w:r w:rsidR="008F1650">
        <w:rPr>
          <w:iCs/>
        </w:rPr>
        <w:t xml:space="preserve">Plc| Annual Report and Accounts, </w:t>
      </w:r>
      <w:r w:rsidR="008F1650">
        <w:rPr>
          <w:iCs/>
        </w:rPr>
        <w:t>2022</w:t>
      </w:r>
      <w:r w:rsidR="008F1650" w:rsidRPr="00F17168">
        <w:t>)</w:t>
      </w:r>
      <w:r w:rsidRPr="001865B0">
        <w:rPr>
          <w:color w:val="000000"/>
        </w:rPr>
        <w:t>.</w:t>
      </w:r>
    </w:p>
    <w:p w:rsidR="00F31878" w:rsidRPr="001865B0" w:rsidRDefault="00B845B7" w:rsidP="001865B0">
      <w:pPr>
        <w:pStyle w:val="Heading2"/>
        <w:rPr>
          <w:lang w:val="en-US"/>
        </w:rPr>
      </w:pPr>
      <w:bookmarkStart w:id="11" w:name="_Toc133429723"/>
      <w:r w:rsidRPr="001865B0">
        <w:rPr>
          <w:lang w:val="en-US"/>
        </w:rPr>
        <w:t>Solvency performance</w:t>
      </w:r>
      <w:bookmarkEnd w:id="11"/>
      <w:r w:rsidRPr="001865B0">
        <w:rPr>
          <w:lang w:val="en-US"/>
        </w:rPr>
        <w:t xml:space="preserve"> </w:t>
      </w:r>
    </w:p>
    <w:p w:rsidR="00956A8C"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Debt to equity ratio</w:t>
      </w:r>
    </w:p>
    <w:p w:rsidR="007A6214" w:rsidRPr="001865B0" w:rsidRDefault="00B845B7" w:rsidP="001865B0">
      <w:pPr>
        <w:spacing w:line="360" w:lineRule="auto"/>
        <w:jc w:val="center"/>
        <w:rPr>
          <w:rFonts w:ascii="Times New Roman" w:hAnsi="Times New Roman" w:cs="Times New Roman"/>
          <w:b/>
          <w:i/>
          <w:sz w:val="24"/>
          <w:szCs w:val="24"/>
          <w:lang w:val="en-US"/>
        </w:rPr>
      </w:pPr>
      <w:r w:rsidRPr="001865B0">
        <w:rPr>
          <w:rFonts w:ascii="Times New Roman" w:hAnsi="Times New Roman" w:cs="Times New Roman"/>
          <w:noProof/>
          <w:sz w:val="24"/>
          <w:szCs w:val="24"/>
          <w:lang w:eastAsia="en-IN"/>
        </w:rPr>
        <w:drawing>
          <wp:inline distT="0" distB="0" distL="0" distR="0">
            <wp:extent cx="4259036" cy="2131785"/>
            <wp:effectExtent l="0" t="0" r="8255" b="19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23B31"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t>Figure 13: Graph reflecting comparison of debt to equity ratio over the last three periods</w:t>
      </w:r>
    </w:p>
    <w:p w:rsidR="00B23B31"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t>(Source: Self-created)</w:t>
      </w:r>
    </w:p>
    <w:p w:rsidR="00373C07" w:rsidRPr="001865B0" w:rsidRDefault="00B845B7" w:rsidP="001865B0">
      <w:pPr>
        <w:pStyle w:val="NormalWeb"/>
        <w:spacing w:before="240" w:beforeAutospacing="0" w:after="240" w:afterAutospacing="0" w:line="360" w:lineRule="auto"/>
        <w:jc w:val="both"/>
      </w:pPr>
      <w:r w:rsidRPr="001865B0">
        <w:rPr>
          <w:b/>
          <w:lang w:val="en-US"/>
        </w:rPr>
        <w:t>Analysis:</w:t>
      </w:r>
      <w:r w:rsidR="00EA0216" w:rsidRPr="001865B0">
        <w:rPr>
          <w:b/>
          <w:lang w:val="en-US"/>
        </w:rPr>
        <w:t xml:space="preserve"> </w:t>
      </w:r>
      <w:r w:rsidRPr="001865B0">
        <w:rPr>
          <w:color w:val="000000"/>
        </w:rPr>
        <w:t xml:space="preserve">In contrast to National Express Group Plc, </w:t>
      </w:r>
      <w:r w:rsidRPr="001865B0">
        <w:rPr>
          <w:color w:val="000000"/>
        </w:rPr>
        <w:t>which had a debt-to-equity ratio of 1.99, FirstGroup Plc had a debt-to-equity ratio of 3.33 during the year 2022</w:t>
      </w:r>
      <w:r w:rsidR="009B10B4">
        <w:rPr>
          <w:color w:val="000000"/>
        </w:rPr>
        <w:t xml:space="preserve"> </w:t>
      </w:r>
      <w:r w:rsidR="009B10B4">
        <w:rPr>
          <w:color w:val="000000"/>
        </w:rPr>
        <w:t>(</w:t>
      </w:r>
      <w:r w:rsidR="009B10B4" w:rsidRPr="00F17168">
        <w:rPr>
          <w:iCs/>
        </w:rPr>
        <w:t xml:space="preserve">FirstGroup </w:t>
      </w:r>
      <w:r w:rsidR="009B10B4">
        <w:rPr>
          <w:iCs/>
        </w:rPr>
        <w:t xml:space="preserve">Plc| Annual Report and Accounts, </w:t>
      </w:r>
      <w:r w:rsidR="009B10B4">
        <w:rPr>
          <w:iCs/>
        </w:rPr>
        <w:t>2022</w:t>
      </w:r>
      <w:r w:rsidR="009B10B4">
        <w:t>)</w:t>
      </w:r>
      <w:r w:rsidRPr="001865B0">
        <w:rPr>
          <w:color w:val="000000"/>
        </w:rPr>
        <w:t>. This in return implies that FirstGroup Plc has borrowed more money to fund its activities in comparison to its close rivalry with National Exp</w:t>
      </w:r>
      <w:r w:rsidRPr="001865B0">
        <w:rPr>
          <w:color w:val="000000"/>
        </w:rPr>
        <w:t>ress Group Plc.</w:t>
      </w:r>
    </w:p>
    <w:p w:rsidR="00060593"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Interest coverage ratio</w:t>
      </w:r>
    </w:p>
    <w:p w:rsidR="007A6214" w:rsidRPr="001865B0" w:rsidRDefault="00B845B7" w:rsidP="001865B0">
      <w:pPr>
        <w:spacing w:line="360" w:lineRule="auto"/>
        <w:jc w:val="center"/>
        <w:rPr>
          <w:rFonts w:ascii="Times New Roman" w:hAnsi="Times New Roman" w:cs="Times New Roman"/>
          <w:b/>
          <w:i/>
          <w:sz w:val="24"/>
          <w:szCs w:val="24"/>
          <w:lang w:val="en-US"/>
        </w:rPr>
      </w:pPr>
      <w:r w:rsidRPr="001865B0">
        <w:rPr>
          <w:rFonts w:ascii="Times New Roman" w:hAnsi="Times New Roman" w:cs="Times New Roman"/>
          <w:noProof/>
          <w:sz w:val="24"/>
          <w:szCs w:val="24"/>
          <w:lang w:eastAsia="en-IN"/>
        </w:rPr>
        <w:drawing>
          <wp:inline distT="0" distB="0" distL="0" distR="0">
            <wp:extent cx="3873500" cy="2120265"/>
            <wp:effectExtent l="0" t="0" r="12700" b="1333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7360A"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lastRenderedPageBreak/>
        <w:t>Figure 14: Graph offering a comparison of interest coverage ratio over the last three periods</w:t>
      </w:r>
    </w:p>
    <w:p w:rsidR="00686D2A"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t>(Source: Self-created)</w:t>
      </w:r>
    </w:p>
    <w:p w:rsidR="00CF444C" w:rsidRPr="001865B0" w:rsidRDefault="00B845B7" w:rsidP="001865B0">
      <w:pPr>
        <w:pStyle w:val="NormalWeb"/>
        <w:spacing w:before="240" w:beforeAutospacing="0" w:after="240" w:afterAutospacing="0" w:line="360" w:lineRule="auto"/>
        <w:jc w:val="both"/>
      </w:pPr>
      <w:r w:rsidRPr="001865B0">
        <w:rPr>
          <w:b/>
          <w:lang w:val="en-US"/>
        </w:rPr>
        <w:t>Analysis:</w:t>
      </w:r>
      <w:r w:rsidR="00686D2A" w:rsidRPr="001865B0">
        <w:rPr>
          <w:b/>
          <w:lang w:val="en-US"/>
        </w:rPr>
        <w:t xml:space="preserve"> </w:t>
      </w:r>
      <w:r w:rsidR="006E7375" w:rsidRPr="001865B0">
        <w:rPr>
          <w:color w:val="000000"/>
        </w:rPr>
        <w:t>In 2022, the interest coverage ratio of FirstGroup Plc was under 1, which raises the possibility that the company might remain challenged to repay its interest costs. Over the previous three years, National Express Group Plc also had an interest coverage ratio that was less than 1. As a result, both businesses are subject to trouble in terms of covering their interest costs and hereby need to urgently improve</w:t>
      </w:r>
      <w:r w:rsidR="00DB506C">
        <w:rPr>
          <w:color w:val="000000"/>
        </w:rPr>
        <w:t xml:space="preserve"> (</w:t>
      </w:r>
      <w:r w:rsidR="00DB506C">
        <w:rPr>
          <w:color w:val="222222"/>
          <w:shd w:val="clear" w:color="auto" w:fill="FFFFFF"/>
        </w:rPr>
        <w:t xml:space="preserve">Ayoush </w:t>
      </w:r>
      <w:r w:rsidR="00DB506C" w:rsidRPr="00DB506C">
        <w:rPr>
          <w:i/>
          <w:color w:val="222222"/>
          <w:shd w:val="clear" w:color="auto" w:fill="FFFFFF"/>
        </w:rPr>
        <w:t>et al.</w:t>
      </w:r>
      <w:r w:rsidR="00DB506C">
        <w:rPr>
          <w:color w:val="222222"/>
          <w:shd w:val="clear" w:color="auto" w:fill="FFFFFF"/>
        </w:rPr>
        <w:t xml:space="preserve"> </w:t>
      </w:r>
      <w:r w:rsidR="00DB506C" w:rsidRPr="00F17168">
        <w:rPr>
          <w:color w:val="222222"/>
          <w:shd w:val="clear" w:color="auto" w:fill="FFFFFF"/>
        </w:rPr>
        <w:t>2021</w:t>
      </w:r>
      <w:r w:rsidR="00DB506C">
        <w:rPr>
          <w:color w:val="222222"/>
          <w:shd w:val="clear" w:color="auto" w:fill="FFFFFF"/>
        </w:rPr>
        <w:t>)</w:t>
      </w:r>
      <w:r w:rsidR="006E7375" w:rsidRPr="001865B0">
        <w:rPr>
          <w:color w:val="000000"/>
        </w:rPr>
        <w:t>.</w:t>
      </w:r>
    </w:p>
    <w:p w:rsidR="0031492B" w:rsidRPr="001865B0" w:rsidRDefault="00B845B7" w:rsidP="001865B0">
      <w:pPr>
        <w:pStyle w:val="Heading2"/>
        <w:rPr>
          <w:lang w:val="en-US"/>
        </w:rPr>
      </w:pPr>
      <w:bookmarkStart w:id="12" w:name="_Toc133429724"/>
      <w:r w:rsidRPr="001865B0">
        <w:rPr>
          <w:lang w:val="en-US"/>
        </w:rPr>
        <w:t>Efficiency performance</w:t>
      </w:r>
      <w:bookmarkEnd w:id="12"/>
    </w:p>
    <w:p w:rsidR="004200E3"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Asset turnover ratio</w:t>
      </w:r>
    </w:p>
    <w:p w:rsidR="007A6214"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noProof/>
          <w:sz w:val="24"/>
          <w:szCs w:val="24"/>
          <w:lang w:eastAsia="en-IN"/>
        </w:rPr>
        <w:drawing>
          <wp:inline distT="0" distB="0" distL="0" distR="0">
            <wp:extent cx="4179661" cy="2341108"/>
            <wp:effectExtent l="0" t="0" r="11430" b="254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84777"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t>Figure 15: Graph presenting a comparison of asset turnover ratio over the last three periods</w:t>
      </w:r>
    </w:p>
    <w:p w:rsidR="00D84777"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t>(Source: Self-created)</w:t>
      </w:r>
    </w:p>
    <w:p w:rsidR="006E7375" w:rsidRPr="001865B0" w:rsidRDefault="00B845B7" w:rsidP="001865B0">
      <w:pPr>
        <w:pStyle w:val="NormalWeb"/>
        <w:spacing w:before="240" w:beforeAutospacing="0" w:after="240" w:afterAutospacing="0" w:line="360" w:lineRule="auto"/>
        <w:jc w:val="both"/>
      </w:pPr>
      <w:r w:rsidRPr="001865B0">
        <w:rPr>
          <w:b/>
          <w:lang w:val="en-US"/>
        </w:rPr>
        <w:t>Analysis:</w:t>
      </w:r>
      <w:r w:rsidR="00205B00" w:rsidRPr="001865B0">
        <w:rPr>
          <w:b/>
          <w:lang w:val="en-US"/>
        </w:rPr>
        <w:t xml:space="preserve"> </w:t>
      </w:r>
      <w:r w:rsidRPr="001865B0">
        <w:rPr>
          <w:color w:val="000000"/>
        </w:rPr>
        <w:t xml:space="preserve">In 2022, </w:t>
      </w:r>
      <w:r w:rsidRPr="001865B0">
        <w:rPr>
          <w:color w:val="000000"/>
        </w:rPr>
        <w:t>FirstGroup Plc poses an asset turnover ratio of 0.76, as compared to 0.66 for National Express Group Plc. Irrespective of this, FirstGroup poses a better valuation than National Express in both the years 2020 and 2021</w:t>
      </w:r>
      <w:r w:rsidR="008F1650">
        <w:rPr>
          <w:color w:val="000000"/>
        </w:rPr>
        <w:t xml:space="preserve"> </w:t>
      </w:r>
      <w:r w:rsidR="008F1650">
        <w:rPr>
          <w:color w:val="000000"/>
        </w:rPr>
        <w:t>(</w:t>
      </w:r>
      <w:r w:rsidR="008F1650" w:rsidRPr="00F17168">
        <w:rPr>
          <w:iCs/>
        </w:rPr>
        <w:t xml:space="preserve">National Express </w:t>
      </w:r>
      <w:r w:rsidR="008F1650">
        <w:rPr>
          <w:iCs/>
        </w:rPr>
        <w:t xml:space="preserve">Plc| Annual Report and Accounts, </w:t>
      </w:r>
      <w:r w:rsidR="008F1650" w:rsidRPr="00F17168">
        <w:rPr>
          <w:iCs/>
        </w:rPr>
        <w:t>2021</w:t>
      </w:r>
      <w:r w:rsidR="008F1650" w:rsidRPr="00F17168">
        <w:t>)</w:t>
      </w:r>
      <w:r w:rsidRPr="001865B0">
        <w:rPr>
          <w:color w:val="000000"/>
        </w:rPr>
        <w:t>. This shows that FirstGroup Plc is mor</w:t>
      </w:r>
      <w:r w:rsidRPr="001865B0">
        <w:rPr>
          <w:color w:val="000000"/>
        </w:rPr>
        <w:t>e effective than National Express Group Plc in the context of producing income from the structure of its assets.</w:t>
      </w:r>
    </w:p>
    <w:p w:rsidR="004200E3" w:rsidRPr="001865B0" w:rsidRDefault="00B845B7" w:rsidP="001865B0">
      <w:pPr>
        <w:spacing w:line="360" w:lineRule="auto"/>
        <w:jc w:val="both"/>
        <w:rPr>
          <w:rFonts w:ascii="Times New Roman" w:hAnsi="Times New Roman" w:cs="Times New Roman"/>
          <w:b/>
          <w:i/>
          <w:sz w:val="24"/>
          <w:szCs w:val="24"/>
          <w:lang w:val="en-US"/>
        </w:rPr>
      </w:pPr>
      <w:r w:rsidRPr="001865B0">
        <w:rPr>
          <w:rFonts w:ascii="Times New Roman" w:hAnsi="Times New Roman" w:cs="Times New Roman"/>
          <w:b/>
          <w:i/>
          <w:sz w:val="24"/>
          <w:szCs w:val="24"/>
          <w:lang w:val="en-US"/>
        </w:rPr>
        <w:t>Receivables turnover ratio</w:t>
      </w:r>
    </w:p>
    <w:p w:rsidR="007A6214"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noProof/>
          <w:sz w:val="24"/>
          <w:szCs w:val="24"/>
          <w:lang w:eastAsia="en-IN"/>
        </w:rPr>
        <w:lastRenderedPageBreak/>
        <w:drawing>
          <wp:inline distT="0" distB="0" distL="0" distR="0">
            <wp:extent cx="4419600" cy="2603500"/>
            <wp:effectExtent l="0" t="0" r="0" b="63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84777" w:rsidRPr="001865B0" w:rsidRDefault="00B845B7" w:rsidP="001865B0">
      <w:pPr>
        <w:spacing w:line="360" w:lineRule="auto"/>
        <w:jc w:val="center"/>
        <w:rPr>
          <w:rFonts w:ascii="Times New Roman" w:hAnsi="Times New Roman" w:cs="Times New Roman"/>
          <w:b/>
          <w:sz w:val="24"/>
          <w:szCs w:val="24"/>
          <w:lang w:val="en-US"/>
        </w:rPr>
      </w:pPr>
      <w:r w:rsidRPr="001865B0">
        <w:rPr>
          <w:rFonts w:ascii="Times New Roman" w:hAnsi="Times New Roman" w:cs="Times New Roman"/>
          <w:b/>
          <w:sz w:val="24"/>
          <w:szCs w:val="24"/>
          <w:lang w:val="en-US"/>
        </w:rPr>
        <w:t>Figure 16: Graph showing a comparison of receivables turnover ratio over the last three periods</w:t>
      </w:r>
    </w:p>
    <w:p w:rsidR="00D84777" w:rsidRPr="001865B0" w:rsidRDefault="00B845B7" w:rsidP="001865B0">
      <w:pPr>
        <w:spacing w:line="360" w:lineRule="auto"/>
        <w:jc w:val="center"/>
        <w:rPr>
          <w:rFonts w:ascii="Times New Roman" w:hAnsi="Times New Roman" w:cs="Times New Roman"/>
          <w:sz w:val="24"/>
          <w:szCs w:val="24"/>
          <w:lang w:val="en-US"/>
        </w:rPr>
      </w:pPr>
      <w:r w:rsidRPr="001865B0">
        <w:rPr>
          <w:rFonts w:ascii="Times New Roman" w:hAnsi="Times New Roman" w:cs="Times New Roman"/>
          <w:sz w:val="24"/>
          <w:szCs w:val="24"/>
          <w:lang w:val="en-US"/>
        </w:rPr>
        <w:t xml:space="preserve">(Source: </w:t>
      </w:r>
      <w:r w:rsidRPr="001865B0">
        <w:rPr>
          <w:rFonts w:ascii="Times New Roman" w:hAnsi="Times New Roman" w:cs="Times New Roman"/>
          <w:sz w:val="24"/>
          <w:szCs w:val="24"/>
          <w:lang w:val="en-US"/>
        </w:rPr>
        <w:t>Self-created)</w:t>
      </w:r>
    </w:p>
    <w:p w:rsidR="006E7375" w:rsidRPr="001865B0" w:rsidRDefault="00B845B7" w:rsidP="001865B0">
      <w:pPr>
        <w:pStyle w:val="NormalWeb"/>
        <w:spacing w:before="240" w:beforeAutospacing="0" w:after="240" w:afterAutospacing="0" w:line="360" w:lineRule="auto"/>
        <w:jc w:val="both"/>
      </w:pPr>
      <w:r w:rsidRPr="001865B0">
        <w:rPr>
          <w:b/>
          <w:lang w:val="en-US"/>
        </w:rPr>
        <w:t>Analysis:</w:t>
      </w:r>
      <w:r w:rsidR="00205B00" w:rsidRPr="001865B0">
        <w:rPr>
          <w:b/>
          <w:lang w:val="en-US"/>
        </w:rPr>
        <w:t xml:space="preserve"> </w:t>
      </w:r>
      <w:r w:rsidRPr="001865B0">
        <w:rPr>
          <w:color w:val="000000"/>
        </w:rPr>
        <w:t>Over the previous three years, the receivables turnover ratio of FirstGroup Plc was higher than National Express Group Plc. This subsequently demonstrates that FirstGroup Plc is more effective at recovering its accounts receivable t</w:t>
      </w:r>
      <w:r w:rsidRPr="001865B0">
        <w:rPr>
          <w:color w:val="000000"/>
        </w:rPr>
        <w:t>han its competitor</w:t>
      </w:r>
      <w:r w:rsidR="00DB506C">
        <w:rPr>
          <w:color w:val="000000"/>
        </w:rPr>
        <w:t xml:space="preserve"> (</w:t>
      </w:r>
      <w:r w:rsidR="00DB506C" w:rsidRPr="00F17168">
        <w:rPr>
          <w:color w:val="222222"/>
          <w:shd w:val="clear" w:color="auto" w:fill="FFFFFF"/>
        </w:rPr>
        <w:t>Ha</w:t>
      </w:r>
      <w:r w:rsidR="00DB506C">
        <w:rPr>
          <w:color w:val="222222"/>
          <w:shd w:val="clear" w:color="auto" w:fill="FFFFFF"/>
        </w:rPr>
        <w:t xml:space="preserve">riani and Febriyastuti, </w:t>
      </w:r>
      <w:r w:rsidR="00DB506C" w:rsidRPr="00F17168">
        <w:rPr>
          <w:color w:val="222222"/>
          <w:shd w:val="clear" w:color="auto" w:fill="FFFFFF"/>
        </w:rPr>
        <w:t>2020</w:t>
      </w:r>
      <w:r w:rsidR="00DB506C">
        <w:rPr>
          <w:color w:val="222222"/>
          <w:shd w:val="clear" w:color="auto" w:fill="FFFFFF"/>
        </w:rPr>
        <w:t>)</w:t>
      </w:r>
      <w:r w:rsidRPr="001865B0">
        <w:rPr>
          <w:color w:val="000000"/>
        </w:rPr>
        <w:t>.</w:t>
      </w:r>
    </w:p>
    <w:p w:rsidR="00CF0F6B" w:rsidRPr="001865B0" w:rsidRDefault="00B845B7" w:rsidP="001865B0">
      <w:pPr>
        <w:pStyle w:val="Heading1"/>
        <w:rPr>
          <w:lang w:val="en-US"/>
        </w:rPr>
      </w:pPr>
      <w:r w:rsidRPr="001865B0">
        <w:rPr>
          <w:lang w:val="en-US"/>
        </w:rPr>
        <w:t xml:space="preserve"> </w:t>
      </w:r>
      <w:bookmarkStart w:id="13" w:name="_Toc133429725"/>
      <w:r w:rsidRPr="001865B0">
        <w:rPr>
          <w:lang w:val="en-US"/>
        </w:rPr>
        <w:t xml:space="preserve">(iv) Justification concern to support a new joint </w:t>
      </w:r>
      <w:r w:rsidR="009A4E1D" w:rsidRPr="001865B0">
        <w:rPr>
          <w:lang w:val="en-US"/>
        </w:rPr>
        <w:t>venture by First Group Plc</w:t>
      </w:r>
      <w:bookmarkEnd w:id="13"/>
      <w:r w:rsidR="009A4E1D" w:rsidRPr="001865B0">
        <w:rPr>
          <w:lang w:val="en-US"/>
        </w:rPr>
        <w:t xml:space="preserve"> </w:t>
      </w:r>
    </w:p>
    <w:p w:rsidR="003A5074" w:rsidRPr="003A5074" w:rsidRDefault="00B845B7" w:rsidP="001865B0">
      <w:pPr>
        <w:spacing w:before="240" w:after="240" w:line="360" w:lineRule="auto"/>
        <w:jc w:val="both"/>
        <w:rPr>
          <w:rFonts w:ascii="Times New Roman" w:eastAsia="Times New Roman" w:hAnsi="Times New Roman" w:cs="Times New Roman"/>
          <w:sz w:val="24"/>
          <w:szCs w:val="24"/>
          <w:lang w:eastAsia="en-IN"/>
        </w:rPr>
      </w:pPr>
      <w:r w:rsidRPr="003A5074">
        <w:rPr>
          <w:rFonts w:ascii="Times New Roman" w:eastAsia="Times New Roman" w:hAnsi="Times New Roman" w:cs="Times New Roman"/>
          <w:color w:val="000000"/>
          <w:sz w:val="24"/>
          <w:szCs w:val="24"/>
          <w:lang w:eastAsia="en-IN"/>
        </w:rPr>
        <w:t>Various factors are required to be evaluated to decide whether or not to support a new joint venture by the company's Board of Directors evolving both of its</w:t>
      </w:r>
      <w:r w:rsidRPr="003A5074">
        <w:rPr>
          <w:rFonts w:ascii="Times New Roman" w:eastAsia="Times New Roman" w:hAnsi="Times New Roman" w:cs="Times New Roman"/>
          <w:color w:val="000000"/>
          <w:sz w:val="24"/>
          <w:szCs w:val="24"/>
          <w:lang w:eastAsia="en-IN"/>
        </w:rPr>
        <w:t xml:space="preserve"> qualitative and quantitative implications. FirstGroup Plc, associated with its financial standpoint, has experienced a difficult financial environment in recent years. The company's revenue has decreased by 3.3% year over year, and for the past three year</w:t>
      </w:r>
      <w:r w:rsidRPr="003A5074">
        <w:rPr>
          <w:rFonts w:ascii="Times New Roman" w:eastAsia="Times New Roman" w:hAnsi="Times New Roman" w:cs="Times New Roman"/>
          <w:color w:val="000000"/>
          <w:sz w:val="24"/>
          <w:szCs w:val="24"/>
          <w:lang w:eastAsia="en-IN"/>
        </w:rPr>
        <w:t xml:space="preserve">s, the net income has stayed </w:t>
      </w:r>
      <w:r w:rsidRPr="00DB506C">
        <w:rPr>
          <w:rFonts w:ascii="Times New Roman" w:eastAsia="Times New Roman" w:hAnsi="Times New Roman" w:cs="Times New Roman"/>
          <w:color w:val="000000"/>
          <w:sz w:val="24"/>
          <w:szCs w:val="24"/>
          <w:lang w:eastAsia="en-IN"/>
        </w:rPr>
        <w:t>low</w:t>
      </w:r>
      <w:r w:rsidR="00DB506C" w:rsidRPr="00DB506C">
        <w:rPr>
          <w:rFonts w:ascii="Times New Roman" w:eastAsia="Times New Roman" w:hAnsi="Times New Roman" w:cs="Times New Roman"/>
          <w:color w:val="000000"/>
          <w:sz w:val="24"/>
          <w:szCs w:val="24"/>
          <w:lang w:eastAsia="en-IN"/>
        </w:rPr>
        <w:t xml:space="preserve"> </w:t>
      </w:r>
      <w:r w:rsidR="00DB506C" w:rsidRPr="00DB506C">
        <w:rPr>
          <w:rFonts w:ascii="Times New Roman" w:hAnsi="Times New Roman" w:cs="Times New Roman"/>
          <w:color w:val="000000"/>
          <w:sz w:val="24"/>
          <w:szCs w:val="24"/>
        </w:rPr>
        <w:t>(</w:t>
      </w:r>
      <w:r w:rsidR="00DB506C" w:rsidRPr="00DB506C">
        <w:rPr>
          <w:rFonts w:ascii="Times New Roman" w:hAnsi="Times New Roman" w:cs="Times New Roman"/>
          <w:color w:val="222222"/>
          <w:sz w:val="24"/>
          <w:szCs w:val="24"/>
          <w:shd w:val="clear" w:color="auto" w:fill="FFFFFF"/>
        </w:rPr>
        <w:t xml:space="preserve">Beracha </w:t>
      </w:r>
      <w:r w:rsidR="00DB506C" w:rsidRPr="00DB506C">
        <w:rPr>
          <w:rFonts w:ascii="Times New Roman" w:hAnsi="Times New Roman" w:cs="Times New Roman"/>
          <w:i/>
          <w:color w:val="222222"/>
          <w:sz w:val="24"/>
          <w:szCs w:val="24"/>
          <w:shd w:val="clear" w:color="auto" w:fill="FFFFFF"/>
        </w:rPr>
        <w:t>et al.</w:t>
      </w:r>
      <w:r w:rsidR="00DB506C" w:rsidRPr="00DB506C">
        <w:rPr>
          <w:rFonts w:ascii="Times New Roman" w:hAnsi="Times New Roman" w:cs="Times New Roman"/>
          <w:color w:val="222222"/>
          <w:sz w:val="24"/>
          <w:szCs w:val="24"/>
          <w:shd w:val="clear" w:color="auto" w:fill="FFFFFF"/>
        </w:rPr>
        <w:t xml:space="preserve"> 2019)</w:t>
      </w:r>
      <w:r w:rsidRPr="00DB506C">
        <w:rPr>
          <w:rFonts w:ascii="Times New Roman" w:eastAsia="Times New Roman" w:hAnsi="Times New Roman" w:cs="Times New Roman"/>
          <w:color w:val="000000"/>
          <w:sz w:val="24"/>
          <w:szCs w:val="24"/>
          <w:lang w:eastAsia="en-IN"/>
        </w:rPr>
        <w:t>.</w:t>
      </w:r>
      <w:r w:rsidRPr="003A5074">
        <w:rPr>
          <w:rFonts w:ascii="Times New Roman" w:eastAsia="Times New Roman" w:hAnsi="Times New Roman" w:cs="Times New Roman"/>
          <w:color w:val="000000"/>
          <w:sz w:val="24"/>
          <w:szCs w:val="24"/>
          <w:lang w:eastAsia="en-IN"/>
        </w:rPr>
        <w:t xml:space="preserve"> Additionally, FirstGroup Plc has a debt-to-equity ratio of 3.33 in the year 2022, which indicates that the firm may be in danger of defaulting on its debt payments due to its high level of debt. Hence, the Board of Directo</w:t>
      </w:r>
      <w:r w:rsidRPr="003A5074">
        <w:rPr>
          <w:rFonts w:ascii="Times New Roman" w:eastAsia="Times New Roman" w:hAnsi="Times New Roman" w:cs="Times New Roman"/>
          <w:color w:val="000000"/>
          <w:sz w:val="24"/>
          <w:szCs w:val="24"/>
          <w:lang w:eastAsia="en-IN"/>
        </w:rPr>
        <w:t>rs must carefully consider the prospective joint venture opportunity in light of the company's financial performance</w:t>
      </w:r>
      <w:r w:rsidR="00F73FA2">
        <w:rPr>
          <w:rFonts w:ascii="Times New Roman" w:eastAsia="Times New Roman" w:hAnsi="Times New Roman" w:cs="Times New Roman"/>
          <w:color w:val="000000"/>
          <w:sz w:val="24"/>
          <w:szCs w:val="24"/>
          <w:lang w:eastAsia="en-IN"/>
        </w:rPr>
        <w:t xml:space="preserve"> (</w:t>
      </w:r>
      <w:r w:rsidR="00F73FA2">
        <w:rPr>
          <w:rFonts w:ascii="Times New Roman" w:hAnsi="Times New Roman" w:cs="Times New Roman"/>
          <w:color w:val="222222"/>
          <w:sz w:val="24"/>
          <w:szCs w:val="24"/>
          <w:shd w:val="clear" w:color="auto" w:fill="FFFFFF"/>
        </w:rPr>
        <w:t xml:space="preserve">Layard, </w:t>
      </w:r>
      <w:r w:rsidR="00F73FA2" w:rsidRPr="00F17168">
        <w:rPr>
          <w:rFonts w:ascii="Times New Roman" w:hAnsi="Times New Roman" w:cs="Times New Roman"/>
          <w:color w:val="222222"/>
          <w:sz w:val="24"/>
          <w:szCs w:val="24"/>
          <w:shd w:val="clear" w:color="auto" w:fill="FFFFFF"/>
        </w:rPr>
        <w:t>2022</w:t>
      </w:r>
      <w:r w:rsidR="00F73FA2">
        <w:rPr>
          <w:rFonts w:ascii="Times New Roman" w:hAnsi="Times New Roman" w:cs="Times New Roman"/>
          <w:color w:val="222222"/>
          <w:sz w:val="24"/>
          <w:szCs w:val="24"/>
          <w:shd w:val="clear" w:color="auto" w:fill="FFFFFF"/>
        </w:rPr>
        <w:t>)</w:t>
      </w:r>
      <w:r w:rsidRPr="003A5074">
        <w:rPr>
          <w:rFonts w:ascii="Times New Roman" w:eastAsia="Times New Roman" w:hAnsi="Times New Roman" w:cs="Times New Roman"/>
          <w:color w:val="000000"/>
          <w:sz w:val="24"/>
          <w:szCs w:val="24"/>
          <w:lang w:eastAsia="en-IN"/>
        </w:rPr>
        <w:t xml:space="preserve">. By giving the business access to new markets, technologies, and resources, a successful joint venture has the potential to strengthen the </w:t>
      </w:r>
      <w:r w:rsidRPr="003A5074">
        <w:rPr>
          <w:rFonts w:ascii="Times New Roman" w:eastAsia="Times New Roman" w:hAnsi="Times New Roman" w:cs="Times New Roman"/>
          <w:color w:val="000000"/>
          <w:sz w:val="24"/>
          <w:szCs w:val="24"/>
          <w:lang w:eastAsia="en-IN"/>
        </w:rPr>
        <w:t>financial position of FirstGroup Plc. Joint ventures do, however, also carry some risk, and the Board of Directors must make sure that this risk is properly handled.</w:t>
      </w:r>
    </w:p>
    <w:p w:rsidR="003A5074" w:rsidRPr="003A5074" w:rsidRDefault="00B845B7" w:rsidP="001865B0">
      <w:pPr>
        <w:spacing w:before="240" w:after="240" w:line="360" w:lineRule="auto"/>
        <w:jc w:val="both"/>
        <w:rPr>
          <w:rFonts w:ascii="Times New Roman" w:eastAsia="Times New Roman" w:hAnsi="Times New Roman" w:cs="Times New Roman"/>
          <w:sz w:val="24"/>
          <w:szCs w:val="24"/>
          <w:lang w:eastAsia="en-IN"/>
        </w:rPr>
      </w:pPr>
      <w:r w:rsidRPr="003A5074">
        <w:rPr>
          <w:rFonts w:ascii="Times New Roman" w:eastAsia="Times New Roman" w:hAnsi="Times New Roman" w:cs="Times New Roman"/>
          <w:color w:val="000000"/>
          <w:sz w:val="24"/>
          <w:szCs w:val="24"/>
          <w:lang w:eastAsia="en-IN"/>
        </w:rPr>
        <w:lastRenderedPageBreak/>
        <w:t>Furthermore, conflicts with the partner company could be one of the main concerns connecte</w:t>
      </w:r>
      <w:r w:rsidRPr="003A5074">
        <w:rPr>
          <w:rFonts w:ascii="Times New Roman" w:eastAsia="Times New Roman" w:hAnsi="Times New Roman" w:cs="Times New Roman"/>
          <w:color w:val="000000"/>
          <w:sz w:val="24"/>
          <w:szCs w:val="24"/>
          <w:lang w:eastAsia="en-IN"/>
        </w:rPr>
        <w:t xml:space="preserve">d to joint ventures. </w:t>
      </w:r>
      <w:r w:rsidR="00F73FA2">
        <w:rPr>
          <w:rFonts w:ascii="Times New Roman" w:eastAsia="Times New Roman" w:hAnsi="Times New Roman" w:cs="Times New Roman"/>
          <w:color w:val="000000"/>
          <w:sz w:val="24"/>
          <w:szCs w:val="24"/>
          <w:lang w:eastAsia="en-IN"/>
        </w:rPr>
        <w:t xml:space="preserve">As opined by </w:t>
      </w:r>
      <w:r w:rsidR="00F73FA2">
        <w:rPr>
          <w:rFonts w:ascii="Times New Roman" w:hAnsi="Times New Roman" w:cs="Times New Roman"/>
          <w:color w:val="222222"/>
          <w:sz w:val="24"/>
          <w:szCs w:val="24"/>
          <w:shd w:val="clear" w:color="auto" w:fill="FFFFFF"/>
        </w:rPr>
        <w:t xml:space="preserve">Choe </w:t>
      </w:r>
      <w:r w:rsidR="00F73FA2" w:rsidRPr="00F73FA2">
        <w:rPr>
          <w:rFonts w:ascii="Times New Roman" w:hAnsi="Times New Roman" w:cs="Times New Roman"/>
          <w:i/>
          <w:color w:val="222222"/>
          <w:sz w:val="24"/>
          <w:szCs w:val="24"/>
          <w:shd w:val="clear" w:color="auto" w:fill="FFFFFF"/>
        </w:rPr>
        <w:t>et al.</w:t>
      </w:r>
      <w:r w:rsidR="00F73FA2">
        <w:rPr>
          <w:rFonts w:ascii="Times New Roman" w:hAnsi="Times New Roman" w:cs="Times New Roman"/>
          <w:color w:val="222222"/>
          <w:sz w:val="24"/>
          <w:szCs w:val="24"/>
          <w:shd w:val="clear" w:color="auto" w:fill="FFFFFF"/>
        </w:rPr>
        <w:t xml:space="preserve"> </w:t>
      </w:r>
      <w:r w:rsidR="00F73FA2">
        <w:rPr>
          <w:rFonts w:ascii="Times New Roman" w:hAnsi="Times New Roman" w:cs="Times New Roman"/>
          <w:color w:val="222222"/>
          <w:sz w:val="24"/>
          <w:szCs w:val="24"/>
          <w:shd w:val="clear" w:color="auto" w:fill="FFFFFF"/>
        </w:rPr>
        <w:t>(</w:t>
      </w:r>
      <w:r w:rsidR="00F73FA2" w:rsidRPr="00F17168">
        <w:rPr>
          <w:rFonts w:ascii="Times New Roman" w:hAnsi="Times New Roman" w:cs="Times New Roman"/>
          <w:color w:val="222222"/>
          <w:sz w:val="24"/>
          <w:szCs w:val="24"/>
          <w:shd w:val="clear" w:color="auto" w:fill="FFFFFF"/>
        </w:rPr>
        <w:t>2022</w:t>
      </w:r>
      <w:r w:rsidR="00F73FA2">
        <w:rPr>
          <w:rFonts w:ascii="Times New Roman" w:hAnsi="Times New Roman" w:cs="Times New Roman"/>
          <w:color w:val="222222"/>
          <w:sz w:val="24"/>
          <w:szCs w:val="24"/>
          <w:shd w:val="clear" w:color="auto" w:fill="FFFFFF"/>
        </w:rPr>
        <w:t>)</w:t>
      </w:r>
      <w:r w:rsidR="00F73FA2">
        <w:rPr>
          <w:rFonts w:ascii="Times New Roman" w:hAnsi="Times New Roman" w:cs="Times New Roman"/>
          <w:color w:val="222222"/>
          <w:sz w:val="24"/>
          <w:szCs w:val="24"/>
          <w:shd w:val="clear" w:color="auto" w:fill="FFFFFF"/>
        </w:rPr>
        <w:t xml:space="preserve">, </w:t>
      </w:r>
      <w:r w:rsidR="00F73FA2">
        <w:rPr>
          <w:rFonts w:ascii="Times New Roman" w:eastAsia="Times New Roman" w:hAnsi="Times New Roman" w:cs="Times New Roman"/>
          <w:color w:val="000000"/>
          <w:sz w:val="24"/>
          <w:szCs w:val="24"/>
          <w:lang w:eastAsia="en-IN"/>
        </w:rPr>
        <w:t>g</w:t>
      </w:r>
      <w:r w:rsidRPr="003A5074">
        <w:rPr>
          <w:rFonts w:ascii="Times New Roman" w:eastAsia="Times New Roman" w:hAnsi="Times New Roman" w:cs="Times New Roman"/>
          <w:color w:val="000000"/>
          <w:sz w:val="24"/>
          <w:szCs w:val="24"/>
          <w:lang w:eastAsia="en-IN"/>
        </w:rPr>
        <w:t>oal discrepancies, cultural disparities, or management preferences, may all contribute to these concerns. Additionally, joint ventures demand large internal and external investments and might need the organisation to raise more money.</w:t>
      </w:r>
      <w:r w:rsidRPr="003A5074">
        <w:rPr>
          <w:rFonts w:ascii="Times New Roman" w:eastAsia="Times New Roman" w:hAnsi="Times New Roman" w:cs="Times New Roman"/>
          <w:color w:val="000000"/>
          <w:sz w:val="24"/>
          <w:szCs w:val="24"/>
          <w:lang w:eastAsia="en-IN"/>
        </w:rPr>
        <w:t xml:space="preserve"> If the joint venture fails, the business could sustain large losses that would lower its shareholder valuation. Therefore, the Board of Directors of FirstGroup Plc must perform a thorough risk analysis and ensure that suitable risk management methods are </w:t>
      </w:r>
      <w:r w:rsidRPr="003A5074">
        <w:rPr>
          <w:rFonts w:ascii="Times New Roman" w:eastAsia="Times New Roman" w:hAnsi="Times New Roman" w:cs="Times New Roman"/>
          <w:color w:val="000000"/>
          <w:sz w:val="24"/>
          <w:szCs w:val="24"/>
          <w:lang w:eastAsia="en-IN"/>
        </w:rPr>
        <w:t>in place before approving the joint venture. Besides, the business must evaluate the joint venture's financial viability and compatibility with its strategic objectives</w:t>
      </w:r>
      <w:r w:rsidR="00F73FA2">
        <w:rPr>
          <w:rFonts w:ascii="Times New Roman" w:eastAsia="Times New Roman" w:hAnsi="Times New Roman" w:cs="Times New Roman"/>
          <w:color w:val="000000"/>
          <w:sz w:val="24"/>
          <w:szCs w:val="24"/>
          <w:lang w:eastAsia="en-IN"/>
        </w:rPr>
        <w:t xml:space="preserve"> (</w:t>
      </w:r>
      <w:r w:rsidR="00F73FA2">
        <w:rPr>
          <w:rFonts w:ascii="Times New Roman" w:hAnsi="Times New Roman" w:cs="Times New Roman"/>
          <w:color w:val="222222"/>
          <w:sz w:val="24"/>
          <w:szCs w:val="24"/>
          <w:shd w:val="clear" w:color="auto" w:fill="FFFFFF"/>
        </w:rPr>
        <w:t xml:space="preserve">Andrenelli </w:t>
      </w:r>
      <w:r w:rsidR="00F73FA2" w:rsidRPr="00F73FA2">
        <w:rPr>
          <w:rFonts w:ascii="Times New Roman" w:hAnsi="Times New Roman" w:cs="Times New Roman"/>
          <w:i/>
          <w:color w:val="222222"/>
          <w:sz w:val="24"/>
          <w:szCs w:val="24"/>
          <w:shd w:val="clear" w:color="auto" w:fill="FFFFFF"/>
        </w:rPr>
        <w:t>et al.</w:t>
      </w:r>
      <w:r w:rsidR="00F73FA2">
        <w:rPr>
          <w:rFonts w:ascii="Times New Roman" w:hAnsi="Times New Roman" w:cs="Times New Roman"/>
          <w:color w:val="222222"/>
          <w:sz w:val="24"/>
          <w:szCs w:val="24"/>
          <w:shd w:val="clear" w:color="auto" w:fill="FFFFFF"/>
        </w:rPr>
        <w:t xml:space="preserve"> </w:t>
      </w:r>
      <w:r w:rsidR="00F73FA2" w:rsidRPr="00F17168">
        <w:rPr>
          <w:rFonts w:ascii="Times New Roman" w:hAnsi="Times New Roman" w:cs="Times New Roman"/>
          <w:color w:val="222222"/>
          <w:sz w:val="24"/>
          <w:szCs w:val="24"/>
          <w:shd w:val="clear" w:color="auto" w:fill="FFFFFF"/>
        </w:rPr>
        <w:t>2019</w:t>
      </w:r>
      <w:r w:rsidR="00F73FA2">
        <w:rPr>
          <w:rFonts w:ascii="Times New Roman" w:hAnsi="Times New Roman" w:cs="Times New Roman"/>
          <w:color w:val="222222"/>
          <w:sz w:val="24"/>
          <w:szCs w:val="24"/>
          <w:shd w:val="clear" w:color="auto" w:fill="FFFFFF"/>
        </w:rPr>
        <w:t>)</w:t>
      </w:r>
      <w:r w:rsidRPr="003A5074">
        <w:rPr>
          <w:rFonts w:ascii="Times New Roman" w:eastAsia="Times New Roman" w:hAnsi="Times New Roman" w:cs="Times New Roman"/>
          <w:color w:val="000000"/>
          <w:sz w:val="24"/>
          <w:szCs w:val="24"/>
          <w:lang w:eastAsia="en-IN"/>
        </w:rPr>
        <w:t>. The evaluation should take into account several variables, such as the potential for i</w:t>
      </w:r>
      <w:r w:rsidRPr="003A5074">
        <w:rPr>
          <w:rFonts w:ascii="Times New Roman" w:eastAsia="Times New Roman" w:hAnsi="Times New Roman" w:cs="Times New Roman"/>
          <w:color w:val="000000"/>
          <w:sz w:val="24"/>
          <w:szCs w:val="24"/>
          <w:lang w:eastAsia="en-IN"/>
        </w:rPr>
        <w:t>ncreased revenue, cost savings, and profitability.</w:t>
      </w:r>
    </w:p>
    <w:p w:rsidR="003A5074" w:rsidRPr="003A5074" w:rsidRDefault="00B845B7" w:rsidP="001865B0">
      <w:pPr>
        <w:spacing w:before="240" w:after="240" w:line="360" w:lineRule="auto"/>
        <w:jc w:val="both"/>
        <w:rPr>
          <w:rFonts w:ascii="Times New Roman" w:eastAsia="Times New Roman" w:hAnsi="Times New Roman" w:cs="Times New Roman"/>
          <w:sz w:val="24"/>
          <w:szCs w:val="24"/>
          <w:lang w:eastAsia="en-IN"/>
        </w:rPr>
      </w:pPr>
      <w:r w:rsidRPr="003A5074">
        <w:rPr>
          <w:rFonts w:ascii="Times New Roman" w:eastAsia="Times New Roman" w:hAnsi="Times New Roman" w:cs="Times New Roman"/>
          <w:color w:val="000000"/>
          <w:sz w:val="24"/>
          <w:szCs w:val="24"/>
          <w:lang w:eastAsia="en-IN"/>
        </w:rPr>
        <w:t xml:space="preserve">Hence, it can be said that the Board of Directors of FirstGroup Plc must carefully assess the risks even though a joint venture has the potential to strengthen the company's financial situation. Moreover, </w:t>
      </w:r>
      <w:r w:rsidRPr="003A5074">
        <w:rPr>
          <w:rFonts w:ascii="Times New Roman" w:eastAsia="Times New Roman" w:hAnsi="Times New Roman" w:cs="Times New Roman"/>
          <w:color w:val="000000"/>
          <w:sz w:val="24"/>
          <w:szCs w:val="24"/>
          <w:lang w:eastAsia="en-IN"/>
        </w:rPr>
        <w:t>the Board of Directors must make sure that the joint venture is in line with the firm's strategic goals and that the necessary risk management plans are in place concerning considerable issues associated with the financial position in the last three years.</w:t>
      </w:r>
      <w:r w:rsidRPr="003A5074">
        <w:rPr>
          <w:rFonts w:ascii="Times New Roman" w:eastAsia="Times New Roman" w:hAnsi="Times New Roman" w:cs="Times New Roman"/>
          <w:color w:val="000000"/>
          <w:sz w:val="24"/>
          <w:szCs w:val="24"/>
          <w:lang w:eastAsia="en-IN"/>
        </w:rPr>
        <w:t xml:space="preserve"> </w:t>
      </w:r>
    </w:p>
    <w:p w:rsidR="00CF0F6B" w:rsidRPr="001865B0" w:rsidRDefault="00B845B7" w:rsidP="001865B0">
      <w:pPr>
        <w:pStyle w:val="Heading1"/>
        <w:rPr>
          <w:lang w:val="en-US"/>
        </w:rPr>
      </w:pPr>
      <w:bookmarkStart w:id="14" w:name="_Toc133429726"/>
      <w:r w:rsidRPr="001865B0">
        <w:rPr>
          <w:lang w:val="en-US"/>
        </w:rPr>
        <w:t>C</w:t>
      </w:r>
      <w:r w:rsidR="003A5074" w:rsidRPr="001865B0">
        <w:rPr>
          <w:lang w:val="en-US"/>
        </w:rPr>
        <w:t>onclusion</w:t>
      </w:r>
      <w:bookmarkEnd w:id="14"/>
      <w:r w:rsidR="003A5074" w:rsidRPr="001865B0">
        <w:rPr>
          <w:lang w:val="en-US"/>
        </w:rPr>
        <w:t xml:space="preserve"> </w:t>
      </w:r>
    </w:p>
    <w:p w:rsidR="00BB560D" w:rsidRPr="001865B0" w:rsidRDefault="00B845B7" w:rsidP="001865B0">
      <w:pPr>
        <w:spacing w:line="360" w:lineRule="auto"/>
        <w:jc w:val="both"/>
        <w:rPr>
          <w:rFonts w:ascii="Times New Roman" w:hAnsi="Times New Roman" w:cs="Times New Roman"/>
          <w:sz w:val="24"/>
          <w:szCs w:val="24"/>
          <w:lang w:val="en-US"/>
        </w:rPr>
      </w:pPr>
      <w:r w:rsidRPr="001865B0">
        <w:rPr>
          <w:rFonts w:ascii="Times New Roman" w:hAnsi="Times New Roman" w:cs="Times New Roman"/>
          <w:sz w:val="24"/>
          <w:szCs w:val="24"/>
          <w:lang w:val="en-US"/>
        </w:rPr>
        <w:t xml:space="preserve">Thus it can be concluded that the </w:t>
      </w:r>
      <w:r w:rsidR="000B5524" w:rsidRPr="001865B0">
        <w:rPr>
          <w:rFonts w:ascii="Times New Roman" w:hAnsi="Times New Roman" w:cs="Times New Roman"/>
          <w:sz w:val="24"/>
          <w:szCs w:val="24"/>
          <w:lang w:val="en-US"/>
        </w:rPr>
        <w:t xml:space="preserve">provided </w:t>
      </w:r>
      <w:r w:rsidRPr="001865B0">
        <w:rPr>
          <w:rFonts w:ascii="Times New Roman" w:hAnsi="Times New Roman" w:cs="Times New Roman"/>
          <w:sz w:val="24"/>
          <w:szCs w:val="24"/>
          <w:lang w:val="en-US"/>
        </w:rPr>
        <w:t>assignment highlights the financial level of FirstGroup Plc for the past three years</w:t>
      </w:r>
      <w:r w:rsidR="000B5524" w:rsidRPr="001865B0">
        <w:rPr>
          <w:rFonts w:ascii="Times New Roman" w:hAnsi="Times New Roman" w:cs="Times New Roman"/>
          <w:sz w:val="24"/>
          <w:szCs w:val="24"/>
          <w:lang w:val="en-US"/>
        </w:rPr>
        <w:t xml:space="preserve"> including comparing the same with its core rivalry. </w:t>
      </w:r>
      <w:r w:rsidRPr="001865B0">
        <w:rPr>
          <w:rFonts w:ascii="Times New Roman" w:hAnsi="Times New Roman" w:cs="Times New Roman"/>
          <w:sz w:val="24"/>
          <w:szCs w:val="24"/>
          <w:lang w:val="en-US"/>
        </w:rPr>
        <w:t>In terms of profitability and efficiency ratios over the previ</w:t>
      </w:r>
      <w:r w:rsidRPr="001865B0">
        <w:rPr>
          <w:rFonts w:ascii="Times New Roman" w:hAnsi="Times New Roman" w:cs="Times New Roman"/>
          <w:sz w:val="24"/>
          <w:szCs w:val="24"/>
          <w:lang w:val="en-US"/>
        </w:rPr>
        <w:t>ous three years, it indicates that FirstGroup outperformed National Express Group Plc. However, FirstGroup's liquidity and solvency ratios were lower than National Express highlighting at they would have trouble fulfilling their immediate and long-term obl</w:t>
      </w:r>
      <w:r w:rsidRPr="001865B0">
        <w:rPr>
          <w:rFonts w:ascii="Times New Roman" w:hAnsi="Times New Roman" w:cs="Times New Roman"/>
          <w:sz w:val="24"/>
          <w:szCs w:val="24"/>
          <w:lang w:val="en-US"/>
        </w:rPr>
        <w:t xml:space="preserve">igations. </w:t>
      </w:r>
      <w:r w:rsidR="00D3055A" w:rsidRPr="001865B0">
        <w:rPr>
          <w:rFonts w:ascii="Times New Roman" w:hAnsi="Times New Roman" w:cs="Times New Roman"/>
          <w:sz w:val="24"/>
          <w:szCs w:val="24"/>
          <w:lang w:val="en-US"/>
        </w:rPr>
        <w:t xml:space="preserve">Furthermore, an adequate risk management plan can ensure the company demonstrates a new joint venture and hereby enhances its performance in the future. </w:t>
      </w:r>
    </w:p>
    <w:p w:rsidR="001865B0" w:rsidRDefault="00B845B7">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CF0F6B" w:rsidRPr="001865B0" w:rsidRDefault="00B845B7" w:rsidP="001865B0">
      <w:pPr>
        <w:pStyle w:val="Heading1"/>
        <w:rPr>
          <w:lang w:val="en-US"/>
        </w:rPr>
      </w:pPr>
      <w:bookmarkStart w:id="15" w:name="_Toc133429727"/>
      <w:r w:rsidRPr="001865B0">
        <w:rPr>
          <w:lang w:val="en-US"/>
        </w:rPr>
        <w:lastRenderedPageBreak/>
        <w:t>Reference List</w:t>
      </w:r>
      <w:bookmarkEnd w:id="15"/>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bookmarkStart w:id="16" w:name="_GoBack"/>
      <w:bookmarkEnd w:id="16"/>
      <w:r w:rsidRPr="00CE5291">
        <w:rPr>
          <w:rFonts w:ascii="Times New Roman" w:hAnsi="Times New Roman" w:cs="Times New Roman"/>
          <w:color w:val="222222"/>
          <w:sz w:val="24"/>
          <w:szCs w:val="24"/>
          <w:shd w:val="clear" w:color="auto" w:fill="FFFFFF"/>
        </w:rPr>
        <w:t xml:space="preserve">Alvarez, T., Sensini, L. and Vazquez, M., </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2021</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 Working capital management and profitability: Evidence from an emergent economy. </w:t>
      </w:r>
      <w:r w:rsidRPr="00CE5291">
        <w:rPr>
          <w:rFonts w:ascii="Times New Roman" w:hAnsi="Times New Roman" w:cs="Times New Roman"/>
          <w:i/>
          <w:iCs/>
          <w:color w:val="222222"/>
          <w:sz w:val="24"/>
          <w:szCs w:val="24"/>
          <w:shd w:val="clear" w:color="auto" w:fill="FFFFFF"/>
        </w:rPr>
        <w:t>International Journal of Advances in Management and Economics</w:t>
      </w:r>
      <w:r w:rsidRPr="00CE5291">
        <w:rPr>
          <w:rFonts w:ascii="Times New Roman" w:hAnsi="Times New Roman" w:cs="Times New Roman"/>
          <w:color w:val="222222"/>
          <w:sz w:val="24"/>
          <w:szCs w:val="24"/>
          <w:shd w:val="clear" w:color="auto" w:fill="FFFFFF"/>
        </w:rPr>
        <w:t>, </w:t>
      </w:r>
      <w:r w:rsidRPr="00CE5291">
        <w:rPr>
          <w:rFonts w:ascii="Times New Roman" w:hAnsi="Times New Roman" w:cs="Times New Roman"/>
          <w:i/>
          <w:iCs/>
          <w:color w:val="222222"/>
          <w:sz w:val="24"/>
          <w:szCs w:val="24"/>
          <w:shd w:val="clear" w:color="auto" w:fill="FFFFFF"/>
        </w:rPr>
        <w:t>11</w:t>
      </w:r>
      <w:r w:rsidRPr="00CE5291">
        <w:rPr>
          <w:rFonts w:ascii="Times New Roman" w:hAnsi="Times New Roman" w:cs="Times New Roman"/>
          <w:color w:val="222222"/>
          <w:sz w:val="24"/>
          <w:szCs w:val="24"/>
          <w:shd w:val="clear" w:color="auto" w:fill="FFFFFF"/>
        </w:rPr>
        <w:t>(1), pp.32-39.</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hAnsi="Times New Roman" w:cs="Times New Roman"/>
          <w:color w:val="222222"/>
          <w:sz w:val="24"/>
          <w:szCs w:val="24"/>
          <w:shd w:val="clear" w:color="auto" w:fill="FFFFFF"/>
        </w:rPr>
        <w:t xml:space="preserve">Andrenelli, A., Gourdon, J. and Moïsé, E., </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2019</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 International technology transfer policies.</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hAnsi="Times New Roman" w:cs="Times New Roman"/>
          <w:color w:val="222222"/>
          <w:sz w:val="24"/>
          <w:szCs w:val="24"/>
          <w:shd w:val="clear" w:color="auto" w:fill="FFFFFF"/>
        </w:rPr>
        <w:t xml:space="preserve">Arsyad, M., Haeruddin, S.H., Muslim, M. and Pelu, M.F.A., </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2021</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 The effect of activity ratios, liquidity, and profitability on the dividend payout ratio. </w:t>
      </w:r>
      <w:r w:rsidRPr="00CE5291">
        <w:rPr>
          <w:rFonts w:ascii="Times New Roman" w:hAnsi="Times New Roman" w:cs="Times New Roman"/>
          <w:i/>
          <w:iCs/>
          <w:color w:val="222222"/>
          <w:sz w:val="24"/>
          <w:szCs w:val="24"/>
          <w:shd w:val="clear" w:color="auto" w:fill="FFFFFF"/>
        </w:rPr>
        <w:t>Indonesia Accounting Journal</w:t>
      </w:r>
      <w:r w:rsidRPr="00CE5291">
        <w:rPr>
          <w:rFonts w:ascii="Times New Roman" w:hAnsi="Times New Roman" w:cs="Times New Roman"/>
          <w:color w:val="222222"/>
          <w:sz w:val="24"/>
          <w:szCs w:val="24"/>
          <w:shd w:val="clear" w:color="auto" w:fill="FFFFFF"/>
        </w:rPr>
        <w:t>, </w:t>
      </w:r>
      <w:r w:rsidRPr="00CE5291">
        <w:rPr>
          <w:rFonts w:ascii="Times New Roman" w:hAnsi="Times New Roman" w:cs="Times New Roman"/>
          <w:i/>
          <w:iCs/>
          <w:color w:val="222222"/>
          <w:sz w:val="24"/>
          <w:szCs w:val="24"/>
          <w:shd w:val="clear" w:color="auto" w:fill="FFFFFF"/>
        </w:rPr>
        <w:t>3</w:t>
      </w:r>
      <w:r w:rsidRPr="00CE5291">
        <w:rPr>
          <w:rFonts w:ascii="Times New Roman" w:hAnsi="Times New Roman" w:cs="Times New Roman"/>
          <w:color w:val="222222"/>
          <w:sz w:val="24"/>
          <w:szCs w:val="24"/>
          <w:shd w:val="clear" w:color="auto" w:fill="FFFFFF"/>
        </w:rPr>
        <w:t>(1), pp.36-44.</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hAnsi="Times New Roman" w:cs="Times New Roman"/>
          <w:color w:val="222222"/>
          <w:sz w:val="24"/>
          <w:szCs w:val="24"/>
          <w:shd w:val="clear" w:color="auto" w:fill="FFFFFF"/>
        </w:rPr>
        <w:t xml:space="preserve">Ayoush, M.D., Toumeh, A.A. and Shabaneh, K.I., </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2021</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 Liquidity, leverage, and solvency: What affects profitability of industrial enterprises the most. </w:t>
      </w:r>
      <w:r w:rsidRPr="00CE5291">
        <w:rPr>
          <w:rFonts w:ascii="Times New Roman" w:hAnsi="Times New Roman" w:cs="Times New Roman"/>
          <w:i/>
          <w:iCs/>
          <w:color w:val="222222"/>
          <w:sz w:val="24"/>
          <w:szCs w:val="24"/>
          <w:shd w:val="clear" w:color="auto" w:fill="FFFFFF"/>
        </w:rPr>
        <w:t>Investment Management and Financial Innovations</w:t>
      </w:r>
      <w:r w:rsidRPr="00CE5291">
        <w:rPr>
          <w:rFonts w:ascii="Times New Roman" w:hAnsi="Times New Roman" w:cs="Times New Roman"/>
          <w:color w:val="222222"/>
          <w:sz w:val="24"/>
          <w:szCs w:val="24"/>
          <w:shd w:val="clear" w:color="auto" w:fill="FFFFFF"/>
        </w:rPr>
        <w:t>, </w:t>
      </w:r>
      <w:r w:rsidRPr="00CE5291">
        <w:rPr>
          <w:rFonts w:ascii="Times New Roman" w:hAnsi="Times New Roman" w:cs="Times New Roman"/>
          <w:i/>
          <w:iCs/>
          <w:color w:val="222222"/>
          <w:sz w:val="24"/>
          <w:szCs w:val="24"/>
          <w:shd w:val="clear" w:color="auto" w:fill="FFFFFF"/>
        </w:rPr>
        <w:t>18</w:t>
      </w:r>
      <w:r w:rsidRPr="00CE5291">
        <w:rPr>
          <w:rFonts w:ascii="Times New Roman" w:hAnsi="Times New Roman" w:cs="Times New Roman"/>
          <w:color w:val="222222"/>
          <w:sz w:val="24"/>
          <w:szCs w:val="24"/>
          <w:shd w:val="clear" w:color="auto" w:fill="FFFFFF"/>
        </w:rPr>
        <w:t>(3), pp.249-259.</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hAnsi="Times New Roman" w:cs="Times New Roman"/>
          <w:color w:val="222222"/>
          <w:sz w:val="24"/>
          <w:szCs w:val="24"/>
          <w:shd w:val="clear" w:color="auto" w:fill="FFFFFF"/>
        </w:rPr>
        <w:t xml:space="preserve">Beracha, E., Feng, Z. and Hardin III, W.G., </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2019</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 REIT operational efficiency and shareholder value. </w:t>
      </w:r>
      <w:r w:rsidRPr="00CE5291">
        <w:rPr>
          <w:rFonts w:ascii="Times New Roman" w:hAnsi="Times New Roman" w:cs="Times New Roman"/>
          <w:i/>
          <w:iCs/>
          <w:color w:val="222222"/>
          <w:sz w:val="24"/>
          <w:szCs w:val="24"/>
          <w:shd w:val="clear" w:color="auto" w:fill="FFFFFF"/>
        </w:rPr>
        <w:t>Journal of Real Estate Research</w:t>
      </w:r>
      <w:r w:rsidRPr="00CE5291">
        <w:rPr>
          <w:rFonts w:ascii="Times New Roman" w:hAnsi="Times New Roman" w:cs="Times New Roman"/>
          <w:color w:val="222222"/>
          <w:sz w:val="24"/>
          <w:szCs w:val="24"/>
          <w:shd w:val="clear" w:color="auto" w:fill="FFFFFF"/>
        </w:rPr>
        <w:t>, </w:t>
      </w:r>
      <w:r w:rsidRPr="00CE5291">
        <w:rPr>
          <w:rFonts w:ascii="Times New Roman" w:hAnsi="Times New Roman" w:cs="Times New Roman"/>
          <w:i/>
          <w:iCs/>
          <w:color w:val="222222"/>
          <w:sz w:val="24"/>
          <w:szCs w:val="24"/>
          <w:shd w:val="clear" w:color="auto" w:fill="FFFFFF"/>
        </w:rPr>
        <w:t>41</w:t>
      </w:r>
      <w:r w:rsidRPr="00CE5291">
        <w:rPr>
          <w:rFonts w:ascii="Times New Roman" w:hAnsi="Times New Roman" w:cs="Times New Roman"/>
          <w:color w:val="222222"/>
          <w:sz w:val="24"/>
          <w:szCs w:val="24"/>
          <w:shd w:val="clear" w:color="auto" w:fill="FFFFFF"/>
        </w:rPr>
        <w:t>(4), pp.513-554.</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hAnsi="Times New Roman" w:cs="Times New Roman"/>
          <w:color w:val="222222"/>
          <w:sz w:val="24"/>
          <w:szCs w:val="24"/>
          <w:shd w:val="clear" w:color="auto" w:fill="FFFFFF"/>
        </w:rPr>
        <w:t xml:space="preserve">Choe, D., Oettl, A., Seamans, R. and Duranton, G., </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2022</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 What’s Driving Entrepreneurship and Innovation in the Transportation Sector?. In </w:t>
      </w:r>
      <w:r w:rsidRPr="00CE5291">
        <w:rPr>
          <w:rFonts w:ascii="Times New Roman" w:hAnsi="Times New Roman" w:cs="Times New Roman"/>
          <w:i/>
          <w:iCs/>
          <w:color w:val="222222"/>
          <w:sz w:val="24"/>
          <w:szCs w:val="24"/>
          <w:shd w:val="clear" w:color="auto" w:fill="FFFFFF"/>
        </w:rPr>
        <w:t>The Role of Innovation and Entrepreneurship in Economic Growth</w:t>
      </w:r>
      <w:r w:rsidRPr="00CE5291">
        <w:rPr>
          <w:rFonts w:ascii="Times New Roman" w:hAnsi="Times New Roman" w:cs="Times New Roman"/>
          <w:color w:val="222222"/>
          <w:sz w:val="24"/>
          <w:szCs w:val="24"/>
          <w:shd w:val="clear" w:color="auto" w:fill="FFFFFF"/>
        </w:rPr>
        <w:t> (pp. 251-290). University of Chicago Press.</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hAnsi="Times New Roman" w:cs="Times New Roman"/>
          <w:color w:val="222222"/>
          <w:sz w:val="24"/>
          <w:szCs w:val="24"/>
          <w:shd w:val="clear" w:color="auto" w:fill="FFFFFF"/>
        </w:rPr>
        <w:t xml:space="preserve">Fajriyanti, A.W. and Wiyarni, W., </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2022</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 Corporate financial performance in the Covid-19 pandemic.</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eastAsia="Times New Roman" w:hAnsi="Times New Roman" w:cs="Times New Roman"/>
          <w:iCs/>
          <w:sz w:val="24"/>
          <w:szCs w:val="24"/>
          <w:lang w:eastAsia="en-IN"/>
        </w:rPr>
        <w:t>FirstGroup Plc | About Us</w:t>
      </w:r>
      <w:r w:rsidRPr="00CE5291">
        <w:rPr>
          <w:rFonts w:ascii="Times New Roman" w:eastAsia="Times New Roman" w:hAnsi="Times New Roman" w:cs="Times New Roman"/>
          <w:sz w:val="24"/>
          <w:szCs w:val="24"/>
          <w:lang w:eastAsia="en-IN"/>
        </w:rPr>
        <w:t xml:space="preserve"> (2023). Available at: </w:t>
      </w:r>
      <w:hyperlink r:id="rId24" w:history="1">
        <w:r w:rsidRPr="00CE5291">
          <w:rPr>
            <w:rStyle w:val="Hyperlink"/>
            <w:rFonts w:ascii="Times New Roman" w:eastAsia="Times New Roman" w:hAnsi="Times New Roman" w:cs="Times New Roman"/>
            <w:sz w:val="24"/>
            <w:szCs w:val="24"/>
            <w:lang w:eastAsia="en-IN"/>
          </w:rPr>
          <w:t>https://www.firstgroupplc.com/</w:t>
        </w:r>
      </w:hyperlink>
      <w:r w:rsidRPr="00CE5291">
        <w:rPr>
          <w:rFonts w:ascii="Times New Roman" w:eastAsia="Times New Roman" w:hAnsi="Times New Roman" w:cs="Times New Roman"/>
          <w:sz w:val="24"/>
          <w:szCs w:val="24"/>
          <w:lang w:eastAsia="en-IN"/>
        </w:rPr>
        <w:t xml:space="preserve"> (Accessed: April 26, 2023). </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eastAsia="Times New Roman" w:hAnsi="Times New Roman" w:cs="Times New Roman"/>
          <w:iCs/>
          <w:sz w:val="24"/>
          <w:szCs w:val="24"/>
          <w:lang w:eastAsia="en-IN"/>
        </w:rPr>
        <w:t>First</w:t>
      </w:r>
      <w:r w:rsidRPr="00CE5291">
        <w:rPr>
          <w:rFonts w:ascii="Times New Roman" w:eastAsia="Times New Roman" w:hAnsi="Times New Roman" w:cs="Times New Roman"/>
          <w:iCs/>
          <w:sz w:val="24"/>
          <w:szCs w:val="24"/>
          <w:lang w:eastAsia="en-IN"/>
        </w:rPr>
        <w:t>Group Plc| Annual Report and Accounts (</w:t>
      </w:r>
      <w:r w:rsidRPr="00CE5291">
        <w:rPr>
          <w:rFonts w:ascii="Times New Roman" w:eastAsia="Times New Roman" w:hAnsi="Times New Roman" w:cs="Times New Roman"/>
          <w:iCs/>
          <w:sz w:val="24"/>
          <w:szCs w:val="24"/>
          <w:lang w:eastAsia="en-IN"/>
        </w:rPr>
        <w:t>2020</w:t>
      </w:r>
      <w:r w:rsidRPr="00CE5291">
        <w:rPr>
          <w:rFonts w:ascii="Times New Roman" w:eastAsia="Times New Roman" w:hAnsi="Times New Roman" w:cs="Times New Roman"/>
          <w:sz w:val="24"/>
          <w:szCs w:val="24"/>
          <w:lang w:eastAsia="en-IN"/>
        </w:rPr>
        <w:t xml:space="preserve">). (Accessed: April 26, 2023). </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eastAsia="Times New Roman" w:hAnsi="Times New Roman" w:cs="Times New Roman"/>
          <w:iCs/>
          <w:sz w:val="24"/>
          <w:szCs w:val="24"/>
          <w:lang w:eastAsia="en-IN"/>
        </w:rPr>
        <w:t>First</w:t>
      </w:r>
      <w:r w:rsidRPr="00CE5291">
        <w:rPr>
          <w:rFonts w:ascii="Times New Roman" w:eastAsia="Times New Roman" w:hAnsi="Times New Roman" w:cs="Times New Roman"/>
          <w:iCs/>
          <w:sz w:val="24"/>
          <w:szCs w:val="24"/>
          <w:lang w:eastAsia="en-IN"/>
        </w:rPr>
        <w:t>Group Plc| Annual Report and Accounts (</w:t>
      </w:r>
      <w:r w:rsidRPr="00CE5291">
        <w:rPr>
          <w:rFonts w:ascii="Times New Roman" w:eastAsia="Times New Roman" w:hAnsi="Times New Roman" w:cs="Times New Roman"/>
          <w:iCs/>
          <w:sz w:val="24"/>
          <w:szCs w:val="24"/>
          <w:lang w:eastAsia="en-IN"/>
        </w:rPr>
        <w:t>2021</w:t>
      </w:r>
      <w:r w:rsidRPr="00CE5291">
        <w:rPr>
          <w:rFonts w:ascii="Times New Roman" w:eastAsia="Times New Roman" w:hAnsi="Times New Roman" w:cs="Times New Roman"/>
          <w:sz w:val="24"/>
          <w:szCs w:val="24"/>
          <w:lang w:eastAsia="en-IN"/>
        </w:rPr>
        <w:t xml:space="preserve">). (Accessed: April 26, 2023). </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eastAsia="Times New Roman" w:hAnsi="Times New Roman" w:cs="Times New Roman"/>
          <w:iCs/>
          <w:sz w:val="24"/>
          <w:szCs w:val="24"/>
          <w:lang w:eastAsia="en-IN"/>
        </w:rPr>
        <w:t>FirstGroup Plc| Annual Report and Accounts (2022</w:t>
      </w:r>
      <w:r w:rsidRPr="00CE5291">
        <w:rPr>
          <w:rFonts w:ascii="Times New Roman" w:eastAsia="Times New Roman" w:hAnsi="Times New Roman" w:cs="Times New Roman"/>
          <w:sz w:val="24"/>
          <w:szCs w:val="24"/>
          <w:lang w:eastAsia="en-IN"/>
        </w:rPr>
        <w:t xml:space="preserve">). (Accessed: April 26, 2023). </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hAnsi="Times New Roman" w:cs="Times New Roman"/>
          <w:color w:val="222222"/>
          <w:sz w:val="24"/>
          <w:szCs w:val="24"/>
          <w:shd w:val="clear" w:color="auto" w:fill="FFFFFF"/>
        </w:rPr>
        <w:t xml:space="preserve">Gafrej, O. and Boujelbéne, M., </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2022</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 The impact of performance, liquidity and credit risks on banking diversification in a context of financial stress. </w:t>
      </w:r>
      <w:r w:rsidRPr="00CE5291">
        <w:rPr>
          <w:rFonts w:ascii="Times New Roman" w:hAnsi="Times New Roman" w:cs="Times New Roman"/>
          <w:i/>
          <w:iCs/>
          <w:color w:val="222222"/>
          <w:sz w:val="24"/>
          <w:szCs w:val="24"/>
          <w:shd w:val="clear" w:color="auto" w:fill="FFFFFF"/>
        </w:rPr>
        <w:t>International Journal of Islamic and Middle Eastern Finance and Management</w:t>
      </w:r>
      <w:r w:rsidRPr="00CE5291">
        <w:rPr>
          <w:rFonts w:ascii="Times New Roman" w:hAnsi="Times New Roman" w:cs="Times New Roman"/>
          <w:color w:val="222222"/>
          <w:sz w:val="24"/>
          <w:szCs w:val="24"/>
          <w:shd w:val="clear" w:color="auto" w:fill="FFFFFF"/>
        </w:rPr>
        <w:t>, </w:t>
      </w:r>
      <w:r w:rsidRPr="00CE5291">
        <w:rPr>
          <w:rFonts w:ascii="Times New Roman" w:hAnsi="Times New Roman" w:cs="Times New Roman"/>
          <w:i/>
          <w:iCs/>
          <w:color w:val="222222"/>
          <w:sz w:val="24"/>
          <w:szCs w:val="24"/>
          <w:shd w:val="clear" w:color="auto" w:fill="FFFFFF"/>
        </w:rPr>
        <w:t>15</w:t>
      </w:r>
      <w:r w:rsidRPr="00CE5291">
        <w:rPr>
          <w:rFonts w:ascii="Times New Roman" w:hAnsi="Times New Roman" w:cs="Times New Roman"/>
          <w:color w:val="222222"/>
          <w:sz w:val="24"/>
          <w:szCs w:val="24"/>
          <w:shd w:val="clear" w:color="auto" w:fill="FFFFFF"/>
        </w:rPr>
        <w:t>(1), pp.66-82.</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hAnsi="Times New Roman" w:cs="Times New Roman"/>
          <w:color w:val="222222"/>
          <w:sz w:val="24"/>
          <w:szCs w:val="24"/>
          <w:shd w:val="clear" w:color="auto" w:fill="FFFFFF"/>
        </w:rPr>
        <w:lastRenderedPageBreak/>
        <w:t xml:space="preserve">Hariani, E. and Febriyastuti, R., </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2020</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 The effect of fiscal stress, original local government revenue and capital expenditures on efficiency ratio of government independence performance. </w:t>
      </w:r>
      <w:r w:rsidRPr="00CE5291">
        <w:rPr>
          <w:rFonts w:ascii="Times New Roman" w:hAnsi="Times New Roman" w:cs="Times New Roman"/>
          <w:i/>
          <w:iCs/>
          <w:color w:val="222222"/>
          <w:sz w:val="24"/>
          <w:szCs w:val="24"/>
          <w:shd w:val="clear" w:color="auto" w:fill="FFFFFF"/>
        </w:rPr>
        <w:t>Jurnal Ekonomi dan Studi Pembangunan</w:t>
      </w:r>
      <w:r w:rsidRPr="00CE5291">
        <w:rPr>
          <w:rFonts w:ascii="Times New Roman" w:hAnsi="Times New Roman" w:cs="Times New Roman"/>
          <w:color w:val="222222"/>
          <w:sz w:val="24"/>
          <w:szCs w:val="24"/>
          <w:shd w:val="clear" w:color="auto" w:fill="FFFFFF"/>
        </w:rPr>
        <w:t>, </w:t>
      </w:r>
      <w:r w:rsidRPr="00CE5291">
        <w:rPr>
          <w:rFonts w:ascii="Times New Roman" w:hAnsi="Times New Roman" w:cs="Times New Roman"/>
          <w:i/>
          <w:iCs/>
          <w:color w:val="222222"/>
          <w:sz w:val="24"/>
          <w:szCs w:val="24"/>
          <w:shd w:val="clear" w:color="auto" w:fill="FFFFFF"/>
        </w:rPr>
        <w:t>12</w:t>
      </w:r>
      <w:r w:rsidRPr="00CE5291">
        <w:rPr>
          <w:rFonts w:ascii="Times New Roman" w:hAnsi="Times New Roman" w:cs="Times New Roman"/>
          <w:color w:val="222222"/>
          <w:sz w:val="24"/>
          <w:szCs w:val="24"/>
          <w:shd w:val="clear" w:color="auto" w:fill="FFFFFF"/>
        </w:rPr>
        <w:t>(1), pp.18-25.</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hAnsi="Times New Roman" w:cs="Times New Roman"/>
          <w:color w:val="222222"/>
          <w:sz w:val="24"/>
          <w:szCs w:val="24"/>
          <w:shd w:val="clear" w:color="auto" w:fill="FFFFFF"/>
        </w:rPr>
        <w:t xml:space="preserve">Jihadi, M., Vilantika, E., Hashemi, S.M., Arifin, Z., Bachtiar, Y. and Sholichah, F., </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2021</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 The effect of liquidity, leverage, and profitability on firm value: Empirical evidence from Indonesia. </w:t>
      </w:r>
      <w:r w:rsidRPr="00CE5291">
        <w:rPr>
          <w:rFonts w:ascii="Times New Roman" w:hAnsi="Times New Roman" w:cs="Times New Roman"/>
          <w:i/>
          <w:iCs/>
          <w:color w:val="222222"/>
          <w:sz w:val="24"/>
          <w:szCs w:val="24"/>
          <w:shd w:val="clear" w:color="auto" w:fill="FFFFFF"/>
        </w:rPr>
        <w:t>The Journal of Asian Finance, Economics and Business</w:t>
      </w:r>
      <w:r w:rsidRPr="00CE5291">
        <w:rPr>
          <w:rFonts w:ascii="Times New Roman" w:hAnsi="Times New Roman" w:cs="Times New Roman"/>
          <w:color w:val="222222"/>
          <w:sz w:val="24"/>
          <w:szCs w:val="24"/>
          <w:shd w:val="clear" w:color="auto" w:fill="FFFFFF"/>
        </w:rPr>
        <w:t>, </w:t>
      </w:r>
      <w:r w:rsidRPr="00CE5291">
        <w:rPr>
          <w:rFonts w:ascii="Times New Roman" w:hAnsi="Times New Roman" w:cs="Times New Roman"/>
          <w:i/>
          <w:iCs/>
          <w:color w:val="222222"/>
          <w:sz w:val="24"/>
          <w:szCs w:val="24"/>
          <w:shd w:val="clear" w:color="auto" w:fill="FFFFFF"/>
        </w:rPr>
        <w:t>8</w:t>
      </w:r>
      <w:r w:rsidRPr="00CE5291">
        <w:rPr>
          <w:rFonts w:ascii="Times New Roman" w:hAnsi="Times New Roman" w:cs="Times New Roman"/>
          <w:color w:val="222222"/>
          <w:sz w:val="24"/>
          <w:szCs w:val="24"/>
          <w:shd w:val="clear" w:color="auto" w:fill="FFFFFF"/>
        </w:rPr>
        <w:t>(3), pp.423-431.</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hAnsi="Times New Roman" w:cs="Times New Roman"/>
          <w:color w:val="222222"/>
          <w:sz w:val="24"/>
          <w:szCs w:val="24"/>
          <w:shd w:val="clear" w:color="auto" w:fill="FFFFFF"/>
        </w:rPr>
        <w:t>Layard, A., (</w:t>
      </w:r>
      <w:r w:rsidRPr="00CE5291">
        <w:rPr>
          <w:rFonts w:ascii="Times New Roman" w:hAnsi="Times New Roman" w:cs="Times New Roman"/>
          <w:color w:val="222222"/>
          <w:sz w:val="24"/>
          <w:szCs w:val="24"/>
          <w:shd w:val="clear" w:color="auto" w:fill="FFFFFF"/>
        </w:rPr>
        <w:t>2022</w:t>
      </w:r>
      <w:r w:rsidRPr="00CE5291">
        <w:rPr>
          <w:rFonts w:ascii="Times New Roman" w:hAnsi="Times New Roman" w:cs="Times New Roman"/>
          <w:color w:val="222222"/>
          <w:sz w:val="24"/>
          <w:szCs w:val="24"/>
          <w:shd w:val="clear" w:color="auto" w:fill="FFFFFF"/>
        </w:rPr>
        <w:t>)</w:t>
      </w:r>
      <w:r w:rsidRPr="00CE5291">
        <w:rPr>
          <w:rFonts w:ascii="Times New Roman" w:hAnsi="Times New Roman" w:cs="Times New Roman"/>
          <w:color w:val="222222"/>
          <w:sz w:val="24"/>
          <w:szCs w:val="24"/>
          <w:shd w:val="clear" w:color="auto" w:fill="FFFFFF"/>
        </w:rPr>
        <w:t>. Vehicles for justice: buses and advancement. </w:t>
      </w:r>
      <w:r w:rsidRPr="00CE5291">
        <w:rPr>
          <w:rFonts w:ascii="Times New Roman" w:hAnsi="Times New Roman" w:cs="Times New Roman"/>
          <w:i/>
          <w:iCs/>
          <w:color w:val="222222"/>
          <w:sz w:val="24"/>
          <w:szCs w:val="24"/>
          <w:shd w:val="clear" w:color="auto" w:fill="FFFFFF"/>
        </w:rPr>
        <w:t>Journal of Law and Society</w:t>
      </w:r>
      <w:r w:rsidRPr="00CE5291">
        <w:rPr>
          <w:rFonts w:ascii="Times New Roman" w:hAnsi="Times New Roman" w:cs="Times New Roman"/>
          <w:color w:val="222222"/>
          <w:sz w:val="24"/>
          <w:szCs w:val="24"/>
          <w:shd w:val="clear" w:color="auto" w:fill="FFFFFF"/>
        </w:rPr>
        <w:t>, </w:t>
      </w:r>
      <w:r w:rsidRPr="00CE5291">
        <w:rPr>
          <w:rFonts w:ascii="Times New Roman" w:hAnsi="Times New Roman" w:cs="Times New Roman"/>
          <w:i/>
          <w:iCs/>
          <w:color w:val="222222"/>
          <w:sz w:val="24"/>
          <w:szCs w:val="24"/>
          <w:shd w:val="clear" w:color="auto" w:fill="FFFFFF"/>
        </w:rPr>
        <w:t>49</w:t>
      </w:r>
      <w:r w:rsidRPr="00CE5291">
        <w:rPr>
          <w:rFonts w:ascii="Times New Roman" w:hAnsi="Times New Roman" w:cs="Times New Roman"/>
          <w:color w:val="222222"/>
          <w:sz w:val="24"/>
          <w:szCs w:val="24"/>
          <w:shd w:val="clear" w:color="auto" w:fill="FFFFFF"/>
        </w:rPr>
        <w:t>(2), pp.406-429.</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eastAsia="Times New Roman" w:hAnsi="Times New Roman" w:cs="Times New Roman"/>
          <w:iCs/>
          <w:sz w:val="24"/>
          <w:szCs w:val="24"/>
          <w:lang w:eastAsia="en-IN"/>
        </w:rPr>
        <w:t>National Express Plc| Annual Report and Accounts (</w:t>
      </w:r>
      <w:r w:rsidRPr="00CE5291">
        <w:rPr>
          <w:rFonts w:ascii="Times New Roman" w:eastAsia="Times New Roman" w:hAnsi="Times New Roman" w:cs="Times New Roman"/>
          <w:iCs/>
          <w:sz w:val="24"/>
          <w:szCs w:val="24"/>
          <w:lang w:eastAsia="en-IN"/>
        </w:rPr>
        <w:t>2021</w:t>
      </w:r>
      <w:r w:rsidRPr="00CE5291">
        <w:rPr>
          <w:rFonts w:ascii="Times New Roman" w:eastAsia="Times New Roman" w:hAnsi="Times New Roman" w:cs="Times New Roman"/>
          <w:sz w:val="24"/>
          <w:szCs w:val="24"/>
          <w:lang w:eastAsia="en-IN"/>
        </w:rPr>
        <w:t xml:space="preserve">). (Accessed: April 26, 2023). </w:t>
      </w:r>
    </w:p>
    <w:p w:rsidR="00CE5291" w:rsidRPr="00CE5291" w:rsidRDefault="00CE5291" w:rsidP="00CE529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E5291">
        <w:rPr>
          <w:rFonts w:ascii="Times New Roman" w:eastAsia="Times New Roman" w:hAnsi="Times New Roman" w:cs="Times New Roman"/>
          <w:iCs/>
          <w:sz w:val="24"/>
          <w:szCs w:val="24"/>
          <w:lang w:eastAsia="en-IN"/>
        </w:rPr>
        <w:t>National Express Plc| Annual Report and Accounts (</w:t>
      </w:r>
      <w:r w:rsidRPr="00CE5291">
        <w:rPr>
          <w:rFonts w:ascii="Times New Roman" w:eastAsia="Times New Roman" w:hAnsi="Times New Roman" w:cs="Times New Roman"/>
          <w:iCs/>
          <w:sz w:val="24"/>
          <w:szCs w:val="24"/>
          <w:lang w:eastAsia="en-IN"/>
        </w:rPr>
        <w:t>2022</w:t>
      </w:r>
      <w:r w:rsidRPr="00CE5291">
        <w:rPr>
          <w:rFonts w:ascii="Times New Roman" w:eastAsia="Times New Roman" w:hAnsi="Times New Roman" w:cs="Times New Roman"/>
          <w:sz w:val="24"/>
          <w:szCs w:val="24"/>
          <w:lang w:eastAsia="en-IN"/>
        </w:rPr>
        <w:t xml:space="preserve">). (Accessed: April 26, 2023). </w:t>
      </w:r>
    </w:p>
    <w:p w:rsidR="00C60DFA" w:rsidRPr="001865B0" w:rsidRDefault="00C60DFA" w:rsidP="001865B0">
      <w:pPr>
        <w:spacing w:line="360" w:lineRule="auto"/>
        <w:jc w:val="both"/>
        <w:rPr>
          <w:rFonts w:ascii="Times New Roman" w:hAnsi="Times New Roman" w:cs="Times New Roman"/>
          <w:sz w:val="24"/>
          <w:szCs w:val="24"/>
          <w:lang w:val="en-US"/>
        </w:rPr>
      </w:pPr>
    </w:p>
    <w:sectPr w:rsidR="00C60DFA" w:rsidRPr="001865B0" w:rsidSect="001865B0">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5B7" w:rsidRDefault="00B845B7">
      <w:pPr>
        <w:spacing w:after="0" w:line="240" w:lineRule="auto"/>
      </w:pPr>
      <w:r>
        <w:separator/>
      </w:r>
    </w:p>
  </w:endnote>
  <w:endnote w:type="continuationSeparator" w:id="0">
    <w:p w:rsidR="00B845B7" w:rsidRDefault="00B8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961698"/>
      <w:docPartObj>
        <w:docPartGallery w:val="Page Numbers (Bottom of Page)"/>
        <w:docPartUnique/>
      </w:docPartObj>
    </w:sdtPr>
    <w:sdtEndPr>
      <w:rPr>
        <w:noProof/>
      </w:rPr>
    </w:sdtEndPr>
    <w:sdtContent>
      <w:p w:rsidR="001865B0" w:rsidRDefault="00B845B7">
        <w:pPr>
          <w:pStyle w:val="Footer"/>
          <w:jc w:val="right"/>
        </w:pPr>
        <w:r>
          <w:fldChar w:fldCharType="begin"/>
        </w:r>
        <w:r>
          <w:instrText xml:space="preserve"> PAGE   \* MERGEFORMAT </w:instrText>
        </w:r>
        <w:r>
          <w:fldChar w:fldCharType="separate"/>
        </w:r>
        <w:r w:rsidR="00CE5291">
          <w:rPr>
            <w:noProof/>
          </w:rPr>
          <w:t>17</w:t>
        </w:r>
        <w:r>
          <w:rPr>
            <w:noProof/>
          </w:rPr>
          <w:fldChar w:fldCharType="end"/>
        </w:r>
      </w:p>
    </w:sdtContent>
  </w:sdt>
  <w:p w:rsidR="001865B0" w:rsidRDefault="001865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5B7" w:rsidRDefault="00B845B7">
      <w:pPr>
        <w:spacing w:after="0" w:line="240" w:lineRule="auto"/>
      </w:pPr>
      <w:r>
        <w:separator/>
      </w:r>
    </w:p>
  </w:footnote>
  <w:footnote w:type="continuationSeparator" w:id="0">
    <w:p w:rsidR="00B845B7" w:rsidRDefault="00B84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B35A5"/>
    <w:multiLevelType w:val="hybridMultilevel"/>
    <w:tmpl w:val="7BF87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96D"/>
    <w:rsid w:val="0002383E"/>
    <w:rsid w:val="0003257F"/>
    <w:rsid w:val="00044E1E"/>
    <w:rsid w:val="00060593"/>
    <w:rsid w:val="00060795"/>
    <w:rsid w:val="00060D9C"/>
    <w:rsid w:val="00067A26"/>
    <w:rsid w:val="000A4BD1"/>
    <w:rsid w:val="000B5524"/>
    <w:rsid w:val="000D395A"/>
    <w:rsid w:val="00103AD2"/>
    <w:rsid w:val="001074A4"/>
    <w:rsid w:val="001338DE"/>
    <w:rsid w:val="00136961"/>
    <w:rsid w:val="00137FFC"/>
    <w:rsid w:val="00143CDA"/>
    <w:rsid w:val="00166567"/>
    <w:rsid w:val="001704E1"/>
    <w:rsid w:val="001800CB"/>
    <w:rsid w:val="0018408A"/>
    <w:rsid w:val="001865B0"/>
    <w:rsid w:val="00197343"/>
    <w:rsid w:val="001A5F94"/>
    <w:rsid w:val="001B19E7"/>
    <w:rsid w:val="001F3FF4"/>
    <w:rsid w:val="00205B00"/>
    <w:rsid w:val="0021395C"/>
    <w:rsid w:val="00214C29"/>
    <w:rsid w:val="00223F03"/>
    <w:rsid w:val="002310E6"/>
    <w:rsid w:val="002328E8"/>
    <w:rsid w:val="0024623B"/>
    <w:rsid w:val="00250546"/>
    <w:rsid w:val="002836AF"/>
    <w:rsid w:val="00296AA1"/>
    <w:rsid w:val="002B25C7"/>
    <w:rsid w:val="002C0F02"/>
    <w:rsid w:val="002C7966"/>
    <w:rsid w:val="002D40B6"/>
    <w:rsid w:val="002E1DD2"/>
    <w:rsid w:val="0031492B"/>
    <w:rsid w:val="003154E8"/>
    <w:rsid w:val="00330041"/>
    <w:rsid w:val="003326C9"/>
    <w:rsid w:val="00360A95"/>
    <w:rsid w:val="0036625A"/>
    <w:rsid w:val="00373C07"/>
    <w:rsid w:val="00374131"/>
    <w:rsid w:val="00374A0C"/>
    <w:rsid w:val="00374EA3"/>
    <w:rsid w:val="00375526"/>
    <w:rsid w:val="0037731E"/>
    <w:rsid w:val="003A5074"/>
    <w:rsid w:val="003A66D7"/>
    <w:rsid w:val="003E05D8"/>
    <w:rsid w:val="003F26A7"/>
    <w:rsid w:val="003F447D"/>
    <w:rsid w:val="003F74BB"/>
    <w:rsid w:val="004200E3"/>
    <w:rsid w:val="00426799"/>
    <w:rsid w:val="00446F2B"/>
    <w:rsid w:val="0045275C"/>
    <w:rsid w:val="00465099"/>
    <w:rsid w:val="0047094A"/>
    <w:rsid w:val="00475293"/>
    <w:rsid w:val="0048057F"/>
    <w:rsid w:val="00483FDD"/>
    <w:rsid w:val="00487FB4"/>
    <w:rsid w:val="004A167A"/>
    <w:rsid w:val="004A200B"/>
    <w:rsid w:val="004B1CEF"/>
    <w:rsid w:val="004D1644"/>
    <w:rsid w:val="004F3307"/>
    <w:rsid w:val="00535312"/>
    <w:rsid w:val="005459F3"/>
    <w:rsid w:val="005502A3"/>
    <w:rsid w:val="00555510"/>
    <w:rsid w:val="0056304D"/>
    <w:rsid w:val="0057360A"/>
    <w:rsid w:val="00574AA4"/>
    <w:rsid w:val="005751EF"/>
    <w:rsid w:val="005B0665"/>
    <w:rsid w:val="005B38E6"/>
    <w:rsid w:val="005C07BF"/>
    <w:rsid w:val="005C3EFE"/>
    <w:rsid w:val="005E001A"/>
    <w:rsid w:val="005F1414"/>
    <w:rsid w:val="005F1DE6"/>
    <w:rsid w:val="00603424"/>
    <w:rsid w:val="0064101F"/>
    <w:rsid w:val="00663447"/>
    <w:rsid w:val="006644D5"/>
    <w:rsid w:val="00686D2A"/>
    <w:rsid w:val="0069733C"/>
    <w:rsid w:val="006A499C"/>
    <w:rsid w:val="006B0B84"/>
    <w:rsid w:val="006C4531"/>
    <w:rsid w:val="006C67D9"/>
    <w:rsid w:val="006D663C"/>
    <w:rsid w:val="006D7F01"/>
    <w:rsid w:val="006E4BBD"/>
    <w:rsid w:val="006E7375"/>
    <w:rsid w:val="006F01AE"/>
    <w:rsid w:val="006F6E0B"/>
    <w:rsid w:val="007237C8"/>
    <w:rsid w:val="0072420E"/>
    <w:rsid w:val="00724738"/>
    <w:rsid w:val="007351F7"/>
    <w:rsid w:val="0075541E"/>
    <w:rsid w:val="00792020"/>
    <w:rsid w:val="007978B0"/>
    <w:rsid w:val="007A134E"/>
    <w:rsid w:val="007A532B"/>
    <w:rsid w:val="007A6214"/>
    <w:rsid w:val="007A7376"/>
    <w:rsid w:val="007B2C92"/>
    <w:rsid w:val="007E1061"/>
    <w:rsid w:val="007F3F4A"/>
    <w:rsid w:val="00801469"/>
    <w:rsid w:val="00813CA3"/>
    <w:rsid w:val="00831C92"/>
    <w:rsid w:val="0083745F"/>
    <w:rsid w:val="0085174D"/>
    <w:rsid w:val="00854B22"/>
    <w:rsid w:val="00866DD2"/>
    <w:rsid w:val="00880035"/>
    <w:rsid w:val="00882362"/>
    <w:rsid w:val="008859F5"/>
    <w:rsid w:val="00890FA5"/>
    <w:rsid w:val="00892E3A"/>
    <w:rsid w:val="008A48A8"/>
    <w:rsid w:val="008B5220"/>
    <w:rsid w:val="008B6B74"/>
    <w:rsid w:val="008C1195"/>
    <w:rsid w:val="008C532D"/>
    <w:rsid w:val="008D4BC6"/>
    <w:rsid w:val="008D5014"/>
    <w:rsid w:val="008F1650"/>
    <w:rsid w:val="00907060"/>
    <w:rsid w:val="00927CE2"/>
    <w:rsid w:val="009337B6"/>
    <w:rsid w:val="00956A8C"/>
    <w:rsid w:val="009721C4"/>
    <w:rsid w:val="009737C7"/>
    <w:rsid w:val="00992C94"/>
    <w:rsid w:val="009A4E1D"/>
    <w:rsid w:val="009B0BB3"/>
    <w:rsid w:val="009B10B4"/>
    <w:rsid w:val="009C242E"/>
    <w:rsid w:val="009C291D"/>
    <w:rsid w:val="009D52FE"/>
    <w:rsid w:val="009E19C6"/>
    <w:rsid w:val="009F618A"/>
    <w:rsid w:val="00A1593B"/>
    <w:rsid w:val="00A335D1"/>
    <w:rsid w:val="00A437D8"/>
    <w:rsid w:val="00A53A56"/>
    <w:rsid w:val="00A64450"/>
    <w:rsid w:val="00A70AEB"/>
    <w:rsid w:val="00A75B90"/>
    <w:rsid w:val="00A81822"/>
    <w:rsid w:val="00A85502"/>
    <w:rsid w:val="00A90E70"/>
    <w:rsid w:val="00A962D6"/>
    <w:rsid w:val="00AA10A5"/>
    <w:rsid w:val="00AE31DB"/>
    <w:rsid w:val="00B15DFA"/>
    <w:rsid w:val="00B20DC1"/>
    <w:rsid w:val="00B23B31"/>
    <w:rsid w:val="00B376DE"/>
    <w:rsid w:val="00B37946"/>
    <w:rsid w:val="00B82C3B"/>
    <w:rsid w:val="00B845B7"/>
    <w:rsid w:val="00B918D4"/>
    <w:rsid w:val="00B941C8"/>
    <w:rsid w:val="00BA183E"/>
    <w:rsid w:val="00BB560D"/>
    <w:rsid w:val="00BE0C2E"/>
    <w:rsid w:val="00BE2B6F"/>
    <w:rsid w:val="00BE3ECE"/>
    <w:rsid w:val="00BF1BF3"/>
    <w:rsid w:val="00C00A31"/>
    <w:rsid w:val="00C03AC5"/>
    <w:rsid w:val="00C31AE8"/>
    <w:rsid w:val="00C579EA"/>
    <w:rsid w:val="00C60DFA"/>
    <w:rsid w:val="00C90A2B"/>
    <w:rsid w:val="00CE0D5B"/>
    <w:rsid w:val="00CE1F10"/>
    <w:rsid w:val="00CE5291"/>
    <w:rsid w:val="00CE5A60"/>
    <w:rsid w:val="00CF0F6B"/>
    <w:rsid w:val="00CF1F4C"/>
    <w:rsid w:val="00CF444C"/>
    <w:rsid w:val="00D05AE1"/>
    <w:rsid w:val="00D20CC0"/>
    <w:rsid w:val="00D3055A"/>
    <w:rsid w:val="00D72913"/>
    <w:rsid w:val="00D82284"/>
    <w:rsid w:val="00D84777"/>
    <w:rsid w:val="00DB506C"/>
    <w:rsid w:val="00DB676A"/>
    <w:rsid w:val="00DE0C76"/>
    <w:rsid w:val="00DE5198"/>
    <w:rsid w:val="00E051E0"/>
    <w:rsid w:val="00E05D30"/>
    <w:rsid w:val="00E1065B"/>
    <w:rsid w:val="00E30CFC"/>
    <w:rsid w:val="00E41C75"/>
    <w:rsid w:val="00E44E08"/>
    <w:rsid w:val="00E6362F"/>
    <w:rsid w:val="00E669F9"/>
    <w:rsid w:val="00EA0216"/>
    <w:rsid w:val="00EC57DB"/>
    <w:rsid w:val="00F0261A"/>
    <w:rsid w:val="00F06411"/>
    <w:rsid w:val="00F0697C"/>
    <w:rsid w:val="00F14C73"/>
    <w:rsid w:val="00F17168"/>
    <w:rsid w:val="00F31878"/>
    <w:rsid w:val="00F34B93"/>
    <w:rsid w:val="00F43729"/>
    <w:rsid w:val="00F51746"/>
    <w:rsid w:val="00F5796D"/>
    <w:rsid w:val="00F620F9"/>
    <w:rsid w:val="00F72EC1"/>
    <w:rsid w:val="00F73FA2"/>
    <w:rsid w:val="00F77C18"/>
    <w:rsid w:val="00F810C0"/>
    <w:rsid w:val="00F87F9F"/>
    <w:rsid w:val="00F92C15"/>
    <w:rsid w:val="00F94462"/>
    <w:rsid w:val="00FA1143"/>
    <w:rsid w:val="00FA49FE"/>
    <w:rsid w:val="00FA62F8"/>
    <w:rsid w:val="00FB2FA8"/>
    <w:rsid w:val="00FB6E20"/>
    <w:rsid w:val="00FD10DB"/>
    <w:rsid w:val="00FD164A"/>
    <w:rsid w:val="00FD7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AB6AD-A318-4C77-8B5D-093ECB38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65B0"/>
    <w:pPr>
      <w:keepNext/>
      <w:keepLines/>
      <w:spacing w:before="240" w:after="0"/>
      <w:jc w:val="both"/>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1865B0"/>
    <w:pPr>
      <w:keepNext/>
      <w:keepLines/>
      <w:spacing w:before="40" w:after="0"/>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49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86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5B0"/>
  </w:style>
  <w:style w:type="paragraph" w:styleId="Footer">
    <w:name w:val="footer"/>
    <w:basedOn w:val="Normal"/>
    <w:link w:val="FooterChar"/>
    <w:uiPriority w:val="99"/>
    <w:unhideWhenUsed/>
    <w:rsid w:val="00186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5B0"/>
  </w:style>
  <w:style w:type="character" w:customStyle="1" w:styleId="Heading1Char">
    <w:name w:val="Heading 1 Char"/>
    <w:basedOn w:val="DefaultParagraphFont"/>
    <w:link w:val="Heading1"/>
    <w:uiPriority w:val="9"/>
    <w:rsid w:val="001865B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865B0"/>
    <w:rPr>
      <w:rFonts w:ascii="Times New Roman" w:eastAsiaTheme="majorEastAsia" w:hAnsi="Times New Roman" w:cstheme="majorBidi"/>
      <w:b/>
      <w:sz w:val="24"/>
      <w:szCs w:val="26"/>
    </w:rPr>
  </w:style>
  <w:style w:type="paragraph" w:styleId="ListParagraph">
    <w:name w:val="List Paragraph"/>
    <w:basedOn w:val="Normal"/>
    <w:uiPriority w:val="34"/>
    <w:qFormat/>
    <w:rsid w:val="005B0665"/>
    <w:pPr>
      <w:ind w:left="720"/>
      <w:contextualSpacing/>
    </w:pPr>
  </w:style>
  <w:style w:type="character" w:styleId="Hyperlink">
    <w:name w:val="Hyperlink"/>
    <w:basedOn w:val="DefaultParagraphFont"/>
    <w:uiPriority w:val="99"/>
    <w:unhideWhenUsed/>
    <w:rsid w:val="0075541E"/>
    <w:rPr>
      <w:color w:val="0563C1" w:themeColor="hyperlink"/>
      <w:u w:val="single"/>
    </w:rPr>
  </w:style>
  <w:style w:type="paragraph" w:styleId="TOCHeading">
    <w:name w:val="TOC Heading"/>
    <w:basedOn w:val="Heading1"/>
    <w:next w:val="Normal"/>
    <w:uiPriority w:val="39"/>
    <w:unhideWhenUsed/>
    <w:qFormat/>
    <w:rsid w:val="00CE5291"/>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CE5291"/>
    <w:pPr>
      <w:spacing w:after="100"/>
    </w:pPr>
  </w:style>
  <w:style w:type="paragraph" w:styleId="TOC2">
    <w:name w:val="toc 2"/>
    <w:basedOn w:val="Normal"/>
    <w:next w:val="Normal"/>
    <w:autoRedefine/>
    <w:uiPriority w:val="39"/>
    <w:unhideWhenUsed/>
    <w:rsid w:val="00CE529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282662">
      <w:bodyDiv w:val="1"/>
      <w:marLeft w:val="0"/>
      <w:marRight w:val="0"/>
      <w:marTop w:val="0"/>
      <w:marBottom w:val="0"/>
      <w:divBdr>
        <w:top w:val="none" w:sz="0" w:space="0" w:color="auto"/>
        <w:left w:val="none" w:sz="0" w:space="0" w:color="auto"/>
        <w:bottom w:val="none" w:sz="0" w:space="0" w:color="auto"/>
        <w:right w:val="none" w:sz="0" w:space="0" w:color="auto"/>
      </w:divBdr>
    </w:div>
    <w:div w:id="182065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yperlink" Target="https://www.firstgroupplc.com/" TargetMode="Externa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Ankita\Apr%202023\26.04.2023\2500\SEP_AIN313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Sheet1!$A$6</c:f>
              <c:strCache>
                <c:ptCount val="1"/>
                <c:pt idx="0">
                  <c:v>Operating profit margin </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Sheet1!$B$3:$D$3</c:f>
              <c:numCache>
                <c:formatCode>General</c:formatCode>
                <c:ptCount val="3"/>
                <c:pt idx="0">
                  <c:v>2022</c:v>
                </c:pt>
                <c:pt idx="1">
                  <c:v>2021</c:v>
                </c:pt>
                <c:pt idx="2">
                  <c:v>2020</c:v>
                </c:pt>
              </c:numCache>
            </c:numRef>
          </c:cat>
          <c:val>
            <c:numRef>
              <c:f>Sheet1!$B$6:$D$6</c:f>
              <c:numCache>
                <c:formatCode>0%</c:formatCode>
                <c:ptCount val="3"/>
                <c:pt idx="0">
                  <c:v>2.674740258325891E-2</c:v>
                </c:pt>
                <c:pt idx="1">
                  <c:v>4.8321771726485413E-2</c:v>
                </c:pt>
                <c:pt idx="2">
                  <c:v>-1.9691537925876253E-2</c:v>
                </c:pt>
              </c:numCache>
            </c:numRef>
          </c:val>
          <c:smooth val="0"/>
        </c:ser>
        <c:dLbls>
          <c:dLblPos val="t"/>
          <c:showLegendKey val="0"/>
          <c:showVal val="1"/>
          <c:showCatName val="0"/>
          <c:showSerName val="0"/>
          <c:showPercent val="0"/>
          <c:showBubbleSize val="0"/>
        </c:dLbls>
        <c:smooth val="0"/>
        <c:axId val="382613184"/>
        <c:axId val="382607696"/>
      </c:lineChart>
      <c:catAx>
        <c:axId val="382613184"/>
        <c:scaling>
          <c:orientation val="minMax"/>
        </c:scaling>
        <c:delete val="0"/>
        <c:axPos val="b"/>
        <c:numFmt formatCode="General" sourceLinked="1"/>
        <c:majorTickMark val="none"/>
        <c:minorTickMark val="none"/>
        <c:tickLblPos val="nextTo"/>
        <c:spPr>
          <a:noFill/>
          <a:ln w="9525">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2607696"/>
        <c:crosses val="autoZero"/>
        <c:auto val="1"/>
        <c:lblAlgn val="ctr"/>
        <c:lblOffset val="100"/>
        <c:noMultiLvlLbl val="0"/>
      </c:catAx>
      <c:valAx>
        <c:axId val="382607696"/>
        <c:scaling>
          <c:orientation val="minMax"/>
        </c:scaling>
        <c:delete val="0"/>
        <c:axPos val="l"/>
        <c:majorGridlines>
          <c:spPr>
            <a:ln w="9525">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2613184"/>
        <c:crosses val="autoZero"/>
        <c:crossBetween val="between"/>
      </c:valAx>
      <c:spPr>
        <a:noFill/>
        <a:ln>
          <a:noFill/>
        </a:ln>
        <a:effectLst/>
      </c:spPr>
    </c:plotArea>
    <c:plotVisOnly val="1"/>
    <c:dispBlanksAs val="gap"/>
    <c:showDLblsOverMax val="0"/>
  </c:chart>
  <c:spPr>
    <a:gradFill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Sheet2!$A$12</c:f>
              <c:strCache>
                <c:ptCount val="1"/>
                <c:pt idx="0">
                  <c:v>Net profit margin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round/>
                    </a:ln>
                    <a:effectLst/>
                  </c:spPr>
                </c15:leaderLines>
              </c:ext>
            </c:extLst>
          </c:dLbls>
          <c:cat>
            <c:multiLvlStrRef>
              <c:f>Sheet2!$B$4:$G$5</c:f>
              <c:multiLvlStrCache>
                <c:ptCount val="6"/>
                <c:lvl>
                  <c:pt idx="0">
                    <c:v>2022</c:v>
                  </c:pt>
                  <c:pt idx="1">
                    <c:v>2021</c:v>
                  </c:pt>
                  <c:pt idx="2">
                    <c:v>2020</c:v>
                  </c:pt>
                  <c:pt idx="3">
                    <c:v>2022</c:v>
                  </c:pt>
                  <c:pt idx="4">
                    <c:v>2021</c:v>
                  </c:pt>
                  <c:pt idx="5">
                    <c:v>2020</c:v>
                  </c:pt>
                </c:lvl>
                <c:lvl>
                  <c:pt idx="0">
                    <c:v>First Group Plc</c:v>
                  </c:pt>
                  <c:pt idx="3">
                    <c:v>National Express Group plc</c:v>
                  </c:pt>
                </c:lvl>
              </c:multiLvlStrCache>
            </c:multiLvlStrRef>
          </c:cat>
          <c:val>
            <c:numRef>
              <c:f>Sheet2!$B$12:$G$12</c:f>
              <c:numCache>
                <c:formatCode>0%</c:formatCode>
                <c:ptCount val="6"/>
                <c:pt idx="0">
                  <c:v>0.13983576920563698</c:v>
                </c:pt>
                <c:pt idx="1">
                  <c:v>1.9626007152397776E-2</c:v>
                </c:pt>
                <c:pt idx="2">
                  <c:v>-4.1859025610605317E-2</c:v>
                </c:pt>
                <c:pt idx="3">
                  <c:v>-7.8610863757791624E-2</c:v>
                </c:pt>
                <c:pt idx="4">
                  <c:v>-3.5525042620835827E-2</c:v>
                </c:pt>
                <c:pt idx="5">
                  <c:v>-0.16703307940078735</c:v>
                </c:pt>
              </c:numCache>
            </c:numRef>
          </c:val>
        </c:ser>
        <c:dLbls>
          <c:dLblPos val="outEnd"/>
          <c:showLegendKey val="0"/>
          <c:showVal val="1"/>
          <c:showCatName val="0"/>
          <c:showSerName val="0"/>
          <c:showPercent val="0"/>
          <c:showBubbleSize val="0"/>
        </c:dLbls>
        <c:gapWidth val="267"/>
        <c:overlap val="-43"/>
        <c:axId val="386640232"/>
        <c:axId val="386644152"/>
      </c:barChart>
      <c:catAx>
        <c:axId val="386640232"/>
        <c:scaling>
          <c:orientation val="minMax"/>
        </c:scaling>
        <c:delete val="0"/>
        <c:axPos val="b"/>
        <c:majorGridlines>
          <c:spPr>
            <a:ln w="9525">
              <a:solidFill>
                <a:schemeClr val="dk1">
                  <a:lumMod val="15000"/>
                  <a:lumOff val="85000"/>
                </a:schemeClr>
              </a:solidFill>
              <a:round/>
            </a:ln>
            <a:effectLst/>
          </c:spPr>
        </c:majorGridlines>
        <c:numFmt formatCode="General" sourceLinked="1"/>
        <c:majorTickMark val="none"/>
        <c:minorTickMark val="none"/>
        <c:tickLblPos val="nextTo"/>
        <c:spPr>
          <a:noFill/>
          <a:ln w="9525">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6644152"/>
        <c:crosses val="autoZero"/>
        <c:auto val="1"/>
        <c:lblAlgn val="ctr"/>
        <c:lblOffset val="100"/>
        <c:noMultiLvlLbl val="0"/>
      </c:catAx>
      <c:valAx>
        <c:axId val="386644152"/>
        <c:scaling>
          <c:orientation val="minMax"/>
        </c:scaling>
        <c:delete val="0"/>
        <c:axPos val="l"/>
        <c:majorGridlines>
          <c:spPr>
            <a:ln w="9525">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664023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Sheet2!$A$18</c:f>
              <c:strCache>
                <c:ptCount val="1"/>
                <c:pt idx="0">
                  <c:v>Current ratio </c:v>
                </c:pt>
              </c:strCache>
            </c:strRef>
          </c:tx>
          <c:spPr>
            <a:ln w="34925" cap="rnd">
              <a:solidFill>
                <a:schemeClr val="lt1"/>
              </a:solidFill>
              <a:round/>
            </a:ln>
            <a:effectLst>
              <a:outerShdw dist="25400" dir="2700000" algn="tl" rotWithShape="0">
                <a:schemeClr val="accent1"/>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multiLvlStrRef>
              <c:f>Sheet2!$B$4:$G$5</c:f>
              <c:multiLvlStrCache>
                <c:ptCount val="6"/>
                <c:lvl>
                  <c:pt idx="0">
                    <c:v>2022</c:v>
                  </c:pt>
                  <c:pt idx="1">
                    <c:v>2021</c:v>
                  </c:pt>
                  <c:pt idx="2">
                    <c:v>2020</c:v>
                  </c:pt>
                  <c:pt idx="3">
                    <c:v>2022</c:v>
                  </c:pt>
                  <c:pt idx="4">
                    <c:v>2021</c:v>
                  </c:pt>
                  <c:pt idx="5">
                    <c:v>2020</c:v>
                  </c:pt>
                </c:lvl>
                <c:lvl>
                  <c:pt idx="0">
                    <c:v>First Group Plc</c:v>
                  </c:pt>
                  <c:pt idx="3">
                    <c:v>National Express Group plc</c:v>
                  </c:pt>
                </c:lvl>
              </c:multiLvlStrCache>
            </c:multiLvlStrRef>
          </c:cat>
          <c:val>
            <c:numRef>
              <c:f>Sheet2!$B$18:$G$18</c:f>
              <c:numCache>
                <c:formatCode>0.00</c:formatCode>
                <c:ptCount val="6"/>
                <c:pt idx="0">
                  <c:v>0.73648192771084342</c:v>
                </c:pt>
                <c:pt idx="1">
                  <c:v>0.70852738602820597</c:v>
                </c:pt>
                <c:pt idx="2">
                  <c:v>0.75116105931151855</c:v>
                </c:pt>
                <c:pt idx="3">
                  <c:v>0.58140407958953821</c:v>
                </c:pt>
                <c:pt idx="4">
                  <c:v>0.83207625362619142</c:v>
                </c:pt>
                <c:pt idx="5">
                  <c:v>0.88455663638556148</c:v>
                </c:pt>
              </c:numCache>
            </c:numRef>
          </c:val>
          <c:smooth val="0"/>
        </c:ser>
        <c:dLbls>
          <c:dLblPos val="t"/>
          <c:showLegendKey val="0"/>
          <c:showVal val="1"/>
          <c:showCatName val="0"/>
          <c:showSerName val="0"/>
          <c:showPercent val="0"/>
          <c:showBubbleSize val="0"/>
        </c:dLbls>
        <c:dropLines>
          <c:spPr>
            <a:ln w="9525">
              <a:gradFill rotWithShape="1">
                <a:gsLst>
                  <a:gs pos="0">
                    <a:schemeClr val="lt1"/>
                  </a:gs>
                  <a:gs pos="100000">
                    <a:schemeClr val="lt1">
                      <a:alpha val="0"/>
                    </a:schemeClr>
                  </a:gs>
                </a:gsLst>
                <a:lin ang="5400000" scaled="0"/>
              </a:gradFill>
              <a:round/>
            </a:ln>
            <a:effectLst/>
          </c:spPr>
        </c:dropLines>
        <c:smooth val="0"/>
        <c:axId val="386644936"/>
        <c:axId val="386649248"/>
      </c:lineChart>
      <c:catAx>
        <c:axId val="386644936"/>
        <c:scaling>
          <c:orientation val="minMax"/>
        </c:scaling>
        <c:delete val="0"/>
        <c:axPos val="b"/>
        <c:numFmt formatCode="General" sourceLinked="1"/>
        <c:majorTickMark val="none"/>
        <c:minorTickMark val="none"/>
        <c:tickLblPos val="nextTo"/>
        <c:spPr>
          <a:noFill/>
          <a:ln w="12700">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386649248"/>
        <c:crosses val="autoZero"/>
        <c:auto val="1"/>
        <c:lblAlgn val="ctr"/>
        <c:lblOffset val="100"/>
        <c:noMultiLvlLbl val="0"/>
      </c:catAx>
      <c:valAx>
        <c:axId val="38664924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386644936"/>
        <c:crosses val="autoZero"/>
        <c:crossBetween val="between"/>
      </c:valAx>
      <c:spPr>
        <a:noFill/>
        <a:ln>
          <a:noFill/>
        </a:ln>
        <a:effectLst/>
      </c:spPr>
    </c:plotArea>
    <c:plotVisOnly val="1"/>
    <c:dispBlanksAs val="gap"/>
    <c:showDLblsOverMax val="0"/>
  </c:chart>
  <c:spPr>
    <a:solidFill>
      <a:schemeClr val="accent1"/>
    </a:solidFill>
    <a:ln w="9525">
      <a:solidFill>
        <a:schemeClr val="accent1"/>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Sheet2!$A$24</c:f>
              <c:strCache>
                <c:ptCount val="1"/>
                <c:pt idx="0">
                  <c:v>Quick ratio </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Sheet2!$B$4:$G$5</c:f>
              <c:multiLvlStrCache>
                <c:ptCount val="6"/>
                <c:lvl>
                  <c:pt idx="0">
                    <c:v>2022</c:v>
                  </c:pt>
                  <c:pt idx="1">
                    <c:v>2021</c:v>
                  </c:pt>
                  <c:pt idx="2">
                    <c:v>2020</c:v>
                  </c:pt>
                  <c:pt idx="3">
                    <c:v>2022</c:v>
                  </c:pt>
                  <c:pt idx="4">
                    <c:v>2021</c:v>
                  </c:pt>
                  <c:pt idx="5">
                    <c:v>2020</c:v>
                  </c:pt>
                </c:lvl>
                <c:lvl>
                  <c:pt idx="0">
                    <c:v>First Group Plc</c:v>
                  </c:pt>
                  <c:pt idx="3">
                    <c:v>National Express Group plc</c:v>
                  </c:pt>
                </c:lvl>
              </c:multiLvlStrCache>
            </c:multiLvlStrRef>
          </c:cat>
          <c:val>
            <c:numRef>
              <c:f>Sheet2!$B$24:$G$24</c:f>
              <c:numCache>
                <c:formatCode>0.00</c:formatCode>
                <c:ptCount val="6"/>
                <c:pt idx="0">
                  <c:v>0.7225542168674699</c:v>
                </c:pt>
                <c:pt idx="1">
                  <c:v>0.69888488028861928</c:v>
                </c:pt>
                <c:pt idx="2">
                  <c:v>0.7287198213209487</c:v>
                </c:pt>
                <c:pt idx="3">
                  <c:v>0.56113127268176699</c:v>
                </c:pt>
                <c:pt idx="4">
                  <c:v>0.80820555325321175</c:v>
                </c:pt>
                <c:pt idx="5">
                  <c:v>0.86285071147198322</c:v>
                </c:pt>
              </c:numCache>
            </c:numRef>
          </c:val>
          <c:smooth val="0"/>
        </c:ser>
        <c:dLbls>
          <c:dLblPos val="t"/>
          <c:showLegendKey val="0"/>
          <c:showVal val="1"/>
          <c:showCatName val="0"/>
          <c:showSerName val="0"/>
          <c:showPercent val="0"/>
          <c:showBubbleSize val="0"/>
        </c:dLbls>
        <c:smooth val="0"/>
        <c:axId val="386650032"/>
        <c:axId val="386639448"/>
      </c:lineChart>
      <c:catAx>
        <c:axId val="386650032"/>
        <c:scaling>
          <c:orientation val="minMax"/>
        </c:scaling>
        <c:delete val="0"/>
        <c:axPos val="b"/>
        <c:numFmt formatCode="General" sourceLinked="1"/>
        <c:majorTickMark val="none"/>
        <c:minorTickMark val="none"/>
        <c:tickLblPos val="nextTo"/>
        <c:spPr>
          <a:noFill/>
          <a:ln w="9525">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6639448"/>
        <c:crosses val="autoZero"/>
        <c:auto val="1"/>
        <c:lblAlgn val="ctr"/>
        <c:lblOffset val="100"/>
        <c:noMultiLvlLbl val="0"/>
      </c:catAx>
      <c:valAx>
        <c:axId val="386639448"/>
        <c:scaling>
          <c:orientation val="minMax"/>
        </c:scaling>
        <c:delete val="0"/>
        <c:axPos val="l"/>
        <c:majorGridlines>
          <c:spPr>
            <a:ln w="9525">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6650032"/>
        <c:crosses val="autoZero"/>
        <c:crossBetween val="between"/>
      </c:valAx>
      <c:spPr>
        <a:noFill/>
        <a:ln>
          <a:noFill/>
        </a:ln>
        <a:effectLst/>
      </c:spPr>
    </c:plotArea>
    <c:plotVisOnly val="1"/>
    <c:dispBlanksAs val="gap"/>
    <c:showDLblsOverMax val="0"/>
  </c:chart>
  <c:spPr>
    <a:gradFill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Sheet2!$A$30</c:f>
              <c:strCache>
                <c:ptCount val="1"/>
                <c:pt idx="0">
                  <c:v>Debt to equity ratio </c:v>
                </c:pt>
              </c:strCache>
            </c:strRef>
          </c:tx>
          <c:spPr>
            <a:gradFill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10800000" scaled="1"/>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Sheet2!$B$4:$G$5</c:f>
              <c:multiLvlStrCache>
                <c:ptCount val="6"/>
                <c:lvl>
                  <c:pt idx="0">
                    <c:v>2022</c:v>
                  </c:pt>
                  <c:pt idx="1">
                    <c:v>2021</c:v>
                  </c:pt>
                  <c:pt idx="2">
                    <c:v>2020</c:v>
                  </c:pt>
                  <c:pt idx="3">
                    <c:v>2022</c:v>
                  </c:pt>
                  <c:pt idx="4">
                    <c:v>2021</c:v>
                  </c:pt>
                  <c:pt idx="5">
                    <c:v>2020</c:v>
                  </c:pt>
                </c:lvl>
                <c:lvl>
                  <c:pt idx="0">
                    <c:v>First Group Plc</c:v>
                  </c:pt>
                  <c:pt idx="3">
                    <c:v>National Express Group plc</c:v>
                  </c:pt>
                </c:lvl>
              </c:multiLvlStrCache>
            </c:multiLvlStrRef>
          </c:cat>
          <c:val>
            <c:numRef>
              <c:f>Sheet2!$B$30:$G$30</c:f>
              <c:numCache>
                <c:formatCode>0.00</c:formatCode>
                <c:ptCount val="6"/>
                <c:pt idx="0">
                  <c:v>3.3316009490453058</c:v>
                </c:pt>
                <c:pt idx="1">
                  <c:v>6.1855991681830007</c:v>
                </c:pt>
                <c:pt idx="2">
                  <c:v>6.0909322682076992</c:v>
                </c:pt>
                <c:pt idx="3">
                  <c:v>1.9869130653627667</c:v>
                </c:pt>
                <c:pt idx="4">
                  <c:v>1.9020044543429842</c:v>
                </c:pt>
                <c:pt idx="5">
                  <c:v>1.9783472387763208</c:v>
                </c:pt>
              </c:numCache>
            </c:numRef>
          </c:val>
        </c:ser>
        <c:dLbls>
          <c:dLblPos val="outEnd"/>
          <c:showLegendKey val="0"/>
          <c:showVal val="1"/>
          <c:showCatName val="0"/>
          <c:showSerName val="0"/>
          <c:showPercent val="0"/>
          <c:showBubbleSize val="0"/>
        </c:dLbls>
        <c:gapWidth val="326"/>
        <c:overlap val="-58"/>
        <c:axId val="386646504"/>
        <c:axId val="386638272"/>
      </c:barChart>
      <c:catAx>
        <c:axId val="386646504"/>
        <c:scaling>
          <c:orientation val="minMax"/>
        </c:scaling>
        <c:delete val="0"/>
        <c:axPos val="l"/>
        <c:numFmt formatCode="General" sourceLinked="1"/>
        <c:majorTickMark val="none"/>
        <c:minorTickMark val="none"/>
        <c:tickLblPos val="nextTo"/>
        <c:spPr>
          <a:noFill/>
          <a:ln w="19050">
            <a:solidFill>
              <a:schemeClr val="tx1">
                <a:lumMod val="15000"/>
                <a:lumOff val="85000"/>
              </a:schemeClr>
            </a:solidFill>
            <a:round/>
            <a:headEnd w="sm" len="sm"/>
            <a:tailEnd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638272"/>
        <c:crosses val="autoZero"/>
        <c:auto val="1"/>
        <c:lblAlgn val="ctr"/>
        <c:lblOffset val="100"/>
        <c:noMultiLvlLbl val="0"/>
      </c:catAx>
      <c:valAx>
        <c:axId val="386638272"/>
        <c:scaling>
          <c:orientation val="minMax"/>
        </c:scaling>
        <c:delete val="0"/>
        <c:axPos val="b"/>
        <c:majorGridlines>
          <c:spPr>
            <a:ln w="9525">
              <a:gradFill rotWithShape="1">
                <a:gsLst>
                  <a:gs pos="99000">
                    <a:schemeClr val="tx1">
                      <a:lumMod val="25000"/>
                      <a:lumOff val="75000"/>
                    </a:schemeClr>
                  </a:gs>
                  <a:gs pos="0">
                    <a:schemeClr val="tx1">
                      <a:lumMod val="15000"/>
                      <a:lumOff val="8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646504"/>
        <c:crosses val="autoZero"/>
        <c:crossBetween val="between"/>
      </c:valAx>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Sheet2!$A$34</c:f>
              <c:strCache>
                <c:ptCount val="1"/>
                <c:pt idx="0">
                  <c:v>Interest coverage ratio </c:v>
                </c:pt>
              </c:strCache>
            </c:strRef>
          </c:tx>
          <c:spPr>
            <a:pattFill prst="narVert">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Sheet2!$B$4:$G$5</c:f>
              <c:multiLvlStrCache>
                <c:ptCount val="6"/>
                <c:lvl>
                  <c:pt idx="0">
                    <c:v>2022</c:v>
                  </c:pt>
                  <c:pt idx="1">
                    <c:v>2021</c:v>
                  </c:pt>
                  <c:pt idx="2">
                    <c:v>2020</c:v>
                  </c:pt>
                  <c:pt idx="3">
                    <c:v>2022</c:v>
                  </c:pt>
                  <c:pt idx="4">
                    <c:v>2021</c:v>
                  </c:pt>
                  <c:pt idx="5">
                    <c:v>2020</c:v>
                  </c:pt>
                </c:lvl>
                <c:lvl>
                  <c:pt idx="0">
                    <c:v>First Group Plc</c:v>
                  </c:pt>
                  <c:pt idx="3">
                    <c:v>National Express Group plc</c:v>
                  </c:pt>
                </c:lvl>
              </c:multiLvlStrCache>
            </c:multiLvlStrRef>
          </c:cat>
          <c:val>
            <c:numRef>
              <c:f>Sheet2!$B$34:$G$34</c:f>
              <c:numCache>
                <c:formatCode>0.00</c:formatCode>
                <c:ptCount val="6"/>
                <c:pt idx="0">
                  <c:v>0.86723163841807915</c:v>
                </c:pt>
                <c:pt idx="1">
                  <c:v>1.486414844267727</c:v>
                </c:pt>
                <c:pt idx="2">
                  <c:v>-1.0207219251336899</c:v>
                </c:pt>
                <c:pt idx="3">
                  <c:v>-2.9793233082706765</c:v>
                </c:pt>
                <c:pt idx="4">
                  <c:v>-0.71119842829076629</c:v>
                </c:pt>
                <c:pt idx="5">
                  <c:v>-5.9131782945736431</c:v>
                </c:pt>
              </c:numCache>
            </c:numRef>
          </c:val>
        </c:ser>
        <c:dLbls>
          <c:dLblPos val="outEnd"/>
          <c:showLegendKey val="0"/>
          <c:showVal val="1"/>
          <c:showCatName val="0"/>
          <c:showSerName val="0"/>
          <c:showPercent val="0"/>
          <c:showBubbleSize val="0"/>
        </c:dLbls>
        <c:gapWidth val="227"/>
        <c:overlap val="-48"/>
        <c:axId val="386639056"/>
        <c:axId val="386639840"/>
      </c:barChart>
      <c:catAx>
        <c:axId val="386639056"/>
        <c:scaling>
          <c:orientation val="minMax"/>
        </c:scaling>
        <c:delete val="0"/>
        <c:axPos val="l"/>
        <c:numFmt formatCode="General" sourceLinked="1"/>
        <c:majorTickMark val="none"/>
        <c:minorTickMark val="none"/>
        <c:tickLblPos val="nextTo"/>
        <c:spPr>
          <a:noFill/>
          <a:ln w="19050">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639840"/>
        <c:crosses val="autoZero"/>
        <c:auto val="1"/>
        <c:lblAlgn val="ctr"/>
        <c:lblOffset val="100"/>
        <c:noMultiLvlLbl val="0"/>
      </c:catAx>
      <c:valAx>
        <c:axId val="386639840"/>
        <c:scaling>
          <c:orientation val="minMax"/>
        </c:scaling>
        <c:delete val="0"/>
        <c:axPos val="b"/>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639056"/>
        <c:crosses val="autoZero"/>
        <c:crossBetween val="between"/>
      </c:valAx>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Sheet2!$A$40</c:f>
              <c:strCache>
                <c:ptCount val="1"/>
                <c:pt idx="0">
                  <c:v>Asset turnover ratio </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round/>
                    </a:ln>
                    <a:effectLst/>
                  </c:spPr>
                </c15:leaderLines>
              </c:ext>
            </c:extLst>
          </c:dLbls>
          <c:cat>
            <c:multiLvlStrRef>
              <c:f>Sheet2!$B$4:$G$5</c:f>
              <c:multiLvlStrCache>
                <c:ptCount val="6"/>
                <c:lvl>
                  <c:pt idx="0">
                    <c:v>2022</c:v>
                  </c:pt>
                  <c:pt idx="1">
                    <c:v>2021</c:v>
                  </c:pt>
                  <c:pt idx="2">
                    <c:v>2020</c:v>
                  </c:pt>
                  <c:pt idx="3">
                    <c:v>2022</c:v>
                  </c:pt>
                  <c:pt idx="4">
                    <c:v>2021</c:v>
                  </c:pt>
                  <c:pt idx="5">
                    <c:v>2020</c:v>
                  </c:pt>
                </c:lvl>
                <c:lvl>
                  <c:pt idx="0">
                    <c:v>First Group Plc</c:v>
                  </c:pt>
                  <c:pt idx="3">
                    <c:v>National Express Group plc</c:v>
                  </c:pt>
                </c:lvl>
              </c:multiLvlStrCache>
            </c:multiLvlStrRef>
          </c:cat>
          <c:val>
            <c:numRef>
              <c:f>Sheet2!$B$40:$G$40</c:f>
              <c:numCache>
                <c:formatCode>0.00</c:formatCode>
                <c:ptCount val="6"/>
                <c:pt idx="0">
                  <c:v>0.75718243889566916</c:v>
                </c:pt>
                <c:pt idx="1">
                  <c:v>0.55469515546951553</c:v>
                </c:pt>
                <c:pt idx="2">
                  <c:v>1.0851361562788615</c:v>
                </c:pt>
                <c:pt idx="3">
                  <c:v>0.66419834867160332</c:v>
                </c:pt>
                <c:pt idx="4">
                  <c:v>0.49337334333583405</c:v>
                </c:pt>
                <c:pt idx="5">
                  <c:v>0.4282211275314724</c:v>
                </c:pt>
              </c:numCache>
            </c:numRef>
          </c:val>
        </c:ser>
        <c:dLbls>
          <c:dLblPos val="outEnd"/>
          <c:showLegendKey val="0"/>
          <c:showVal val="1"/>
          <c:showCatName val="0"/>
          <c:showSerName val="0"/>
          <c:showPercent val="0"/>
          <c:showBubbleSize val="0"/>
        </c:dLbls>
        <c:gapWidth val="267"/>
        <c:overlap val="-43"/>
        <c:axId val="381163952"/>
        <c:axId val="381158464"/>
      </c:barChart>
      <c:catAx>
        <c:axId val="381163952"/>
        <c:scaling>
          <c:orientation val="minMax"/>
        </c:scaling>
        <c:delete val="0"/>
        <c:axPos val="b"/>
        <c:majorGridlines>
          <c:spPr>
            <a:ln w="9525">
              <a:solidFill>
                <a:schemeClr val="dk1">
                  <a:lumMod val="15000"/>
                  <a:lumOff val="85000"/>
                </a:schemeClr>
              </a:solidFill>
              <a:round/>
            </a:ln>
            <a:effectLst/>
          </c:spPr>
        </c:majorGridlines>
        <c:numFmt formatCode="General" sourceLinked="1"/>
        <c:majorTickMark val="none"/>
        <c:minorTickMark val="none"/>
        <c:tickLblPos val="nextTo"/>
        <c:spPr>
          <a:noFill/>
          <a:ln w="9525">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1158464"/>
        <c:crosses val="autoZero"/>
        <c:auto val="1"/>
        <c:lblAlgn val="ctr"/>
        <c:lblOffset val="100"/>
        <c:noMultiLvlLbl val="0"/>
      </c:catAx>
      <c:valAx>
        <c:axId val="381158464"/>
        <c:scaling>
          <c:orientation val="minMax"/>
        </c:scaling>
        <c:delete val="0"/>
        <c:axPos val="l"/>
        <c:majorGridlines>
          <c:spPr>
            <a:ln w="9525">
              <a:solidFill>
                <a:schemeClr val="dk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116395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Sheet2!$A$44</c:f>
              <c:strCache>
                <c:ptCount val="1"/>
                <c:pt idx="0">
                  <c:v>Receivables turnover ratio</c:v>
                </c:pt>
              </c:strCache>
            </c:strRef>
          </c:tx>
          <c:spPr>
            <a:solidFill>
              <a:schemeClr val="accent1">
                <a:alpha val="85000"/>
              </a:schemeClr>
            </a:solidFill>
            <a:ln w="9525">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Sheet2!$B$4:$G$5</c:f>
              <c:multiLvlStrCache>
                <c:ptCount val="6"/>
                <c:lvl>
                  <c:pt idx="0">
                    <c:v>2022</c:v>
                  </c:pt>
                  <c:pt idx="1">
                    <c:v>2021</c:v>
                  </c:pt>
                  <c:pt idx="2">
                    <c:v>2020</c:v>
                  </c:pt>
                  <c:pt idx="3">
                    <c:v>2022</c:v>
                  </c:pt>
                  <c:pt idx="4">
                    <c:v>2021</c:v>
                  </c:pt>
                  <c:pt idx="5">
                    <c:v>2020</c:v>
                  </c:pt>
                </c:lvl>
                <c:lvl>
                  <c:pt idx="0">
                    <c:v>First Group Plc</c:v>
                  </c:pt>
                  <c:pt idx="3">
                    <c:v>National Express Group plc</c:v>
                  </c:pt>
                </c:lvl>
              </c:multiLvlStrCache>
            </c:multiLvlStrRef>
          </c:cat>
          <c:val>
            <c:numRef>
              <c:f>Sheet2!$B$44:$G$44</c:f>
              <c:numCache>
                <c:formatCode>0.00</c:formatCode>
                <c:ptCount val="6"/>
                <c:pt idx="0">
                  <c:v>6.7565857247976462</c:v>
                </c:pt>
                <c:pt idx="1">
                  <c:v>5.0257687310524037</c:v>
                </c:pt>
                <c:pt idx="2">
                  <c:v>6.7081314878892737</c:v>
                </c:pt>
                <c:pt idx="3">
                  <c:v>5.6774519716885745</c:v>
                </c:pt>
                <c:pt idx="4">
                  <c:v>5.2934146341463419</c:v>
                </c:pt>
                <c:pt idx="5">
                  <c:v>4.4022057168579787</c:v>
                </c:pt>
              </c:numCache>
            </c:numRef>
          </c:val>
        </c:ser>
        <c:dLbls>
          <c:dLblPos val="inEnd"/>
          <c:showLegendKey val="0"/>
          <c:showVal val="1"/>
          <c:showCatName val="0"/>
          <c:showSerName val="0"/>
          <c:showPercent val="0"/>
          <c:showBubbleSize val="0"/>
        </c:dLbls>
        <c:gapWidth val="65"/>
        <c:axId val="381159248"/>
        <c:axId val="381160032"/>
      </c:barChart>
      <c:catAx>
        <c:axId val="381159248"/>
        <c:scaling>
          <c:orientation val="minMax"/>
        </c:scaling>
        <c:delete val="0"/>
        <c:axPos val="l"/>
        <c:numFmt formatCode="General" sourceLinked="1"/>
        <c:majorTickMark val="none"/>
        <c:minorTickMark val="none"/>
        <c:tickLblPos val="nextTo"/>
        <c:spPr>
          <a:noFill/>
          <a:ln w="19050">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81160032"/>
        <c:crosses val="autoZero"/>
        <c:auto val="1"/>
        <c:lblAlgn val="ctr"/>
        <c:lblOffset val="100"/>
        <c:noMultiLvlLbl val="0"/>
      </c:catAx>
      <c:valAx>
        <c:axId val="381160032"/>
        <c:scaling>
          <c:orientation val="minMax"/>
        </c:scaling>
        <c:delete val="0"/>
        <c:axPos val="b"/>
        <c:majorGridlines>
          <c:spPr>
            <a:ln w="9525">
              <a:gradFill rotWithShape="1">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381159248"/>
        <c:crosses val="autoZero"/>
        <c:crossBetween val="between"/>
      </c:valAx>
      <c:spPr>
        <a:noFill/>
        <a:ln>
          <a:noFill/>
        </a:ln>
        <a:effectLst/>
      </c:spPr>
    </c:plotArea>
    <c:plotVisOnly val="1"/>
    <c:dispBlanksAs val="gap"/>
    <c:showDLblsOverMax val="0"/>
  </c:chart>
  <c:spPr>
    <a:gradFill rotWithShape="1">
      <a:gsLst>
        <a:gs pos="0">
          <a:schemeClr val="lt1"/>
        </a:gs>
        <a:gs pos="39000">
          <a:schemeClr val="lt1"/>
        </a:gs>
        <a:gs pos="100000">
          <a:schemeClr val="lt1">
            <a:lumMod val="75000"/>
          </a:schemeClr>
        </a:gs>
      </a:gsLst>
      <a:path path="circle">
        <a:fillToRect l="50000" t="-80000" r="50000" b="180000"/>
      </a:path>
    </a:gradFill>
    <a:ln w="9525">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Sheet1!$A$10</c:f>
              <c:strCache>
                <c:ptCount val="1"/>
                <c:pt idx="0">
                  <c:v>Net profit margin </c:v>
                </c:pt>
              </c:strCache>
            </c:strRef>
          </c:tx>
          <c:spPr>
            <a:gradFill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10800000" scaled="1"/>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Sheet1!$B$3:$D$3</c:f>
              <c:numCache>
                <c:formatCode>General</c:formatCode>
                <c:ptCount val="3"/>
                <c:pt idx="0">
                  <c:v>2022</c:v>
                </c:pt>
                <c:pt idx="1">
                  <c:v>2021</c:v>
                </c:pt>
                <c:pt idx="2">
                  <c:v>2020</c:v>
                </c:pt>
              </c:numCache>
            </c:numRef>
          </c:cat>
          <c:val>
            <c:numRef>
              <c:f>Sheet1!$B$10:$D$10</c:f>
              <c:numCache>
                <c:formatCode>0%</c:formatCode>
                <c:ptCount val="3"/>
                <c:pt idx="0">
                  <c:v>0.13983576920563698</c:v>
                </c:pt>
                <c:pt idx="1">
                  <c:v>1.9626007152397776E-2</c:v>
                </c:pt>
                <c:pt idx="2">
                  <c:v>-4.1859025610605317E-2</c:v>
                </c:pt>
              </c:numCache>
            </c:numRef>
          </c:val>
        </c:ser>
        <c:dLbls>
          <c:dLblPos val="outEnd"/>
          <c:showLegendKey val="0"/>
          <c:showVal val="1"/>
          <c:showCatName val="0"/>
          <c:showSerName val="0"/>
          <c:showPercent val="0"/>
          <c:showBubbleSize val="0"/>
        </c:dLbls>
        <c:gapWidth val="326"/>
        <c:overlap val="-58"/>
        <c:axId val="382610440"/>
        <c:axId val="382614360"/>
      </c:barChart>
      <c:catAx>
        <c:axId val="382610440"/>
        <c:scaling>
          <c:orientation val="minMax"/>
        </c:scaling>
        <c:delete val="0"/>
        <c:axPos val="l"/>
        <c:numFmt formatCode="General" sourceLinked="1"/>
        <c:majorTickMark val="none"/>
        <c:minorTickMark val="none"/>
        <c:tickLblPos val="nextTo"/>
        <c:spPr>
          <a:noFill/>
          <a:ln w="19050">
            <a:solidFill>
              <a:schemeClr val="tx1">
                <a:lumMod val="15000"/>
                <a:lumOff val="85000"/>
              </a:schemeClr>
            </a:solidFill>
            <a:round/>
            <a:headEnd w="sm" len="sm"/>
            <a:tailEnd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614360"/>
        <c:crosses val="autoZero"/>
        <c:auto val="1"/>
        <c:lblAlgn val="ctr"/>
        <c:lblOffset val="100"/>
        <c:noMultiLvlLbl val="0"/>
      </c:catAx>
      <c:valAx>
        <c:axId val="382614360"/>
        <c:scaling>
          <c:orientation val="minMax"/>
        </c:scaling>
        <c:delete val="0"/>
        <c:axPos val="b"/>
        <c:majorGridlines>
          <c:spPr>
            <a:ln w="9525">
              <a:gradFill rotWithShape="1">
                <a:gsLst>
                  <a:gs pos="99000">
                    <a:schemeClr val="tx1">
                      <a:lumMod val="25000"/>
                      <a:lumOff val="75000"/>
                    </a:schemeClr>
                  </a:gs>
                  <a:gs pos="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610440"/>
        <c:crosses val="autoZero"/>
        <c:crossBetween val="between"/>
      </c:valAx>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Sheet1!$A$16</c:f>
              <c:strCache>
                <c:ptCount val="1"/>
                <c:pt idx="0">
                  <c:v>Current ratio </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Sheet1!$B$13:$D$13</c:f>
              <c:numCache>
                <c:formatCode>General</c:formatCode>
                <c:ptCount val="3"/>
                <c:pt idx="0">
                  <c:v>2022</c:v>
                </c:pt>
                <c:pt idx="1">
                  <c:v>2021</c:v>
                </c:pt>
                <c:pt idx="2">
                  <c:v>2020</c:v>
                </c:pt>
              </c:numCache>
            </c:numRef>
          </c:cat>
          <c:val>
            <c:numRef>
              <c:f>Sheet1!$B$16:$D$16</c:f>
              <c:numCache>
                <c:formatCode>0.00</c:formatCode>
                <c:ptCount val="3"/>
                <c:pt idx="0">
                  <c:v>0.73648192771084342</c:v>
                </c:pt>
                <c:pt idx="1">
                  <c:v>0.70852738602820597</c:v>
                </c:pt>
                <c:pt idx="2">
                  <c:v>0.75116105931151855</c:v>
                </c:pt>
              </c:numCache>
            </c:numRef>
          </c:val>
          <c:smooth val="0"/>
        </c:ser>
        <c:dLbls>
          <c:dLblPos val="t"/>
          <c:showLegendKey val="0"/>
          <c:showVal val="1"/>
          <c:showCatName val="0"/>
          <c:showSerName val="0"/>
          <c:showPercent val="0"/>
          <c:showBubbleSize val="0"/>
        </c:dLbls>
        <c:dropLines>
          <c:spPr>
            <a:ln w="9525">
              <a:solidFill>
                <a:schemeClr val="dk1">
                  <a:lumMod val="35000"/>
                  <a:lumOff val="65000"/>
                  <a:alpha val="33000"/>
                </a:schemeClr>
              </a:solidFill>
              <a:round/>
            </a:ln>
            <a:effectLst/>
          </c:spPr>
        </c:dropLines>
        <c:smooth val="0"/>
        <c:axId val="382615536"/>
        <c:axId val="382615928"/>
      </c:lineChart>
      <c:catAx>
        <c:axId val="382615536"/>
        <c:scaling>
          <c:orientation val="minMax"/>
        </c:scaling>
        <c:delete val="0"/>
        <c:axPos val="b"/>
        <c:numFmt formatCode="General" sourceLinked="1"/>
        <c:majorTickMark val="none"/>
        <c:minorTickMark val="none"/>
        <c:tickLblPos val="nextTo"/>
        <c:spPr>
          <a:noFill/>
          <a:ln w="9525">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82615928"/>
        <c:crosses val="autoZero"/>
        <c:auto val="1"/>
        <c:lblAlgn val="ctr"/>
        <c:lblOffset val="100"/>
        <c:noMultiLvlLbl val="0"/>
      </c:catAx>
      <c:valAx>
        <c:axId val="38261592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82615536"/>
        <c:crosses val="autoZero"/>
        <c:crossBetween val="between"/>
      </c:valAx>
      <c:spPr>
        <a:gradFill rotWithShape="1">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Sheet1!$A$22</c:f>
              <c:strCache>
                <c:ptCount val="1"/>
                <c:pt idx="0">
                  <c:v>Quick ratio </c:v>
                </c:pt>
              </c:strCache>
            </c:strRef>
          </c:tx>
          <c:spPr>
            <a:ln w="34925" cap="rnd">
              <a:solidFill>
                <a:schemeClr val="lt1"/>
              </a:solidFill>
              <a:round/>
            </a:ln>
            <a:effectLst>
              <a:outerShdw dist="25400" dir="2700000" algn="tl" rotWithShape="0">
                <a:schemeClr val="accent1"/>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Sheet1!$B$13:$D$13</c:f>
              <c:numCache>
                <c:formatCode>General</c:formatCode>
                <c:ptCount val="3"/>
                <c:pt idx="0">
                  <c:v>2022</c:v>
                </c:pt>
                <c:pt idx="1">
                  <c:v>2021</c:v>
                </c:pt>
                <c:pt idx="2">
                  <c:v>2020</c:v>
                </c:pt>
              </c:numCache>
            </c:numRef>
          </c:cat>
          <c:val>
            <c:numRef>
              <c:f>Sheet1!$B$22:$D$22</c:f>
              <c:numCache>
                <c:formatCode>0.00</c:formatCode>
                <c:ptCount val="3"/>
                <c:pt idx="0">
                  <c:v>0.7225542168674699</c:v>
                </c:pt>
                <c:pt idx="1">
                  <c:v>0.69888488028861928</c:v>
                </c:pt>
                <c:pt idx="2">
                  <c:v>0.7287198213209487</c:v>
                </c:pt>
              </c:numCache>
            </c:numRef>
          </c:val>
          <c:smooth val="0"/>
        </c:ser>
        <c:dLbls>
          <c:dLblPos val="t"/>
          <c:showLegendKey val="0"/>
          <c:showVal val="1"/>
          <c:showCatName val="0"/>
          <c:showSerName val="0"/>
          <c:showPercent val="0"/>
          <c:showBubbleSize val="0"/>
        </c:dLbls>
        <c:dropLines>
          <c:spPr>
            <a:ln w="9525">
              <a:gradFill rotWithShape="1">
                <a:gsLst>
                  <a:gs pos="0">
                    <a:schemeClr val="lt1"/>
                  </a:gs>
                  <a:gs pos="100000">
                    <a:schemeClr val="lt1">
                      <a:alpha val="0"/>
                    </a:schemeClr>
                  </a:gs>
                </a:gsLst>
                <a:lin ang="5400000" scaled="0"/>
              </a:gradFill>
              <a:round/>
            </a:ln>
            <a:effectLst/>
          </c:spPr>
        </c:dropLines>
        <c:smooth val="0"/>
        <c:axId val="382631216"/>
        <c:axId val="386641800"/>
      </c:lineChart>
      <c:catAx>
        <c:axId val="382631216"/>
        <c:scaling>
          <c:orientation val="minMax"/>
        </c:scaling>
        <c:delete val="0"/>
        <c:axPos val="b"/>
        <c:numFmt formatCode="General" sourceLinked="1"/>
        <c:majorTickMark val="none"/>
        <c:minorTickMark val="none"/>
        <c:tickLblPos val="nextTo"/>
        <c:spPr>
          <a:noFill/>
          <a:ln w="12700">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386641800"/>
        <c:crosses val="autoZero"/>
        <c:auto val="1"/>
        <c:lblAlgn val="ctr"/>
        <c:lblOffset val="100"/>
        <c:noMultiLvlLbl val="0"/>
      </c:catAx>
      <c:valAx>
        <c:axId val="386641800"/>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382631216"/>
        <c:crosses val="autoZero"/>
        <c:crossBetween val="between"/>
      </c:valAx>
      <c:spPr>
        <a:noFill/>
        <a:ln>
          <a:noFill/>
        </a:ln>
        <a:effectLst/>
      </c:spPr>
    </c:plotArea>
    <c:plotVisOnly val="1"/>
    <c:dispBlanksAs val="gap"/>
    <c:showDLblsOverMax val="0"/>
  </c:chart>
  <c:spPr>
    <a:solidFill>
      <a:schemeClr val="accent1"/>
    </a:solidFill>
    <a:ln w="9525">
      <a:solidFill>
        <a:schemeClr val="accent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Sheet1!$A$28</c:f>
              <c:strCache>
                <c:ptCount val="1"/>
                <c:pt idx="0">
                  <c:v>Debt to equity ratio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round/>
                    </a:ln>
                    <a:effectLst/>
                  </c:spPr>
                </c15:leaderLines>
              </c:ext>
            </c:extLst>
          </c:dLbls>
          <c:cat>
            <c:numRef>
              <c:f>Sheet1!$B$25:$D$25</c:f>
              <c:numCache>
                <c:formatCode>General</c:formatCode>
                <c:ptCount val="3"/>
                <c:pt idx="0">
                  <c:v>2022</c:v>
                </c:pt>
                <c:pt idx="1">
                  <c:v>2021</c:v>
                </c:pt>
                <c:pt idx="2">
                  <c:v>2020</c:v>
                </c:pt>
              </c:numCache>
            </c:numRef>
          </c:cat>
          <c:val>
            <c:numRef>
              <c:f>Sheet1!$B$28:$D$28</c:f>
              <c:numCache>
                <c:formatCode>0.00</c:formatCode>
                <c:ptCount val="3"/>
                <c:pt idx="0">
                  <c:v>3.3316009490453058</c:v>
                </c:pt>
                <c:pt idx="1">
                  <c:v>6.1855991681830007</c:v>
                </c:pt>
                <c:pt idx="2">
                  <c:v>6.0909322682076992</c:v>
                </c:pt>
              </c:numCache>
            </c:numRef>
          </c:val>
        </c:ser>
        <c:dLbls>
          <c:dLblPos val="outEnd"/>
          <c:showLegendKey val="0"/>
          <c:showVal val="1"/>
          <c:showCatName val="0"/>
          <c:showSerName val="0"/>
          <c:showPercent val="0"/>
          <c:showBubbleSize val="0"/>
        </c:dLbls>
        <c:gapWidth val="267"/>
        <c:overlap val="-43"/>
        <c:axId val="386638664"/>
        <c:axId val="386642192"/>
      </c:barChart>
      <c:catAx>
        <c:axId val="386638664"/>
        <c:scaling>
          <c:orientation val="minMax"/>
        </c:scaling>
        <c:delete val="0"/>
        <c:axPos val="b"/>
        <c:majorGridlines>
          <c:spPr>
            <a:ln w="9525">
              <a:solidFill>
                <a:schemeClr val="dk1">
                  <a:lumMod val="15000"/>
                  <a:lumOff val="85000"/>
                </a:schemeClr>
              </a:solidFill>
              <a:round/>
            </a:ln>
            <a:effectLst/>
          </c:spPr>
        </c:majorGridlines>
        <c:numFmt formatCode="General" sourceLinked="1"/>
        <c:majorTickMark val="none"/>
        <c:minorTickMark val="none"/>
        <c:tickLblPos val="nextTo"/>
        <c:spPr>
          <a:noFill/>
          <a:ln w="9525">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6642192"/>
        <c:crosses val="autoZero"/>
        <c:auto val="1"/>
        <c:lblAlgn val="ctr"/>
        <c:lblOffset val="100"/>
        <c:noMultiLvlLbl val="0"/>
      </c:catAx>
      <c:valAx>
        <c:axId val="386642192"/>
        <c:scaling>
          <c:orientation val="minMax"/>
        </c:scaling>
        <c:delete val="0"/>
        <c:axPos val="l"/>
        <c:majorGridlines>
          <c:spPr>
            <a:ln w="9525">
              <a:solidFill>
                <a:schemeClr val="dk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663866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Sheet1!$A$32</c:f>
              <c:strCache>
                <c:ptCount val="1"/>
                <c:pt idx="0">
                  <c:v>Interest coverage ratio </c:v>
                </c:pt>
              </c:strCache>
            </c:strRef>
          </c:tx>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Sheet1!$B$25:$D$25</c:f>
              <c:numCache>
                <c:formatCode>General</c:formatCode>
                <c:ptCount val="3"/>
                <c:pt idx="0">
                  <c:v>2022</c:v>
                </c:pt>
                <c:pt idx="1">
                  <c:v>2021</c:v>
                </c:pt>
                <c:pt idx="2">
                  <c:v>2020</c:v>
                </c:pt>
              </c:numCache>
            </c:numRef>
          </c:cat>
          <c:val>
            <c:numRef>
              <c:f>Sheet1!$B$32:$D$32</c:f>
              <c:numCache>
                <c:formatCode>0.00</c:formatCode>
                <c:ptCount val="3"/>
                <c:pt idx="0">
                  <c:v>0.86723163841807915</c:v>
                </c:pt>
                <c:pt idx="1">
                  <c:v>1.486414844267727</c:v>
                </c:pt>
                <c:pt idx="2">
                  <c:v>-1.0207219251336899</c:v>
                </c:pt>
              </c:numCache>
            </c:numRef>
          </c:val>
        </c:ser>
        <c:dLbls>
          <c:dLblPos val="outEnd"/>
          <c:showLegendKey val="0"/>
          <c:showVal val="1"/>
          <c:showCatName val="0"/>
          <c:showSerName val="0"/>
          <c:showPercent val="0"/>
          <c:showBubbleSize val="0"/>
        </c:dLbls>
        <c:gapWidth val="164"/>
        <c:overlap val="-22"/>
        <c:axId val="386642584"/>
        <c:axId val="386647288"/>
      </c:barChart>
      <c:catAx>
        <c:axId val="386642584"/>
        <c:scaling>
          <c:orientation val="minMax"/>
        </c:scaling>
        <c:delete val="0"/>
        <c:axPos val="b"/>
        <c:numFmt formatCode="General" sourceLinked="1"/>
        <c:majorTickMark val="none"/>
        <c:minorTickMark val="none"/>
        <c:tickLblPos val="nextTo"/>
        <c:spPr>
          <a:noFill/>
          <a:ln w="19050">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647288"/>
        <c:crosses val="autoZero"/>
        <c:auto val="1"/>
        <c:lblAlgn val="ctr"/>
        <c:lblOffset val="100"/>
        <c:noMultiLvlLbl val="0"/>
      </c:catAx>
      <c:valAx>
        <c:axId val="38664728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642584"/>
        <c:crosses val="autoZero"/>
        <c:crossBetween val="between"/>
      </c:valAx>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Sheet1!$A$38</c:f>
              <c:strCache>
                <c:ptCount val="1"/>
                <c:pt idx="0">
                  <c:v>Asset turnover ratio </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a:solidFill>
                <a:schemeClr val="accent3">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Sheet1!$B$35:$D$35</c:f>
              <c:numCache>
                <c:formatCode>General</c:formatCode>
                <c:ptCount val="3"/>
                <c:pt idx="0">
                  <c:v>2022</c:v>
                </c:pt>
                <c:pt idx="1">
                  <c:v>2021</c:v>
                </c:pt>
                <c:pt idx="2">
                  <c:v>2020</c:v>
                </c:pt>
              </c:numCache>
            </c:numRef>
          </c:cat>
          <c:val>
            <c:numRef>
              <c:f>Sheet1!$B$38:$D$38</c:f>
              <c:numCache>
                <c:formatCode>0.00</c:formatCode>
                <c:ptCount val="3"/>
                <c:pt idx="0">
                  <c:v>0.75718243889566916</c:v>
                </c:pt>
                <c:pt idx="1">
                  <c:v>0.55469515546951553</c:v>
                </c:pt>
                <c:pt idx="2">
                  <c:v>1.0851361562788615</c:v>
                </c:pt>
              </c:numCache>
            </c:numRef>
          </c:val>
        </c:ser>
        <c:dLbls>
          <c:dLblPos val="outEnd"/>
          <c:showLegendKey val="0"/>
          <c:showVal val="1"/>
          <c:showCatName val="0"/>
          <c:showSerName val="0"/>
          <c:showPercent val="0"/>
          <c:showBubbleSize val="0"/>
        </c:dLbls>
        <c:gapWidth val="100"/>
        <c:axId val="386643760"/>
        <c:axId val="386641016"/>
      </c:barChart>
      <c:catAx>
        <c:axId val="386643760"/>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86641016"/>
        <c:crosses val="autoZero"/>
        <c:auto val="1"/>
        <c:lblAlgn val="ctr"/>
        <c:lblOffset val="100"/>
        <c:noMultiLvlLbl val="0"/>
      </c:catAx>
      <c:valAx>
        <c:axId val="386641016"/>
        <c:scaling>
          <c:orientation val="minMax"/>
        </c:scaling>
        <c:delete val="0"/>
        <c:axPos val="b"/>
        <c:majorGridlines>
          <c:spPr>
            <a:ln w="9525">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86643760"/>
        <c:crosses val="autoZero"/>
        <c:crossBetween val="between"/>
      </c:valAx>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Sheet1!$A$42</c:f>
              <c:strCache>
                <c:ptCount val="1"/>
                <c:pt idx="0">
                  <c:v>Receivables turnover ratio</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Sheet1!$B$35:$D$35</c:f>
              <c:numCache>
                <c:formatCode>General</c:formatCode>
                <c:ptCount val="3"/>
                <c:pt idx="0">
                  <c:v>2022</c:v>
                </c:pt>
                <c:pt idx="1">
                  <c:v>2021</c:v>
                </c:pt>
                <c:pt idx="2">
                  <c:v>2020</c:v>
                </c:pt>
              </c:numCache>
            </c:numRef>
          </c:cat>
          <c:val>
            <c:numRef>
              <c:f>Sheet1!$B$42:$D$42</c:f>
              <c:numCache>
                <c:formatCode>0.00</c:formatCode>
                <c:ptCount val="3"/>
                <c:pt idx="0">
                  <c:v>6.7565857247976462</c:v>
                </c:pt>
                <c:pt idx="1">
                  <c:v>5.0257687310524037</c:v>
                </c:pt>
                <c:pt idx="2">
                  <c:v>6.7081314878892737</c:v>
                </c:pt>
              </c:numCache>
            </c:numRef>
          </c:val>
        </c:ser>
        <c:dLbls>
          <c:dLblPos val="outEnd"/>
          <c:showLegendKey val="0"/>
          <c:showVal val="1"/>
          <c:showCatName val="0"/>
          <c:showSerName val="0"/>
          <c:showPercent val="0"/>
          <c:showBubbleSize val="0"/>
        </c:dLbls>
        <c:gapWidth val="115"/>
        <c:overlap val="-20"/>
        <c:axId val="386648856"/>
        <c:axId val="386648072"/>
      </c:barChart>
      <c:catAx>
        <c:axId val="386648856"/>
        <c:scaling>
          <c:orientation val="minMax"/>
        </c:scaling>
        <c:delete val="0"/>
        <c:axPos val="l"/>
        <c:numFmt formatCode="General" sourceLinked="1"/>
        <c:majorTickMark val="none"/>
        <c:minorTickMark val="none"/>
        <c:tickLblPos val="nextTo"/>
        <c:spPr>
          <a:noFill/>
          <a:ln w="12700">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6648072"/>
        <c:crosses val="autoZero"/>
        <c:auto val="1"/>
        <c:lblAlgn val="ctr"/>
        <c:lblOffset val="100"/>
        <c:noMultiLvlLbl val="0"/>
      </c:catAx>
      <c:valAx>
        <c:axId val="386648072"/>
        <c:scaling>
          <c:orientation val="minMax"/>
        </c:scaling>
        <c:delete val="0"/>
        <c:axPos val="b"/>
        <c:majorGridlines>
          <c:spPr>
            <a:ln w="9525">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6648856"/>
        <c:crosses val="autoZero"/>
        <c:crossBetween val="between"/>
      </c:valAx>
      <c:spPr>
        <a:noFill/>
        <a:ln>
          <a:noFill/>
        </a:ln>
        <a:effectLst/>
      </c:spPr>
    </c:plotArea>
    <c:plotVisOnly val="1"/>
    <c:dispBlanksAs val="gap"/>
    <c:showDLblsOverMax val="0"/>
  </c:chart>
  <c:spPr>
    <a:gradFill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Sheet2!$A$8</c:f>
              <c:strCache>
                <c:ptCount val="1"/>
                <c:pt idx="0">
                  <c:v>Operating profit margin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multiLvlStrRef>
              <c:f>Sheet2!$B$4:$G$5</c:f>
              <c:multiLvlStrCache>
                <c:ptCount val="6"/>
                <c:lvl>
                  <c:pt idx="0">
                    <c:v>2022</c:v>
                  </c:pt>
                  <c:pt idx="1">
                    <c:v>2021</c:v>
                  </c:pt>
                  <c:pt idx="2">
                    <c:v>2020</c:v>
                  </c:pt>
                  <c:pt idx="3">
                    <c:v>2022</c:v>
                  </c:pt>
                  <c:pt idx="4">
                    <c:v>2021</c:v>
                  </c:pt>
                  <c:pt idx="5">
                    <c:v>2020</c:v>
                  </c:pt>
                </c:lvl>
                <c:lvl>
                  <c:pt idx="0">
                    <c:v>First Group Plc</c:v>
                  </c:pt>
                  <c:pt idx="3">
                    <c:v>National Express Group plc</c:v>
                  </c:pt>
                </c:lvl>
              </c:multiLvlStrCache>
            </c:multiLvlStrRef>
          </c:cat>
          <c:val>
            <c:numRef>
              <c:f>Sheet2!$B$8:$G$8</c:f>
              <c:numCache>
                <c:formatCode>0%</c:formatCode>
                <c:ptCount val="6"/>
                <c:pt idx="0">
                  <c:v>2.674740258325891E-2</c:v>
                </c:pt>
                <c:pt idx="1">
                  <c:v>4.8321771726485413E-2</c:v>
                </c:pt>
                <c:pt idx="2">
                  <c:v>-1.9691537925876253E-2</c:v>
                </c:pt>
                <c:pt idx="3">
                  <c:v>-5.6455921638468388E-2</c:v>
                </c:pt>
                <c:pt idx="4">
                  <c:v>-1.6679721697461181E-2</c:v>
                </c:pt>
                <c:pt idx="5">
                  <c:v>-0.19499974436320874</c:v>
                </c:pt>
              </c:numCache>
            </c:numRef>
          </c:val>
        </c:ser>
        <c:dLbls>
          <c:dLblPos val="outEnd"/>
          <c:showLegendKey val="0"/>
          <c:showVal val="1"/>
          <c:showCatName val="0"/>
          <c:showSerName val="0"/>
          <c:showPercent val="0"/>
          <c:showBubbleSize val="0"/>
        </c:dLbls>
        <c:gapWidth val="219"/>
        <c:overlap val="-27"/>
        <c:axId val="386647680"/>
        <c:axId val="386641408"/>
      </c:barChart>
      <c:catAx>
        <c:axId val="386647680"/>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641408"/>
        <c:crosses val="autoZero"/>
        <c:auto val="1"/>
        <c:lblAlgn val="ctr"/>
        <c:lblOffset val="100"/>
        <c:noMultiLvlLbl val="0"/>
      </c:catAx>
      <c:valAx>
        <c:axId val="386641408"/>
        <c:scaling>
          <c:orientation val="minMax"/>
        </c:scaling>
        <c:delete val="0"/>
        <c:axPos val="l"/>
        <c:majorGridlines>
          <c:spPr>
            <a:ln w="9525">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647680"/>
        <c:crosses val="autoZero"/>
        <c:crossBetween val="between"/>
      </c:valAx>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withinLinear" id="17">
  <a:schemeClr val="accent4"/>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6">
  <a:schemeClr val="accent3"/>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a:solidFill>
          <a:schemeClr val="lt1">
            <a:lumMod val="95000"/>
            <a:alpha val="10000"/>
          </a:schemeClr>
        </a:solidFill>
        <a:round/>
      </a:ln>
    </cs:spPr>
    <cs:defRPr sz="900" kern="1200"/>
  </cs:categoryAxis>
  <cs:chartArea>
    <cs:lnRef idx="0"/>
    <cs:fillRef idx="0"/>
    <cs:effectRef idx="0"/>
    <cs:fontRef idx="minor">
      <a:schemeClr val="dk1"/>
    </cs:fontRef>
    <cs:spPr>
      <a:gradFill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a:solidFill>
          <a:schemeClr val="lt1">
            <a:lumMod val="95000"/>
            <a:alpha val="54000"/>
          </a:schemeClr>
        </a:solidFill>
        <a:round/>
      </a:ln>
    </cs:spPr>
    <cs:defRPr sz="900" kern="1200"/>
  </cs:seriesAxis>
  <cs:seriesLine>
    <cs:lnRef idx="0"/>
    <cs:fillRef idx="0"/>
    <cs:effectRef idx="0"/>
    <cs:fontRef idx="minor">
      <a:schemeClr val="lt1"/>
    </cs:fontRef>
    <cs:spPr>
      <a:ln w="9525">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round/>
      </a:ln>
    </cs:spPr>
  </cs:downBar>
  <cs:dropLine>
    <cs:lnRef idx="0"/>
    <cs:fillRef idx="0"/>
    <cs:effectRef idx="0"/>
    <cs:fontRef idx="minor">
      <a:schemeClr val="dk1"/>
    </cs:fontRef>
    <cs:spPr>
      <a:ln w="9525">
        <a:solidFill>
          <a:schemeClr val="dk1">
            <a:lumMod val="35000"/>
            <a:lumOff val="65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a:solidFill>
          <a:schemeClr val="dk1">
            <a:lumMod val="15000"/>
            <a:lumOff val="85000"/>
          </a:schemeClr>
        </a:solidFill>
        <a:round/>
      </a:ln>
    </cs:spPr>
  </cs:gridlineMajor>
  <cs:gridlineMinor>
    <cs:lnRef idx="0"/>
    <cs:fillRef idx="0"/>
    <cs:effectRef idx="0"/>
    <cs:fontRef idx="minor">
      <a:schemeClr val="dk1"/>
    </cs:fontRef>
    <cs:spPr>
      <a:ln w="9525">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round/>
      </a:ln>
    </cs:spPr>
  </cs:hiLoLine>
  <cs:leaderLine>
    <cs:lnRef idx="0"/>
    <cs:fillRef idx="0"/>
    <cs:effectRef idx="0"/>
    <cs:fontRef idx="minor">
      <a:schemeClr val="dk1"/>
    </cs:fontRef>
    <cs:spPr>
      <a:ln w="9525">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a:gradFill rotWithShape="1">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a:solidFill>
          <a:schemeClr val="lt1">
            <a:lumMod val="95000"/>
            <a:alpha val="10000"/>
          </a:schemeClr>
        </a:solidFill>
        <a:round/>
      </a:ln>
    </cs:spPr>
    <cs:defRPr sz="900" kern="1200"/>
  </cs:categoryAxis>
  <cs:chartArea>
    <cs:lnRef idx="0"/>
    <cs:fillRef idx="0"/>
    <cs:effectRef idx="0"/>
    <cs:fontRef idx="minor">
      <a:schemeClr val="dk1"/>
    </cs:fontRef>
    <cs:spPr>
      <a:gradFill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a:solidFill>
          <a:schemeClr val="lt1">
            <a:lumMod val="95000"/>
            <a:alpha val="54000"/>
          </a:schemeClr>
        </a:solidFill>
        <a:round/>
      </a:ln>
    </cs:spPr>
    <cs:defRPr sz="900" kern="1200"/>
  </cs:seriesAxis>
  <cs:seriesLine>
    <cs:lnRef idx="0"/>
    <cs:fillRef idx="0"/>
    <cs:effectRef idx="0"/>
    <cs:fontRef idx="minor">
      <a:schemeClr val="lt1"/>
    </cs:fontRef>
    <cs:spPr>
      <a:ln w="9525">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a:solidFill>
          <a:schemeClr val="tx1">
            <a:lumMod val="15000"/>
            <a:lumOff val="85000"/>
          </a:schemeClr>
        </a:solidFill>
        <a:round/>
        <a:headEnd w="sm" len="sm"/>
        <a:tailEnd w="sm" len="sm"/>
      </a:ln>
    </cs:spPr>
    <cs:defRPr sz="900" kern="1200"/>
  </cs:categoryAxis>
  <cs:chartArea mods="allowNoFillOverride allowNoLineOverride">
    <cs:lnRef idx="0"/>
    <cs:fillRef idx="0"/>
    <cs:effectRef idx="0"/>
    <cs:fontRef idx="minor">
      <a:schemeClr val="dk1"/>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gradFill>
    </cs:spPr>
  </cs:dataPoint>
  <cs:dataPoint3D>
    <cs:lnRef idx="0"/>
    <cs:fillRef idx="0">
      <cs:styleClr val="auto"/>
    </cs:fillRef>
    <cs:effectRef idx="0"/>
    <cs:fontRef idx="minor">
      <a:schemeClr val="dk1"/>
    </cs:fontRef>
    <cs:spPr>
      <a:gradFill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rotWithShape="1">
        <a:gsLst>
          <a:gs pos="0">
            <a:schemeClr val="phClr"/>
          </a:gs>
          <a:gs pos="46000">
            <a:schemeClr val="phClr"/>
          </a:gs>
          <a:gs pos="100000">
            <a:schemeClr val="phClr">
              <a:lumMod val="20000"/>
              <a:lumOff val="80000"/>
              <a:alpha val="0"/>
            </a:schemeClr>
          </a:gs>
        </a:gsLst>
        <a:path path="circle">
          <a:fillToRect l="50000" t="-80000" r="50000" b="180000"/>
        </a:path>
      </a:gradFill>
      <a:ln w="9525">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gradFill rotWithShape="1">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a:gradFill rotWithShape="1">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a:solidFill>
          <a:schemeClr val="tx1">
            <a:lumMod val="15000"/>
            <a:lumOff val="85000"/>
          </a:schemeClr>
        </a:solidFill>
        <a:round/>
        <a:headEnd w="sm" len="sm"/>
        <a:tailEnd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round/>
      </a:ln>
    </cs:spPr>
  </cs:downBar>
  <cs:dropLine>
    <cs:lnRef idx="0"/>
    <cs:fillRef idx="0"/>
    <cs:effectRef idx="0"/>
    <cs:fontRef idx="minor">
      <a:schemeClr val="dk1"/>
    </cs:fontRef>
    <cs:spPr>
      <a:ln w="9525">
        <a:solidFill>
          <a:schemeClr val="dk1">
            <a:lumMod val="35000"/>
            <a:lumOff val="65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a:solidFill>
          <a:schemeClr val="dk1">
            <a:lumMod val="15000"/>
            <a:lumOff val="85000"/>
          </a:schemeClr>
        </a:solidFill>
        <a:round/>
      </a:ln>
    </cs:spPr>
  </cs:gridlineMajor>
  <cs:gridlineMinor>
    <cs:lnRef idx="0"/>
    <cs:fillRef idx="0"/>
    <cs:effectRef idx="0"/>
    <cs:fontRef idx="minor">
      <a:schemeClr val="dk1"/>
    </cs:fontRef>
    <cs:spPr>
      <a:ln w="9525">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round/>
      </a:ln>
    </cs:spPr>
  </cs:hiLoLine>
  <cs:leaderLine>
    <cs:lnRef idx="0"/>
    <cs:fillRef idx="0"/>
    <cs:effectRef idx="0"/>
    <cs:fontRef idx="minor">
      <a:schemeClr val="dk1"/>
    </cs:fontRef>
    <cs:spPr>
      <a:ln w="9525">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6.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rotWithShape="1">
        <a:gsLst>
          <a:gs pos="0">
            <a:schemeClr val="lt1"/>
          </a:gs>
          <a:gs pos="39000">
            <a:schemeClr val="lt1"/>
          </a:gs>
          <a:gs pos="100000">
            <a:schemeClr val="lt1">
              <a:lumMod val="75000"/>
            </a:schemeClr>
          </a:gs>
        </a:gsLst>
        <a:path path="circle">
          <a:fillToRect l="50000" t="-80000" r="50000" b="180000"/>
        </a:path>
      </a:gradFill>
      <a:ln w="9525">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gradFill rotWithShape="1">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rotWithShape="1">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a:solidFill>
          <a:schemeClr val="tx1">
            <a:lumMod val="15000"/>
            <a:lumOff val="85000"/>
          </a:schemeClr>
        </a:solidFill>
        <a:round/>
        <a:headEnd w="sm" len="sm"/>
        <a:tailEnd w="sm" len="sm"/>
      </a:ln>
    </cs:spPr>
    <cs:defRPr sz="900" kern="1200"/>
  </cs:categoryAxis>
  <cs:chartArea mods="allowNoFillOverride allowNoLineOverride">
    <cs:lnRef idx="0"/>
    <cs:fillRef idx="0"/>
    <cs:effectRef idx="0"/>
    <cs:fontRef idx="minor">
      <a:schemeClr val="dk1"/>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gradFill>
    </cs:spPr>
  </cs:dataPoint>
  <cs:dataPoint3D>
    <cs:lnRef idx="0"/>
    <cs:fillRef idx="0">
      <cs:styleClr val="auto"/>
    </cs:fillRef>
    <cs:effectRef idx="0"/>
    <cs:fontRef idx="minor">
      <a:schemeClr val="dk1"/>
    </cs:fontRef>
    <cs:spPr>
      <a:gradFill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rotWithShape="1">
        <a:gsLst>
          <a:gs pos="0">
            <a:schemeClr val="phClr"/>
          </a:gs>
          <a:gs pos="46000">
            <a:schemeClr val="phClr"/>
          </a:gs>
          <a:gs pos="100000">
            <a:schemeClr val="phClr">
              <a:lumMod val="20000"/>
              <a:lumOff val="80000"/>
              <a:alpha val="0"/>
            </a:schemeClr>
          </a:gs>
        </a:gsLst>
        <a:path path="circle">
          <a:fillToRect l="50000" t="-80000" r="50000" b="180000"/>
        </a:path>
      </a:gradFill>
      <a:ln w="9525">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gradFill rotWithShape="1">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a:gradFill rotWithShape="1">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a:solidFill>
          <a:schemeClr val="tx1">
            <a:lumMod val="15000"/>
            <a:lumOff val="85000"/>
          </a:schemeClr>
        </a:solidFill>
        <a:round/>
        <a:headEnd w="sm" len="sm"/>
        <a:tailEnd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a:solidFill>
          <a:schemeClr val="phClr">
            <a:shade val="95000"/>
          </a:schemeClr>
        </a:solidFill>
        <a:round/>
      </a:ln>
    </cs:spPr>
  </cs:dataPoint>
  <cs:dataPoint3D>
    <cs:lnRef idx="0">
      <cs:styleClr val="auto"/>
    </cs:lnRef>
    <cs:fillRef idx="2">
      <cs:styleClr val="auto"/>
    </cs:fillRef>
    <cs:effectRef idx="1"/>
    <cs:fontRef idx="minor">
      <a:schemeClr val="dk1"/>
    </cs:fontRef>
    <cs:spPr>
      <a:ln w="9525">
        <a:solidFill>
          <a:schemeClr val="phClr">
            <a:shade val="95000"/>
          </a:schemeClr>
        </a:solidFill>
        <a:round/>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rotWithShape="1">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a:gradFill rotWithShape="1">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round/>
      </a:ln>
    </cs:spPr>
  </cs:downBar>
  <cs:dropLine>
    <cs:lnRef idx="0"/>
    <cs:fillRef idx="0"/>
    <cs:effectRef idx="0"/>
    <cs:fontRef idx="minor">
      <a:schemeClr val="dk1"/>
    </cs:fontRef>
    <cs:spPr>
      <a:ln w="9525">
        <a:solidFill>
          <a:schemeClr val="dk1">
            <a:lumMod val="35000"/>
            <a:lumOff val="65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a:solidFill>
          <a:schemeClr val="dk1">
            <a:lumMod val="15000"/>
            <a:lumOff val="85000"/>
          </a:schemeClr>
        </a:solidFill>
        <a:round/>
      </a:ln>
    </cs:spPr>
  </cs:gridlineMajor>
  <cs:gridlineMinor>
    <cs:lnRef idx="0"/>
    <cs:fillRef idx="0"/>
    <cs:effectRef idx="0"/>
    <cs:fontRef idx="minor">
      <a:schemeClr val="dk1"/>
    </cs:fontRef>
    <cs:spPr>
      <a:ln w="9525">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round/>
      </a:ln>
    </cs:spPr>
  </cs:hiLoLine>
  <cs:leaderLine>
    <cs:lnRef idx="0"/>
    <cs:fillRef idx="0"/>
    <cs:effectRef idx="0"/>
    <cs:fontRef idx="minor">
      <a:schemeClr val="dk1"/>
    </cs:fontRef>
    <cs:spPr>
      <a:ln w="9525">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a:solidFill>
          <a:schemeClr val="phClr">
            <a:shade val="95000"/>
          </a:schemeClr>
        </a:solidFill>
        <a:round/>
      </a:ln>
    </cs:spPr>
  </cs:dataPoint>
  <cs:dataPoint3D>
    <cs:lnRef idx="0">
      <cs:styleClr val="auto"/>
    </cs:lnRef>
    <cs:fillRef idx="2">
      <cs:styleClr val="auto"/>
    </cs:fillRef>
    <cs:effectRef idx="1"/>
    <cs:fontRef idx="minor">
      <a:schemeClr val="dk1"/>
    </cs:fontRef>
    <cs:spPr>
      <a:ln w="9525">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a:solidFill>
          <a:schemeClr val="lt1">
            <a:lumMod val="95000"/>
            <a:alpha val="54000"/>
          </a:schemeClr>
        </a:solidFill>
        <a:round/>
      </a:ln>
    </cs:spPr>
    <cs:defRPr sz="900" kern="1200"/>
  </cs:categoryAxis>
  <cs:chartArea>
    <cs:lnRef idx="0"/>
    <cs:fillRef idx="0"/>
    <cs:effectRef idx="0"/>
    <cs:fontRef idx="minor">
      <a:schemeClr val="dk1"/>
    </cs:fontRef>
    <cs:spPr>
      <a:gradFill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a:solidFill>
          <a:schemeClr val="lt1">
            <a:lumMod val="95000"/>
            <a:alpha val="54000"/>
          </a:schemeClr>
        </a:solidFill>
        <a:round/>
      </a:ln>
    </cs:spPr>
    <cs:defRPr sz="900" kern="1200"/>
  </cs:seriesAxis>
  <cs:seriesLine>
    <cs:lnRef idx="0"/>
    <cs:fillRef idx="0"/>
    <cs:effectRef idx="0"/>
    <cs:fontRef idx="minor">
      <a:schemeClr val="lt1"/>
    </cs:fontRef>
    <cs:spPr>
      <a:ln w="9525">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8F866-3E07-431B-92D4-2B3909305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3307</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2023-04-26T14:00:00Z</dcterms:created>
  <dcterms:modified xsi:type="dcterms:W3CDTF">2023-04-26T14:00:00Z</dcterms:modified>
</cp:coreProperties>
</file>