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AF6885" w:rsidRPr="003D2BAA" w:rsidRDefault="00AF6885">
      <w:pPr>
        <w:pStyle w:val="normal0"/>
        <w:jc w:val="center"/>
        <w:rPr>
          <w:b/>
          <w:sz w:val="32"/>
          <w:szCs w:val="32"/>
          <w:lang w:val="en-GB"/>
        </w:rPr>
      </w:pPr>
    </w:p>
    <w:p w:rsidR="00655AAD" w:rsidRPr="003D2BAA" w:rsidRDefault="00BB128A">
      <w:pPr>
        <w:pStyle w:val="normal0"/>
        <w:jc w:val="center"/>
        <w:rPr>
          <w:b/>
          <w:sz w:val="32"/>
          <w:szCs w:val="32"/>
          <w:lang w:val="en-GB"/>
        </w:rPr>
      </w:pPr>
      <w:r w:rsidRPr="003D2BAA">
        <w:rPr>
          <w:b/>
          <w:sz w:val="32"/>
          <w:szCs w:val="32"/>
          <w:lang w:val="en-GB"/>
        </w:rPr>
        <w:t>CONSUMER DECISION-MAKING AND BEHAVIOUR ANALYSIS</w:t>
      </w:r>
    </w:p>
    <w:p w:rsidR="009201C9" w:rsidRPr="003D2BAA" w:rsidRDefault="009201C9">
      <w:pPr>
        <w:rPr>
          <w:b/>
          <w:lang w:val="en-GB"/>
        </w:rPr>
      </w:pPr>
      <w:bookmarkStart w:id="0" w:name="_tequqoopairm" w:colFirst="0" w:colLast="0"/>
      <w:bookmarkEnd w:id="0"/>
      <w:r w:rsidRPr="003D2BAA">
        <w:rPr>
          <w:lang w:val="en-GB"/>
        </w:rPr>
        <w:br w:type="page"/>
      </w:r>
    </w:p>
    <w:sdt>
      <w:sdtPr>
        <w:rPr>
          <w:rFonts w:ascii="Times New Roman" w:eastAsia="Times New Roman" w:hAnsi="Times New Roman" w:cs="Times New Roman"/>
          <w:b w:val="0"/>
          <w:bCs w:val="0"/>
          <w:color w:val="auto"/>
          <w:sz w:val="24"/>
          <w:szCs w:val="24"/>
          <w:lang w:val="en-GB"/>
        </w:rPr>
        <w:id w:val="31234034"/>
        <w:docPartObj>
          <w:docPartGallery w:val="Table of Contents"/>
          <w:docPartUnique/>
        </w:docPartObj>
      </w:sdtPr>
      <w:sdtContent>
        <w:p w:rsidR="00AF6885" w:rsidRPr="003D2BAA" w:rsidRDefault="00AF6885" w:rsidP="00AF6885">
          <w:pPr>
            <w:pStyle w:val="TOCHeading"/>
            <w:spacing w:after="240" w:line="360" w:lineRule="auto"/>
            <w:jc w:val="center"/>
            <w:rPr>
              <w:rFonts w:ascii="Times New Roman" w:hAnsi="Times New Roman" w:cs="Times New Roman"/>
              <w:color w:val="auto"/>
              <w:sz w:val="24"/>
              <w:szCs w:val="24"/>
              <w:lang w:val="en-GB"/>
            </w:rPr>
          </w:pPr>
          <w:r w:rsidRPr="003D2BAA">
            <w:rPr>
              <w:rFonts w:ascii="Times New Roman" w:hAnsi="Times New Roman" w:cs="Times New Roman"/>
              <w:color w:val="auto"/>
              <w:sz w:val="24"/>
              <w:szCs w:val="24"/>
              <w:lang w:val="en-GB"/>
            </w:rPr>
            <w:t>Table of Contents</w:t>
          </w:r>
        </w:p>
        <w:p w:rsidR="00AF6885" w:rsidRPr="003D2BAA" w:rsidRDefault="00E037C4" w:rsidP="00AF6885">
          <w:pPr>
            <w:pStyle w:val="TOC1"/>
            <w:tabs>
              <w:tab w:val="right" w:leader="dot" w:pos="9019"/>
            </w:tabs>
            <w:rPr>
              <w:noProof/>
              <w:lang w:val="en-GB"/>
            </w:rPr>
          </w:pPr>
          <w:r w:rsidRPr="003D2BAA">
            <w:rPr>
              <w:lang w:val="en-GB"/>
            </w:rPr>
            <w:fldChar w:fldCharType="begin"/>
          </w:r>
          <w:r w:rsidR="00AF6885" w:rsidRPr="003D2BAA">
            <w:rPr>
              <w:lang w:val="en-GB"/>
            </w:rPr>
            <w:instrText xml:space="preserve"> TOC \o "1-3" \h \z \u </w:instrText>
          </w:r>
          <w:r w:rsidRPr="003D2BAA">
            <w:rPr>
              <w:lang w:val="en-GB"/>
            </w:rPr>
            <w:fldChar w:fldCharType="separate"/>
          </w:r>
          <w:hyperlink w:anchor="_Toc132909307" w:history="1">
            <w:r w:rsidR="00AF6885" w:rsidRPr="003D2BAA">
              <w:rPr>
                <w:rStyle w:val="Hyperlink"/>
                <w:noProof/>
                <w:lang w:val="en-GB"/>
              </w:rPr>
              <w:t>Introduction</w:t>
            </w:r>
            <w:r w:rsidR="00AF6885" w:rsidRPr="003D2BAA">
              <w:rPr>
                <w:noProof/>
                <w:webHidden/>
                <w:lang w:val="en-GB"/>
              </w:rPr>
              <w:tab/>
            </w:r>
            <w:r w:rsidRPr="003D2BAA">
              <w:rPr>
                <w:noProof/>
                <w:webHidden/>
                <w:lang w:val="en-GB"/>
              </w:rPr>
              <w:fldChar w:fldCharType="begin"/>
            </w:r>
            <w:r w:rsidR="00AF6885" w:rsidRPr="003D2BAA">
              <w:rPr>
                <w:noProof/>
                <w:webHidden/>
                <w:lang w:val="en-GB"/>
              </w:rPr>
              <w:instrText xml:space="preserve"> PAGEREF _Toc132909307 \h </w:instrText>
            </w:r>
            <w:r w:rsidRPr="003D2BAA">
              <w:rPr>
                <w:noProof/>
                <w:webHidden/>
                <w:lang w:val="en-GB"/>
              </w:rPr>
            </w:r>
            <w:r w:rsidRPr="003D2BAA">
              <w:rPr>
                <w:noProof/>
                <w:webHidden/>
                <w:lang w:val="en-GB"/>
              </w:rPr>
              <w:fldChar w:fldCharType="separate"/>
            </w:r>
            <w:r w:rsidR="00AF6885" w:rsidRPr="003D2BAA">
              <w:rPr>
                <w:noProof/>
                <w:webHidden/>
                <w:lang w:val="en-GB"/>
              </w:rPr>
              <w:t>2</w:t>
            </w:r>
            <w:r w:rsidRPr="003D2BAA">
              <w:rPr>
                <w:noProof/>
                <w:webHidden/>
                <w:lang w:val="en-GB"/>
              </w:rPr>
              <w:fldChar w:fldCharType="end"/>
            </w:r>
          </w:hyperlink>
        </w:p>
        <w:p w:rsidR="00AF6885" w:rsidRPr="003D2BAA" w:rsidRDefault="00E037C4" w:rsidP="00AF6885">
          <w:pPr>
            <w:pStyle w:val="TOC1"/>
            <w:tabs>
              <w:tab w:val="right" w:leader="dot" w:pos="9019"/>
            </w:tabs>
            <w:rPr>
              <w:noProof/>
              <w:lang w:val="en-GB"/>
            </w:rPr>
          </w:pPr>
          <w:hyperlink w:anchor="_Toc132909308" w:history="1">
            <w:r w:rsidR="00AF6885" w:rsidRPr="003D2BAA">
              <w:rPr>
                <w:rStyle w:val="Hyperlink"/>
                <w:noProof/>
                <w:lang w:val="en-GB"/>
              </w:rPr>
              <w:t>The decision for selecting the service provider along with elucidation of factors that influenced the decision 900</w:t>
            </w:r>
            <w:r w:rsidR="00AF6885" w:rsidRPr="003D2BAA">
              <w:rPr>
                <w:noProof/>
                <w:webHidden/>
                <w:lang w:val="en-GB"/>
              </w:rPr>
              <w:tab/>
            </w:r>
            <w:r w:rsidRPr="003D2BAA">
              <w:rPr>
                <w:noProof/>
                <w:webHidden/>
                <w:lang w:val="en-GB"/>
              </w:rPr>
              <w:fldChar w:fldCharType="begin"/>
            </w:r>
            <w:r w:rsidR="00AF6885" w:rsidRPr="003D2BAA">
              <w:rPr>
                <w:noProof/>
                <w:webHidden/>
                <w:lang w:val="en-GB"/>
              </w:rPr>
              <w:instrText xml:space="preserve"> PAGEREF _Toc132909308 \h </w:instrText>
            </w:r>
            <w:r w:rsidRPr="003D2BAA">
              <w:rPr>
                <w:noProof/>
                <w:webHidden/>
                <w:lang w:val="en-GB"/>
              </w:rPr>
            </w:r>
            <w:r w:rsidRPr="003D2BAA">
              <w:rPr>
                <w:noProof/>
                <w:webHidden/>
                <w:lang w:val="en-GB"/>
              </w:rPr>
              <w:fldChar w:fldCharType="separate"/>
            </w:r>
            <w:r w:rsidR="00AF6885" w:rsidRPr="003D2BAA">
              <w:rPr>
                <w:noProof/>
                <w:webHidden/>
                <w:lang w:val="en-GB"/>
              </w:rPr>
              <w:t>2</w:t>
            </w:r>
            <w:r w:rsidRPr="003D2BAA">
              <w:rPr>
                <w:noProof/>
                <w:webHidden/>
                <w:lang w:val="en-GB"/>
              </w:rPr>
              <w:fldChar w:fldCharType="end"/>
            </w:r>
          </w:hyperlink>
        </w:p>
        <w:p w:rsidR="00AF6885" w:rsidRPr="003D2BAA" w:rsidRDefault="00E037C4" w:rsidP="00AF6885">
          <w:pPr>
            <w:pStyle w:val="TOC1"/>
            <w:tabs>
              <w:tab w:val="right" w:leader="dot" w:pos="9019"/>
            </w:tabs>
            <w:rPr>
              <w:noProof/>
              <w:lang w:val="en-GB"/>
            </w:rPr>
          </w:pPr>
          <w:hyperlink w:anchor="_Toc132909309" w:history="1">
            <w:r w:rsidR="00AF6885" w:rsidRPr="003D2BAA">
              <w:rPr>
                <w:rStyle w:val="Hyperlink"/>
                <w:noProof/>
                <w:lang w:val="en-GB"/>
              </w:rPr>
              <w:t>Elaboration of the factors that range from paying capacity to emotions and cognitive style in the context of the purchase situation</w:t>
            </w:r>
            <w:r w:rsidR="00AF6885" w:rsidRPr="003D2BAA">
              <w:rPr>
                <w:noProof/>
                <w:webHidden/>
                <w:lang w:val="en-GB"/>
              </w:rPr>
              <w:tab/>
            </w:r>
            <w:r w:rsidRPr="003D2BAA">
              <w:rPr>
                <w:noProof/>
                <w:webHidden/>
                <w:lang w:val="en-GB"/>
              </w:rPr>
              <w:fldChar w:fldCharType="begin"/>
            </w:r>
            <w:r w:rsidR="00AF6885" w:rsidRPr="003D2BAA">
              <w:rPr>
                <w:noProof/>
                <w:webHidden/>
                <w:lang w:val="en-GB"/>
              </w:rPr>
              <w:instrText xml:space="preserve"> PAGEREF _Toc132909309 \h </w:instrText>
            </w:r>
            <w:r w:rsidRPr="003D2BAA">
              <w:rPr>
                <w:noProof/>
                <w:webHidden/>
                <w:lang w:val="en-GB"/>
              </w:rPr>
            </w:r>
            <w:r w:rsidRPr="003D2BAA">
              <w:rPr>
                <w:noProof/>
                <w:webHidden/>
                <w:lang w:val="en-GB"/>
              </w:rPr>
              <w:fldChar w:fldCharType="separate"/>
            </w:r>
            <w:r w:rsidR="00AF6885" w:rsidRPr="003D2BAA">
              <w:rPr>
                <w:noProof/>
                <w:webHidden/>
                <w:lang w:val="en-GB"/>
              </w:rPr>
              <w:t>4</w:t>
            </w:r>
            <w:r w:rsidRPr="003D2BAA">
              <w:rPr>
                <w:noProof/>
                <w:webHidden/>
                <w:lang w:val="en-GB"/>
              </w:rPr>
              <w:fldChar w:fldCharType="end"/>
            </w:r>
          </w:hyperlink>
        </w:p>
        <w:p w:rsidR="00AF6885" w:rsidRPr="003D2BAA" w:rsidRDefault="00E037C4" w:rsidP="00AF6885">
          <w:pPr>
            <w:pStyle w:val="TOC1"/>
            <w:tabs>
              <w:tab w:val="right" w:leader="dot" w:pos="9019"/>
            </w:tabs>
            <w:rPr>
              <w:noProof/>
              <w:lang w:val="en-GB"/>
            </w:rPr>
          </w:pPr>
          <w:hyperlink w:anchor="_Toc132909310" w:history="1">
            <w:r w:rsidR="00AF6885" w:rsidRPr="003D2BAA">
              <w:rPr>
                <w:rStyle w:val="Hyperlink"/>
                <w:noProof/>
                <w:lang w:val="en-GB"/>
              </w:rPr>
              <w:t>Conclusion</w:t>
            </w:r>
            <w:r w:rsidR="00AF6885" w:rsidRPr="003D2BAA">
              <w:rPr>
                <w:noProof/>
                <w:webHidden/>
                <w:lang w:val="en-GB"/>
              </w:rPr>
              <w:tab/>
            </w:r>
            <w:r w:rsidRPr="003D2BAA">
              <w:rPr>
                <w:noProof/>
                <w:webHidden/>
                <w:lang w:val="en-GB"/>
              </w:rPr>
              <w:fldChar w:fldCharType="begin"/>
            </w:r>
            <w:r w:rsidR="00AF6885" w:rsidRPr="003D2BAA">
              <w:rPr>
                <w:noProof/>
                <w:webHidden/>
                <w:lang w:val="en-GB"/>
              </w:rPr>
              <w:instrText xml:space="preserve"> PAGEREF _Toc132909310 \h </w:instrText>
            </w:r>
            <w:r w:rsidRPr="003D2BAA">
              <w:rPr>
                <w:noProof/>
                <w:webHidden/>
                <w:lang w:val="en-GB"/>
              </w:rPr>
            </w:r>
            <w:r w:rsidRPr="003D2BAA">
              <w:rPr>
                <w:noProof/>
                <w:webHidden/>
                <w:lang w:val="en-GB"/>
              </w:rPr>
              <w:fldChar w:fldCharType="separate"/>
            </w:r>
            <w:r w:rsidR="00AF6885" w:rsidRPr="003D2BAA">
              <w:rPr>
                <w:noProof/>
                <w:webHidden/>
                <w:lang w:val="en-GB"/>
              </w:rPr>
              <w:t>6</w:t>
            </w:r>
            <w:r w:rsidRPr="003D2BAA">
              <w:rPr>
                <w:noProof/>
                <w:webHidden/>
                <w:lang w:val="en-GB"/>
              </w:rPr>
              <w:fldChar w:fldCharType="end"/>
            </w:r>
          </w:hyperlink>
        </w:p>
        <w:p w:rsidR="00AF6885" w:rsidRPr="003D2BAA" w:rsidRDefault="00E037C4" w:rsidP="00AF6885">
          <w:pPr>
            <w:rPr>
              <w:lang w:val="en-GB"/>
            </w:rPr>
          </w:pPr>
          <w:r w:rsidRPr="003D2BAA">
            <w:rPr>
              <w:lang w:val="en-GB"/>
            </w:rPr>
            <w:fldChar w:fldCharType="end"/>
          </w:r>
        </w:p>
      </w:sdtContent>
    </w:sdt>
    <w:p w:rsidR="009201C9" w:rsidRPr="003D2BAA" w:rsidRDefault="009201C9">
      <w:pPr>
        <w:rPr>
          <w:b/>
          <w:lang w:val="en-GB"/>
        </w:rPr>
      </w:pPr>
      <w:r w:rsidRPr="003D2BAA">
        <w:rPr>
          <w:lang w:val="en-GB"/>
        </w:rPr>
        <w:br w:type="page"/>
      </w:r>
    </w:p>
    <w:p w:rsidR="00655AAD" w:rsidRPr="003D2BAA" w:rsidRDefault="00BB128A">
      <w:pPr>
        <w:pStyle w:val="Heading1"/>
        <w:rPr>
          <w:lang w:val="en-GB"/>
        </w:rPr>
      </w:pPr>
      <w:bookmarkStart w:id="1" w:name="_Toc132909307"/>
      <w:r w:rsidRPr="003D2BAA">
        <w:rPr>
          <w:lang w:val="en-GB"/>
        </w:rPr>
        <w:lastRenderedPageBreak/>
        <w:t>Introduction</w:t>
      </w:r>
      <w:bookmarkEnd w:id="1"/>
      <w:r w:rsidRPr="003D2BAA">
        <w:rPr>
          <w:lang w:val="en-GB"/>
        </w:rPr>
        <w:t xml:space="preserve">  </w:t>
      </w:r>
    </w:p>
    <w:p w:rsidR="00655AAD" w:rsidRPr="003D2BAA" w:rsidRDefault="00BB128A">
      <w:pPr>
        <w:pStyle w:val="normal0"/>
        <w:rPr>
          <w:lang w:val="en-GB"/>
        </w:rPr>
      </w:pPr>
      <w:r w:rsidRPr="003D2BAA">
        <w:rPr>
          <w:lang w:val="en-GB"/>
        </w:rPr>
        <w:t>Consumer decision-making behaviour entails the aspects adhered to the decisions undertaken for purchasing any services. The study has articulated Morrisons as the case organisation, where grocery-related services have been appraised as services. The study shed light on the determination of those attributes which can be instrumental for anticipating respective requirements. On the other hand, the study has considered a relevant theoretical framework whose application can play a significant role in inculcating adequate influence on purchasing the services. Moreover, an elaboration of effective factors has been articulated in this study which is focussed on paying capacity to emotions and cognitive style.</w:t>
      </w:r>
    </w:p>
    <w:p w:rsidR="00655AAD" w:rsidRPr="003D2BAA" w:rsidRDefault="00BB128A">
      <w:pPr>
        <w:pStyle w:val="Heading1"/>
        <w:rPr>
          <w:lang w:val="en-GB"/>
        </w:rPr>
      </w:pPr>
      <w:bookmarkStart w:id="2" w:name="_l5p6e4ebn3s0" w:colFirst="0" w:colLast="0"/>
      <w:bookmarkStart w:id="3" w:name="_Toc132909308"/>
      <w:bookmarkEnd w:id="2"/>
      <w:r w:rsidRPr="003D2BAA">
        <w:rPr>
          <w:lang w:val="en-GB"/>
        </w:rPr>
        <w:t xml:space="preserve">The decision for selecting the service provider along with elucidation of factors that influenced the decision </w:t>
      </w:r>
      <w:bookmarkEnd w:id="3"/>
    </w:p>
    <w:p w:rsidR="003D2BAA" w:rsidRDefault="00BB128A">
      <w:pPr>
        <w:pStyle w:val="normal0"/>
        <w:rPr>
          <w:lang w:val="en-GB"/>
        </w:rPr>
      </w:pPr>
      <w:r w:rsidRPr="003D2BAA">
        <w:rPr>
          <w:lang w:val="en-GB"/>
        </w:rPr>
        <w:t>The determination of inculcating purchasing abilities comprises those interventions whose application can be instrumental in deciding the apprehension to those services. Based on the views of Karbassi Yazdi</w:t>
      </w:r>
      <w:r w:rsidRPr="003D2BAA">
        <w:rPr>
          <w:i/>
          <w:lang w:val="en-GB"/>
        </w:rPr>
        <w:t xml:space="preserve"> et al. </w:t>
      </w:r>
      <w:r w:rsidRPr="003D2BAA">
        <w:rPr>
          <w:lang w:val="en-GB"/>
        </w:rPr>
        <w:t>(2023), the prevalence of cost-cutting and efficiency-enhancing nature has been significant for the multiplication of services which can be availed by customers. On the other hand, the importance of this aspect can be instrumental for the evaluation of the worthiness of the decision so adhered to while purchasing those services. As per the views of Sadoughi</w:t>
      </w:r>
      <w:r w:rsidRPr="003D2BAA">
        <w:rPr>
          <w:i/>
          <w:lang w:val="en-GB"/>
        </w:rPr>
        <w:t xml:space="preserve"> et al. </w:t>
      </w:r>
      <w:r w:rsidRPr="003D2BAA">
        <w:rPr>
          <w:lang w:val="en-GB"/>
        </w:rPr>
        <w:t xml:space="preserve">(2020), the spectrum of facilities so acknowledged while appraising the services can be significant for determining the strategies which can be instrumental in consolidating the insights necessary for selecting final products. In this regard, the evaluation of reputation is a major aspect which provides insight into the overarching supplies facilitated by the organisation. Morrisons provides a wide range of services which includes beverages, attires, florist, petrol, books, magazines, tobacco and homeware. On the other hand, the inclusion of decision-making skills is significant for determining the services which are to be purchased. As commented by Sharma and Sehrawat (2020), the organisation has witnessed a larger number of customers which signifies its higher degree of accelerating its sales. Moreover, the application of </w:t>
      </w:r>
      <w:r w:rsidRPr="003D2BAA">
        <w:rPr>
          <w:b/>
          <w:i/>
          <w:lang w:val="en-GB"/>
        </w:rPr>
        <w:t>“Fredrick Herzberg's theory of motivation”</w:t>
      </w:r>
      <w:r w:rsidRPr="003D2BAA">
        <w:rPr>
          <w:lang w:val="en-GB"/>
        </w:rPr>
        <w:t xml:space="preserve"> has been an indispensable aspect in fostering a higher degree of motivation within the intellect of the customers. In this regard, the employee possesses a higher degree of innovativeness in rendering a wide range of products, which can help the customer to select desired services and products. </w:t>
      </w:r>
    </w:p>
    <w:p w:rsidR="003D2BAA" w:rsidRDefault="00BB128A">
      <w:pPr>
        <w:pStyle w:val="normal0"/>
        <w:rPr>
          <w:lang w:val="en-GB"/>
        </w:rPr>
      </w:pPr>
      <w:r w:rsidRPr="003D2BAA">
        <w:rPr>
          <w:lang w:val="en-GB"/>
        </w:rPr>
        <w:t xml:space="preserve">“Grocery” has been selected as the service offered by Morrisons which comprises a range of products such as “Slow Cooker Aluminium Pot'', “Slow Cooker Aluminium Pot'', “Kettle”, </w:t>
      </w:r>
      <w:r w:rsidRPr="003D2BAA">
        <w:rPr>
          <w:lang w:val="en-GB"/>
        </w:rPr>
        <w:lastRenderedPageBreak/>
        <w:t>“Slice Toaster” and more (Groceries.morrisons.com, 2023). In this regard, the purchasing decisions undertaken for selecting the services are diversified to a further extent. On the other hand, as opined by Orji</w:t>
      </w:r>
      <w:r w:rsidRPr="003D2BAA">
        <w:rPr>
          <w:i/>
          <w:lang w:val="en-GB"/>
        </w:rPr>
        <w:t xml:space="preserve"> et al. </w:t>
      </w:r>
      <w:r w:rsidRPr="003D2BAA">
        <w:rPr>
          <w:lang w:val="en-GB"/>
        </w:rPr>
        <w:t xml:space="preserve">(2020), the application of the aforementioned theory can be instrumental in ushering the motivation to identify the end products from the spectrum of services provided by the concerted organisation. The application of the theory has been significant in bifurcating the attitude generated among the customers which further helps in sustaining the motivation to adhere to the product (Bl.uk, 2023). This helps in inducing the perception to select or reject the products. In the context of inculcating a high reputation of the organisation along with the prevalence of overarching services, "Kettle" has been selected as the product manufactured by Morrisons. On the other hand, the organisation appraises the inclusion of innovativeness, whose application has been significant in rendering better quality commodities related to groceries. Based on the views of Arora and Kaur (2019), the prevalence of highly-trained staff at Morrisons can further motivate the inculcation of a positive attitude in buying Kettles as the corresponding grocery service. Moreover, the reason to decide the purchasing of Morrison as the service provider is the prevalence of adequate account and financial management. </w:t>
      </w:r>
    </w:p>
    <w:p w:rsidR="00655AAD" w:rsidRPr="003D2BAA" w:rsidRDefault="00BB128A">
      <w:pPr>
        <w:pStyle w:val="normal0"/>
        <w:rPr>
          <w:lang w:val="en-GB"/>
        </w:rPr>
      </w:pPr>
      <w:r w:rsidRPr="003D2BAA">
        <w:rPr>
          <w:lang w:val="en-GB"/>
        </w:rPr>
        <w:t>As per the views of Moghavvemi</w:t>
      </w:r>
      <w:r w:rsidRPr="003D2BAA">
        <w:rPr>
          <w:i/>
          <w:lang w:val="en-GB"/>
        </w:rPr>
        <w:t xml:space="preserve"> et al. </w:t>
      </w:r>
      <w:r w:rsidRPr="003D2BAA">
        <w:rPr>
          <w:lang w:val="en-GB"/>
        </w:rPr>
        <w:t xml:space="preserve">(2021), this signifies that the determination of satisfactory costs can be instrumental in buying the services which can usher potential economic benefits for both buyer and supplier. In addition, the organisation plays a significant role in providing training among the employees which optimises the quality of the product. The decision to select Morrison as the service provider has been instrumental in ensuring the existence of the best service and safety while facilitating grocery services. This signifies that considering Kettle as the corresponding product, the determination to buy this vest on its specifications which makes it an exclusive class for grocery products provided by the organisations. In addition, the product comprises a “Removable </w:t>
      </w:r>
      <w:r w:rsidR="003D2BAA" w:rsidRPr="003D2BAA">
        <w:rPr>
          <w:lang w:val="en-GB"/>
        </w:rPr>
        <w:t>filter”</w:t>
      </w:r>
      <w:r w:rsidRPr="003D2BAA">
        <w:rPr>
          <w:lang w:val="en-GB"/>
        </w:rPr>
        <w:t xml:space="preserve"> and “Water level indicator” and facilitates an illumination effect, which appraises the aspect of innovativeness (Groceries.morrisons.com, 2023).  Moreover, the probability of generating high customer loyalty impedes the selection of Morrison as the service provider.</w:t>
      </w:r>
    </w:p>
    <w:p w:rsidR="00655AAD" w:rsidRPr="003D2BAA" w:rsidRDefault="00BB128A">
      <w:pPr>
        <w:pStyle w:val="normal0"/>
        <w:rPr>
          <w:lang w:val="en-GB"/>
        </w:rPr>
      </w:pPr>
      <w:r w:rsidRPr="003D2BAA">
        <w:rPr>
          <w:lang w:val="en-GB"/>
        </w:rPr>
        <w:t>Morrison had been approving the implementation of the aforementioned theory, which has been instrumental in evaluating the integral work functions for restoring adequate quality of the product. On the other hand, as commented by Kumar</w:t>
      </w:r>
      <w:r w:rsidRPr="003D2BAA">
        <w:rPr>
          <w:i/>
          <w:lang w:val="en-GB"/>
        </w:rPr>
        <w:t xml:space="preserve"> et al. </w:t>
      </w:r>
      <w:r w:rsidRPr="003D2BAA">
        <w:rPr>
          <w:lang w:val="en-GB"/>
        </w:rPr>
        <w:t xml:space="preserve">(2020), the perception to adhere to a detailed analysis of the work functions has been calibrated by the esteemed workforce prevalent in the organisation. This facility shed light on articulating the tenets of the theoretical perspective, whose application has been indispensable in appraising the </w:t>
      </w:r>
      <w:r w:rsidRPr="003D2BAA">
        <w:rPr>
          <w:lang w:val="en-GB"/>
        </w:rPr>
        <w:lastRenderedPageBreak/>
        <w:t xml:space="preserve">aspects of flexibility. On the other hand, the corresponding evaluation of integral organisational processes assists in necessitating </w:t>
      </w:r>
      <w:r w:rsidR="003D2BAA" w:rsidRPr="003D2BAA">
        <w:rPr>
          <w:lang w:val="en-GB"/>
        </w:rPr>
        <w:t>a systematic</w:t>
      </w:r>
      <w:r w:rsidRPr="003D2BAA">
        <w:rPr>
          <w:lang w:val="en-GB"/>
        </w:rPr>
        <w:t xml:space="preserve"> process of rendering bespoke work outcomes. As opined by Jovcic</w:t>
      </w:r>
      <w:r w:rsidRPr="003D2BAA">
        <w:rPr>
          <w:i/>
          <w:lang w:val="en-GB"/>
        </w:rPr>
        <w:t xml:space="preserve"> et al. </w:t>
      </w:r>
      <w:r w:rsidRPr="003D2BAA">
        <w:rPr>
          <w:lang w:val="en-GB"/>
        </w:rPr>
        <w:t>(2020), the corresponding working process is thus apprehended through a spectrum of work functions, whose capability can usher the manufacturing of high-graded grocery services. This signifies that the work functions conducted at Morrison can motivate an individual to buy the grocery services due to the prevalence of workers who hold proper job positions based on skills, knowledge and expertise. Their worthiness can be appreciated for their dedication and hard work in manufacturing the grocery product, which ensures that Morrison can be an ideal services provider.</w:t>
      </w:r>
    </w:p>
    <w:p w:rsidR="00655AAD" w:rsidRPr="003D2BAA" w:rsidRDefault="00BB128A">
      <w:pPr>
        <w:pStyle w:val="normal0"/>
        <w:rPr>
          <w:lang w:val="en-GB"/>
        </w:rPr>
      </w:pPr>
      <w:r w:rsidRPr="003D2BAA">
        <w:rPr>
          <w:lang w:val="en-GB"/>
        </w:rPr>
        <w:t>The deployment of “Fredrick Herzberg's theory of motivation” has been instrumental for the employees in monitoring their work progress which helps in managing a seamless flow of the work progress. Based on the views of Bhatt</w:t>
      </w:r>
      <w:r w:rsidRPr="003D2BAA">
        <w:rPr>
          <w:i/>
          <w:lang w:val="en-GB"/>
        </w:rPr>
        <w:t xml:space="preserve"> et al. </w:t>
      </w:r>
      <w:r w:rsidRPr="003D2BAA">
        <w:rPr>
          <w:lang w:val="en-GB"/>
        </w:rPr>
        <w:t xml:space="preserve">(2021), this signifies that the maintenance of a systematic work function has been instrumental in perceiving the thoughts in buying grocery services. However, the appraisal of innovativeness has been considered the optimum aspect which has influenced purchasing grocery services. The reason is that the employees have been instrumental in inducing random checks of the work progress. This aspect has thus been instrumental in appraising the decision to buy grocery services.  </w:t>
      </w:r>
    </w:p>
    <w:p w:rsidR="00655AAD" w:rsidRPr="003D2BAA" w:rsidRDefault="00BB128A">
      <w:pPr>
        <w:pStyle w:val="Heading1"/>
        <w:rPr>
          <w:lang w:val="en-GB"/>
        </w:rPr>
      </w:pPr>
      <w:bookmarkStart w:id="4" w:name="_luuh7q8f6lp7" w:colFirst="0" w:colLast="0"/>
      <w:bookmarkStart w:id="5" w:name="_Toc132909309"/>
      <w:bookmarkEnd w:id="4"/>
      <w:r w:rsidRPr="003D2BAA">
        <w:rPr>
          <w:lang w:val="en-GB"/>
        </w:rPr>
        <w:t>Elaboration of the factors that range from paying capacity to emotions and cognitive style in the context of the purchase situation</w:t>
      </w:r>
      <w:bookmarkEnd w:id="5"/>
      <w:r w:rsidRPr="003D2BAA">
        <w:rPr>
          <w:lang w:val="en-GB"/>
        </w:rPr>
        <w:t xml:space="preserve">  </w:t>
      </w:r>
    </w:p>
    <w:p w:rsidR="00655AAD" w:rsidRPr="003D2BAA" w:rsidRDefault="00BB128A">
      <w:pPr>
        <w:pStyle w:val="normal0"/>
        <w:rPr>
          <w:color w:val="0E101A"/>
          <w:lang w:val="en-GB"/>
        </w:rPr>
      </w:pPr>
      <w:r w:rsidRPr="003D2BAA">
        <w:rPr>
          <w:color w:val="0E101A"/>
          <w:lang w:val="en-GB"/>
        </w:rPr>
        <w:t xml:space="preserve">Consumer behaviour has significant aspects which entail the ability to purchase any commodity. </w:t>
      </w:r>
      <w:r w:rsidRPr="003D2BAA">
        <w:rPr>
          <w:lang w:val="en-GB"/>
        </w:rPr>
        <w:t>As per the views of Masciullo</w:t>
      </w:r>
      <w:r w:rsidRPr="003D2BAA">
        <w:rPr>
          <w:i/>
          <w:lang w:val="en-GB"/>
        </w:rPr>
        <w:t xml:space="preserve"> et al. </w:t>
      </w:r>
      <w:r w:rsidRPr="003D2BAA">
        <w:rPr>
          <w:lang w:val="en-GB"/>
        </w:rPr>
        <w:t xml:space="preserve">(2020), </w:t>
      </w:r>
      <w:r w:rsidRPr="003D2BAA">
        <w:rPr>
          <w:color w:val="0E101A"/>
          <w:lang w:val="en-GB"/>
        </w:rPr>
        <w:t xml:space="preserve">in the context of the organisational aspect, the consideration of cognitive and emotional aspects has been instrumental in inculcating the attitude to perceive a positive decision to buy the Kettle as a respective grocery service. The application of the </w:t>
      </w:r>
      <w:r w:rsidRPr="003D2BAA">
        <w:rPr>
          <w:b/>
          <w:i/>
          <w:color w:val="0E101A"/>
          <w:lang w:val="en-GB"/>
        </w:rPr>
        <w:t xml:space="preserve">“Behavioural and Cognitive (ABC)” </w:t>
      </w:r>
      <w:r w:rsidRPr="003D2BAA">
        <w:rPr>
          <w:color w:val="0E101A"/>
          <w:lang w:val="en-GB"/>
        </w:rPr>
        <w:t xml:space="preserve">model can be instrumental in gaining adequate insight into the interdisciplinary approaches to buying the services facilitated by Morrison. The nature of perception plays a key role in retaining the vitality of the information conveyed by the marketers of Morrison for clarifying the thoughts which can cope with the feasibility of obtaining an incorrect interpretation of the advertisement. Thus the application of the theory focuses on gaining adequate learning skills gained from reading the specification of the product. On the other hand, the appraisal stimulating factors such as colour and size, intensity, novelty, personal relevance and brand identity are considered significant for fostering a positive situation (Core.ac.uk, 2023). In this </w:t>
      </w:r>
      <w:r w:rsidRPr="003D2BAA">
        <w:rPr>
          <w:color w:val="0E101A"/>
          <w:lang w:val="en-GB"/>
        </w:rPr>
        <w:lastRenderedPageBreak/>
        <w:t xml:space="preserve">regard, the interpretation of the cognitive skills aided by emotional responses is thus mandatory for generating a positive buying situation, which can influence consumer decisions. On the other hand, </w:t>
      </w:r>
      <w:r w:rsidRPr="003D2BAA">
        <w:rPr>
          <w:lang w:val="en-GB"/>
        </w:rPr>
        <w:t>as commented by Ali</w:t>
      </w:r>
      <w:r w:rsidRPr="003D2BAA">
        <w:rPr>
          <w:i/>
          <w:lang w:val="en-GB"/>
        </w:rPr>
        <w:t xml:space="preserve"> et al. </w:t>
      </w:r>
      <w:r w:rsidRPr="003D2BAA">
        <w:rPr>
          <w:lang w:val="en-GB"/>
        </w:rPr>
        <w:t xml:space="preserve">(2022), </w:t>
      </w:r>
      <w:r w:rsidRPr="003D2BAA">
        <w:rPr>
          <w:color w:val="0E101A"/>
          <w:lang w:val="en-GB"/>
        </w:rPr>
        <w:t xml:space="preserve">the determination of the cognitive learning gains can be inherited by using standardised tools and relevant knowledge such as communicating with the retailers regarding the advantages and disadvantages of purchasing grocery services where “Kettle” has been considered the corresponding product. On the other hand, the application of the aforementioned theory has been significant for focusing on consumer traits, which involve both physiological and psychological traits. These attributes can be significant for the acceleration of the need and desire to buy grocery services and articulate a positive purchasing situation. In this regard, the prevalence of cognitive and emotional aspects can be further apprehended by monitoring the physical characteristics of all the corresponding variants. </w:t>
      </w:r>
      <w:r w:rsidRPr="003D2BAA">
        <w:rPr>
          <w:lang w:val="en-GB"/>
        </w:rPr>
        <w:t>As opined by Mishra</w:t>
      </w:r>
      <w:r w:rsidRPr="003D2BAA">
        <w:rPr>
          <w:i/>
          <w:lang w:val="en-GB"/>
        </w:rPr>
        <w:t xml:space="preserve"> et al. </w:t>
      </w:r>
      <w:r w:rsidRPr="003D2BAA">
        <w:rPr>
          <w:lang w:val="en-GB"/>
        </w:rPr>
        <w:t xml:space="preserve">(2021), </w:t>
      </w:r>
      <w:r w:rsidRPr="003D2BAA">
        <w:rPr>
          <w:color w:val="0E101A"/>
          <w:lang w:val="en-GB"/>
        </w:rPr>
        <w:t xml:space="preserve">the acquisition and application of knowledge this inculcated can be significant for reducing the overarching complexities which are subject to occur while deciding to purchase the product. Moreover, Morrison’s strategy to develop advertisements for disseminating awareness of the Kettle has been regarded as a factor of stimuli whose knowledge can be instrumental for conducting overall interpretation of the purchasing decisions in buying the products. </w:t>
      </w:r>
    </w:p>
    <w:p w:rsidR="00655AAD" w:rsidRPr="003D2BAA" w:rsidRDefault="00BB128A">
      <w:pPr>
        <w:pStyle w:val="normal0"/>
        <w:rPr>
          <w:color w:val="0E101A"/>
          <w:lang w:val="en-GB"/>
        </w:rPr>
      </w:pPr>
      <w:r w:rsidRPr="003D2BAA">
        <w:rPr>
          <w:color w:val="0E101A"/>
          <w:lang w:val="en-GB"/>
        </w:rPr>
        <w:t xml:space="preserve">The determination of the price required for purchasing the commodity along with the quality of services and advertisement ushers respective emotional and cognitive aspects that impact the purchasing situation. In this context, the appraisal of the theory plays a key role in appraising the consistency of looking out for the ideal product which can consolidate a clear connection among the buyers to purchase the respective products. This signifies that the insights gained in buying the kettle thus depend on the changing trends of economic aspects. In this regard, the appraisal of emotional and cognitive aspects is subject to be impacted accordingly. </w:t>
      </w:r>
    </w:p>
    <w:p w:rsidR="00655AAD" w:rsidRPr="003D2BAA" w:rsidRDefault="00BB128A">
      <w:pPr>
        <w:pStyle w:val="normal0"/>
        <w:rPr>
          <w:lang w:val="en-GB"/>
        </w:rPr>
      </w:pPr>
      <w:r w:rsidRPr="003D2BAA">
        <w:rPr>
          <w:color w:val="0E101A"/>
          <w:lang w:val="en-GB"/>
        </w:rPr>
        <w:t>The strategy of disseminating awareness of the grocery products can be instrumental in anticipating domestic needs which can be fulfilled through the advertisement of the products. On the other hand, the application of the theory can play a significant role in gaining the concerts regarding the potential of marketing tactics of Morrison which can be significant for sustaining positive purchasing situations. Based on the views of Castelein</w:t>
      </w:r>
      <w:r w:rsidRPr="003D2BAA">
        <w:rPr>
          <w:i/>
          <w:color w:val="0E101A"/>
          <w:lang w:val="en-GB"/>
        </w:rPr>
        <w:t xml:space="preserve"> et al. </w:t>
      </w:r>
      <w:r w:rsidRPr="003D2BAA">
        <w:rPr>
          <w:color w:val="0E101A"/>
          <w:lang w:val="en-GB"/>
        </w:rPr>
        <w:t xml:space="preserve">(2019), the development of cognitive and emotional abilities in the context of purchasing situations can be apprehended for genetic enough loyalty towards the organisation. In addition, the determination of corresponding insights into the consideration of purchasing the product can be appraised by being exposed to the marketing trends while selecting the products. In this </w:t>
      </w:r>
      <w:r w:rsidRPr="003D2BAA">
        <w:rPr>
          <w:color w:val="0E101A"/>
          <w:lang w:val="en-GB"/>
        </w:rPr>
        <w:lastRenderedPageBreak/>
        <w:t>regard, the determination of the knowledge from the retailer can help in comparing the selected product with a range of services. As per the views of King and Snowden (2020), the knowledge thus inculcated can be instrumental in gaining an insight into the paying capacity acknowledged in determining the exact decision to purchase grocery services. In addition, retailers at Morrison are instrumental in facilitating adequate communication with the customers who can shed light on enhancing their purchasing situation to a significant extent. As commented by Su</w:t>
      </w:r>
      <w:r w:rsidRPr="003D2BAA">
        <w:rPr>
          <w:i/>
          <w:color w:val="0E101A"/>
          <w:lang w:val="en-GB"/>
        </w:rPr>
        <w:t xml:space="preserve"> et al. </w:t>
      </w:r>
      <w:r w:rsidRPr="003D2BAA">
        <w:rPr>
          <w:color w:val="0E101A"/>
          <w:lang w:val="en-GB"/>
        </w:rPr>
        <w:t xml:space="preserve">(2022), the appropriation of the theory can be instrumental in maintaining resilience in interpreting the judgement required for finalising the product for purchasing. This signifies that the inculcation of an adequate process of marketing can be instrumental in consolidating the impression required for avoiding purchasing mishaps while appraising the expenses for purchasing the grocery services. </w:t>
      </w:r>
      <w:r w:rsidRPr="003D2BAA">
        <w:rPr>
          <w:lang w:val="en-GB"/>
        </w:rPr>
        <w:t>As opined by Anik</w:t>
      </w:r>
      <w:r w:rsidRPr="003D2BAA">
        <w:rPr>
          <w:i/>
          <w:lang w:val="en-GB"/>
        </w:rPr>
        <w:t xml:space="preserve"> et al. </w:t>
      </w:r>
      <w:r w:rsidRPr="003D2BAA">
        <w:rPr>
          <w:lang w:val="en-GB"/>
        </w:rPr>
        <w:t xml:space="preserve">(2021), the specification of the product can be instrumental in making compulsory decisions whose appraisal can help in buying the considered product. </w:t>
      </w:r>
      <w:r w:rsidRPr="003D2BAA">
        <w:rPr>
          <w:color w:val="0E101A"/>
          <w:lang w:val="en-GB"/>
        </w:rPr>
        <w:t xml:space="preserve">Moreover, the degree of attractiveness can play a major role in apprehending a positive purchasing situation which illustrates the feasibility of confirming the purchasing of the product. </w:t>
      </w:r>
    </w:p>
    <w:p w:rsidR="00655AAD" w:rsidRPr="003D2BAA" w:rsidRDefault="00BB128A">
      <w:pPr>
        <w:pStyle w:val="Heading1"/>
        <w:rPr>
          <w:lang w:val="en-GB"/>
        </w:rPr>
      </w:pPr>
      <w:bookmarkStart w:id="6" w:name="_z2zrxbzdaolu" w:colFirst="0" w:colLast="0"/>
      <w:bookmarkStart w:id="7" w:name="_Toc132909310"/>
      <w:bookmarkEnd w:id="6"/>
      <w:r w:rsidRPr="003D2BAA">
        <w:rPr>
          <w:lang w:val="en-GB"/>
        </w:rPr>
        <w:t>Conclusion</w:t>
      </w:r>
      <w:bookmarkEnd w:id="7"/>
      <w:r w:rsidRPr="003D2BAA">
        <w:rPr>
          <w:lang w:val="en-GB"/>
        </w:rPr>
        <w:t xml:space="preserve">  </w:t>
      </w:r>
    </w:p>
    <w:p w:rsidR="00655AAD" w:rsidRPr="003D2BAA" w:rsidRDefault="00BB128A">
      <w:pPr>
        <w:pStyle w:val="normal0"/>
        <w:rPr>
          <w:lang w:val="en-GB"/>
        </w:rPr>
      </w:pPr>
      <w:r w:rsidRPr="003D2BAA">
        <w:rPr>
          <w:lang w:val="en-GB"/>
        </w:rPr>
        <w:t xml:space="preserve">The articulation of the study concludes that the evaluation of reputation is a major aspect which provides insight into the overarching supplies facilitated by the organisation. On the other hand, the inclusion of decision-making skills is significant for determining the services which are to be purchased. In addition, the application of </w:t>
      </w:r>
      <w:r w:rsidRPr="003D2BAA">
        <w:rPr>
          <w:b/>
          <w:i/>
          <w:lang w:val="en-GB"/>
        </w:rPr>
        <w:t>“Fredrick Herzberg's theory of motivation”</w:t>
      </w:r>
      <w:r w:rsidRPr="003D2BAA">
        <w:rPr>
          <w:lang w:val="en-GB"/>
        </w:rPr>
        <w:t xml:space="preserve"> has been an indispensable aspect in fostering a higher degree of motivation. On the other hand, it is concluded that the prevalence of highly-trained staff at Morrisons can further motivate the inculcation of a positive attitude in buying Kettles as the corresponding grocery service. This concludes that t</w:t>
      </w:r>
      <w:r w:rsidRPr="003D2BAA">
        <w:rPr>
          <w:color w:val="0E101A"/>
          <w:lang w:val="en-GB"/>
        </w:rPr>
        <w:t xml:space="preserve">hese attributes can be significant for the acceleration of the need and desire to buy grocery services and articulate a positive purchasing situation. </w:t>
      </w:r>
    </w:p>
    <w:p w:rsidR="00655AAD" w:rsidRPr="003D2BAA" w:rsidRDefault="00655AAD">
      <w:pPr>
        <w:pStyle w:val="normal0"/>
        <w:rPr>
          <w:lang w:val="en-GB"/>
        </w:rPr>
      </w:pPr>
    </w:p>
    <w:p w:rsidR="00655AAD" w:rsidRPr="003D2BAA" w:rsidRDefault="00655AAD">
      <w:pPr>
        <w:pStyle w:val="normal0"/>
        <w:rPr>
          <w:lang w:val="en-GB"/>
        </w:rPr>
      </w:pPr>
    </w:p>
    <w:p w:rsidR="00655AAD" w:rsidRPr="003D2BAA" w:rsidRDefault="00655AAD">
      <w:pPr>
        <w:pStyle w:val="normal0"/>
        <w:rPr>
          <w:lang w:val="en-GB"/>
        </w:rPr>
      </w:pPr>
    </w:p>
    <w:p w:rsidR="00655AAD" w:rsidRPr="003D2BAA" w:rsidRDefault="00655AAD">
      <w:pPr>
        <w:pStyle w:val="normal0"/>
        <w:rPr>
          <w:lang w:val="en-GB"/>
        </w:rPr>
      </w:pPr>
    </w:p>
    <w:p w:rsidR="00655AAD" w:rsidRPr="003D2BAA" w:rsidRDefault="00655AAD">
      <w:pPr>
        <w:pStyle w:val="normal0"/>
        <w:rPr>
          <w:lang w:val="en-GB"/>
        </w:rPr>
      </w:pPr>
    </w:p>
    <w:p w:rsidR="00655AAD" w:rsidRPr="003D2BAA" w:rsidRDefault="00655AAD">
      <w:pPr>
        <w:pStyle w:val="normal0"/>
        <w:rPr>
          <w:lang w:val="en-GB"/>
        </w:rPr>
      </w:pPr>
    </w:p>
    <w:p w:rsidR="00655AAD" w:rsidRPr="003D2BAA" w:rsidRDefault="00655AAD">
      <w:pPr>
        <w:pStyle w:val="normal0"/>
        <w:rPr>
          <w:lang w:val="en-GB"/>
        </w:rPr>
      </w:pPr>
    </w:p>
    <w:p w:rsidR="00655AAD" w:rsidRPr="003D2BAA" w:rsidRDefault="00655AAD">
      <w:pPr>
        <w:pStyle w:val="normal0"/>
        <w:rPr>
          <w:lang w:val="en-GB"/>
        </w:rPr>
      </w:pPr>
    </w:p>
    <w:p w:rsidR="00655AAD" w:rsidRPr="003D2BAA" w:rsidRDefault="00655AAD">
      <w:pPr>
        <w:pStyle w:val="normal0"/>
        <w:rPr>
          <w:lang w:val="en-GB"/>
        </w:rPr>
      </w:pPr>
    </w:p>
    <w:p w:rsidR="009201C9" w:rsidRPr="003D2BAA" w:rsidRDefault="009201C9" w:rsidP="009201C9">
      <w:pPr>
        <w:pStyle w:val="NormalWeb"/>
        <w:spacing w:before="0" w:beforeAutospacing="0" w:after="200" w:afterAutospacing="0"/>
        <w:jc w:val="both"/>
        <w:rPr>
          <w:lang w:val="en-GB"/>
        </w:rPr>
      </w:pPr>
      <w:r w:rsidRPr="003D2BAA">
        <w:rPr>
          <w:b/>
          <w:bCs/>
          <w:color w:val="000000"/>
          <w:lang w:val="en-GB"/>
        </w:rPr>
        <w:t>References</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Ali, S., Baseer, S., Abbasi, I.A., Alouffi, B., Alosaimi, W. and Huang, J., (2022). Analyzing the interactions among factors affecting cloud adoption for software testing: a two-stage ISM-ANN approach. Soft Computing, 26(16), pp.8047-8075.</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Anik, S.A.M., Khan, M.H., Miah, R.H., Kabir, F. and Alam, K., (2021). Customer Attitude Towards Mobile Financial Services: An Empirical Study on Dhaka City, Bangladesh. International Journal of Business Management &amp; Economic Research, 12(3).</w:t>
      </w:r>
      <w:bookmarkStart w:id="8" w:name="_j98i5rq9qe8h" w:colFirst="0" w:colLast="0"/>
      <w:bookmarkEnd w:id="8"/>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Arora, S. and Kaur, H., (2019). Exploring the bank selection criteria in India: scale development and validation. International Journal of Bank Marketing.</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Bhatt, N., Guru, S., Thanki, S. and Sood, G., (2021). Analysing the factors affecting the selection of ERP package: a fuzzy AHP approach. Information Systems and e-Business Management, 19, pp.641-682.</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 xml:space="preserve">Bl.uk, (2023). </w:t>
      </w:r>
      <w:r w:rsidRPr="003D2BAA">
        <w:rPr>
          <w:i/>
          <w:iCs/>
          <w:color w:val="000000"/>
          <w:lang w:val="en-GB"/>
        </w:rPr>
        <w:t>Frederick Herzberg</w:t>
      </w:r>
      <w:r w:rsidRPr="003D2BAA">
        <w:rPr>
          <w:color w:val="000000"/>
          <w:lang w:val="en-GB"/>
        </w:rPr>
        <w:t xml:space="preserve"> Available at: https://www.bl.uk/people/frederick-herzberg [Accessed on: 20.04.2023]</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Castelein, R.B., Geerlings, H. and Van Duin, J.H.R., (2019). Divergent effects of container port choice incentives on users' behavior. Transport Policy, 84, pp.82-93.</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 xml:space="preserve">Core.ac.uk, (2023). </w:t>
      </w:r>
      <w:r w:rsidRPr="003D2BAA">
        <w:rPr>
          <w:i/>
          <w:iCs/>
          <w:color w:val="000000"/>
          <w:lang w:val="en-GB"/>
        </w:rPr>
        <w:t xml:space="preserve">PSYCHOLOGICAL FACTORS INFLUENCING CONSUMER BEHAVIOUR </w:t>
      </w:r>
      <w:r w:rsidRPr="003D2BAA">
        <w:rPr>
          <w:color w:val="000000"/>
          <w:lang w:val="en-GB"/>
        </w:rPr>
        <w:t>Available at: https://core.ac.uk/download/pdf/38126112.pdf [Accessed on: 20.04.2023]</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 xml:space="preserve">Groceries.morrisons.com, (2023). </w:t>
      </w:r>
      <w:r w:rsidRPr="003D2BAA">
        <w:rPr>
          <w:i/>
          <w:iCs/>
          <w:color w:val="000000"/>
          <w:lang w:val="en-GB"/>
        </w:rPr>
        <w:t>Get a whopping £15 off your first online shop when you spend £70+. Register or log in to get yours now!</w:t>
      </w:r>
      <w:r w:rsidRPr="003D2BAA">
        <w:rPr>
          <w:color w:val="000000"/>
          <w:lang w:val="en-GB"/>
        </w:rPr>
        <w:t xml:space="preserve"> Available at: https://groceries.morrisons.com/webshop/getBrandShop.go?tags=105651%7C166317%7C166332%7C108397&amp;shopId=50559 [Accessed on: 20.04.2023]</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 xml:space="preserve">Groceries.morrisons.com, (2023). </w:t>
      </w:r>
      <w:r w:rsidRPr="003D2BAA">
        <w:rPr>
          <w:i/>
          <w:iCs/>
          <w:color w:val="000000"/>
          <w:lang w:val="en-GB"/>
        </w:rPr>
        <w:t>Morrisons Turin Kettle</w:t>
      </w:r>
      <w:r w:rsidRPr="003D2BAA">
        <w:rPr>
          <w:color w:val="000000"/>
          <w:lang w:val="en-GB"/>
        </w:rPr>
        <w:t xml:space="preserve"> Available at: https://groceries.morrisons.com/products/morrisons-turin-kettle-388711011? [Accessed on: 20.04.2023]</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Jovcic, S., Simic, V., Prusa, P. and Dobrodolac, M., (2020). Picture Fuzzy ARAS Method for Freight Distribution Concept Selection. Symmetry, 12(7), p.1062.</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lastRenderedPageBreak/>
        <w:t>Karbassi Yazdi, A., Mehdiabadi, A., Wanke, P.F., Monajemzadeh, N., Correa, H.L. and Tan, Y., (2023). Developing supply chain resilience: A robust multi-criteria decision analysis method for transportation service provider selection under uncertainty. International Journal of Management Science and Engineering Management, 18(1), pp.51-64.</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King, E.L. and Snowden, D.L., (2020). Serving on multiple fronts: A grounded theory model of complex decision-making in military mental health care. Social Science &amp; Medicine, 250, p.112865.</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Kumar, V., Syan, A.S., Kaur, A. and Hundal, B.S., (2020). Determinants of farmers’ decision to adopt solar powered pumps. International Journal of Energy Sector Management, 14(4), pp.707-727.</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Masciullo, L., Petruzziello, L., Perrone, G., Pecorini, F., Remiddi, C., Galoppi, P. and Brunelli, R., (2020). Caesarean section on maternal request: An Italian comparative study on patients’ characteristics, pregnancy outcomes and guidelines overview. International Journal of Environmental Research and Public Health, 17(13), p.4665.</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Mishra, A.R., Rani, P., Krishankumar, R., Zavadskas, E.K., Cavallaro, F. and Ravichandran, K.S., (2021). A hesitant fuzzy combined compromise solution framework-based on discrimination measure for ranking sustainable third-party reverse logistic providers. Sustainability, 13(4), p.2064.</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Moghavvemi, S., Mei, T.X., Phoong, S.W. and Phoong, S.Y., (2021). Drivers and barriers of mobile payment adoption: Malaysian merchants' perspective. Journal of Retailing and Consumer Services, 59, p.102364.</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Orji, I.J., Kusi-Sarpong, S., Huang, S. and Vazquez-Brust, D., (2020). Evaluating the factors that influence blockchain adoption in the freight logistics industry. Transportation Research Part E: Logistics and Transportation Review, 141, p.102025.</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Sadoughi, F., Ali, O. and Erfannia, L., (2020). Evaluating the factors that influence cloud technology adoption—comparative case analysis of health and non-health sectors: A systematic review. Health informatics journal, 26(2), pp.1363-1391.</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t>Sharma, M. and Sehrawat, R., (2020). A hybrid multi-criteria decision-making method for cloud adoption: Evidence from the healthcare sector. Technology in Society, 61, p.101258.</w:t>
      </w:r>
    </w:p>
    <w:p w:rsidR="003D2BAA" w:rsidRPr="003D2BAA" w:rsidRDefault="003D2BAA" w:rsidP="009201C9">
      <w:pPr>
        <w:pStyle w:val="NormalWeb"/>
        <w:spacing w:before="0" w:beforeAutospacing="0" w:after="200" w:afterAutospacing="0" w:line="360" w:lineRule="auto"/>
        <w:jc w:val="both"/>
        <w:rPr>
          <w:lang w:val="en-GB"/>
        </w:rPr>
      </w:pPr>
      <w:r w:rsidRPr="003D2BAA">
        <w:rPr>
          <w:color w:val="000000"/>
          <w:lang w:val="en-GB"/>
        </w:rPr>
        <w:lastRenderedPageBreak/>
        <w:t>Su, R., Obrenovic, B., Du, J., Godinic, D. and Khudaykulov, A., (2022). COVID-19 pandemic implications for corporate sustainability and society: A literature review. International Journal of Environmental Research and Public Health, 19(3), p.1592.</w:t>
      </w:r>
    </w:p>
    <w:sectPr w:rsidR="003D2BAA" w:rsidRPr="003D2BAA" w:rsidSect="00AF6885">
      <w:footerReference w:type="default" r:id="rId7"/>
      <w:pgSz w:w="11909" w:h="16834"/>
      <w:pgMar w:top="1440" w:right="1440" w:bottom="1440" w:left="1440" w:header="720" w:footer="720" w:gutter="0"/>
      <w:pgNumType w:start="0"/>
      <w:cols w:space="708"/>
      <w:titlePg/>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3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E54" w:rsidRDefault="00AE3E54" w:rsidP="00655AAD">
      <w:pPr>
        <w:spacing w:line="240" w:lineRule="auto"/>
      </w:pPr>
      <w:r>
        <w:separator/>
      </w:r>
    </w:p>
  </w:endnote>
  <w:endnote w:type="continuationSeparator" w:id="1">
    <w:p w:rsidR="00AE3E54" w:rsidRDefault="00AE3E54" w:rsidP="00655A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033"/>
      <w:docPartObj>
        <w:docPartGallery w:val="Page Numbers (Bottom of Page)"/>
        <w:docPartUnique/>
      </w:docPartObj>
    </w:sdtPr>
    <w:sdtContent>
      <w:p w:rsidR="00AF6885" w:rsidRDefault="00E037C4">
        <w:pPr>
          <w:pStyle w:val="Footer"/>
          <w:jc w:val="right"/>
        </w:pPr>
        <w:fldSimple w:instr=" PAGE   \* MERGEFORMAT ">
          <w:r w:rsidR="003D2BAA">
            <w:rPr>
              <w:noProof/>
            </w:rPr>
            <w:t>7</w:t>
          </w:r>
        </w:fldSimple>
      </w:p>
    </w:sdtContent>
  </w:sdt>
  <w:p w:rsidR="00655AAD" w:rsidRDefault="00655AAD">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E54" w:rsidRDefault="00AE3E54" w:rsidP="00655AAD">
      <w:pPr>
        <w:spacing w:line="240" w:lineRule="auto"/>
      </w:pPr>
      <w:r>
        <w:separator/>
      </w:r>
    </w:p>
  </w:footnote>
  <w:footnote w:type="continuationSeparator" w:id="1">
    <w:p w:rsidR="00AE3E54" w:rsidRDefault="00AE3E54" w:rsidP="00655AA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55AAD"/>
    <w:rsid w:val="003D2BAA"/>
    <w:rsid w:val="00655AAD"/>
    <w:rsid w:val="009201C9"/>
    <w:rsid w:val="00AE3E54"/>
    <w:rsid w:val="00AF6885"/>
    <w:rsid w:val="00BB128A"/>
    <w:rsid w:val="00E03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655AAD"/>
    <w:pPr>
      <w:keepNext/>
      <w:keepLines/>
      <w:spacing w:after="200"/>
      <w:outlineLvl w:val="0"/>
    </w:pPr>
    <w:rPr>
      <w:b/>
    </w:rPr>
  </w:style>
  <w:style w:type="paragraph" w:styleId="Heading2">
    <w:name w:val="heading 2"/>
    <w:basedOn w:val="normal0"/>
    <w:next w:val="normal0"/>
    <w:rsid w:val="00655AAD"/>
    <w:pPr>
      <w:keepNext/>
      <w:keepLines/>
      <w:spacing w:before="360" w:after="120"/>
      <w:outlineLvl w:val="1"/>
    </w:pPr>
    <w:rPr>
      <w:sz w:val="32"/>
      <w:szCs w:val="32"/>
    </w:rPr>
  </w:style>
  <w:style w:type="paragraph" w:styleId="Heading3">
    <w:name w:val="heading 3"/>
    <w:basedOn w:val="normal0"/>
    <w:next w:val="normal0"/>
    <w:rsid w:val="00655AAD"/>
    <w:pPr>
      <w:keepNext/>
      <w:keepLines/>
      <w:spacing w:before="320" w:after="80"/>
      <w:outlineLvl w:val="2"/>
    </w:pPr>
    <w:rPr>
      <w:color w:val="434343"/>
      <w:sz w:val="28"/>
      <w:szCs w:val="28"/>
    </w:rPr>
  </w:style>
  <w:style w:type="paragraph" w:styleId="Heading4">
    <w:name w:val="heading 4"/>
    <w:basedOn w:val="normal0"/>
    <w:next w:val="normal0"/>
    <w:rsid w:val="00655AAD"/>
    <w:pPr>
      <w:keepNext/>
      <w:keepLines/>
      <w:spacing w:before="280" w:after="80"/>
      <w:outlineLvl w:val="3"/>
    </w:pPr>
    <w:rPr>
      <w:color w:val="666666"/>
    </w:rPr>
  </w:style>
  <w:style w:type="paragraph" w:styleId="Heading5">
    <w:name w:val="heading 5"/>
    <w:basedOn w:val="normal0"/>
    <w:next w:val="normal0"/>
    <w:rsid w:val="00655AAD"/>
    <w:pPr>
      <w:keepNext/>
      <w:keepLines/>
      <w:spacing w:before="240" w:after="80"/>
      <w:outlineLvl w:val="4"/>
    </w:pPr>
    <w:rPr>
      <w:color w:val="666666"/>
      <w:sz w:val="22"/>
      <w:szCs w:val="22"/>
    </w:rPr>
  </w:style>
  <w:style w:type="paragraph" w:styleId="Heading6">
    <w:name w:val="heading 6"/>
    <w:basedOn w:val="normal0"/>
    <w:next w:val="normal0"/>
    <w:rsid w:val="00655AA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5AAD"/>
  </w:style>
  <w:style w:type="table" w:customStyle="1" w:styleId="TableNormal1">
    <w:name w:val="Table Normal1"/>
    <w:rsid w:val="00655AAD"/>
    <w:tblPr>
      <w:tblCellMar>
        <w:top w:w="0" w:type="dxa"/>
        <w:left w:w="0" w:type="dxa"/>
        <w:bottom w:w="0" w:type="dxa"/>
        <w:right w:w="0" w:type="dxa"/>
      </w:tblCellMar>
    </w:tblPr>
  </w:style>
  <w:style w:type="paragraph" w:styleId="Title">
    <w:name w:val="Title"/>
    <w:basedOn w:val="normal0"/>
    <w:next w:val="normal0"/>
    <w:rsid w:val="00655AAD"/>
    <w:pPr>
      <w:keepNext/>
      <w:keepLines/>
      <w:spacing w:after="60"/>
    </w:pPr>
    <w:rPr>
      <w:sz w:val="52"/>
      <w:szCs w:val="52"/>
    </w:rPr>
  </w:style>
  <w:style w:type="paragraph" w:styleId="Subtitle">
    <w:name w:val="Subtitle"/>
    <w:basedOn w:val="normal0"/>
    <w:next w:val="normal0"/>
    <w:rsid w:val="00655AAD"/>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655AAD"/>
    <w:pPr>
      <w:spacing w:line="240" w:lineRule="auto"/>
    </w:pPr>
    <w:rPr>
      <w:sz w:val="20"/>
      <w:szCs w:val="20"/>
    </w:rPr>
  </w:style>
  <w:style w:type="character" w:customStyle="1" w:styleId="CommentTextChar">
    <w:name w:val="Comment Text Char"/>
    <w:basedOn w:val="DefaultParagraphFont"/>
    <w:link w:val="CommentText"/>
    <w:uiPriority w:val="99"/>
    <w:semiHidden/>
    <w:rsid w:val="00655AAD"/>
    <w:rPr>
      <w:sz w:val="20"/>
      <w:szCs w:val="20"/>
    </w:rPr>
  </w:style>
  <w:style w:type="character" w:styleId="CommentReference">
    <w:name w:val="annotation reference"/>
    <w:basedOn w:val="DefaultParagraphFont"/>
    <w:uiPriority w:val="99"/>
    <w:semiHidden/>
    <w:unhideWhenUsed/>
    <w:rsid w:val="00655AAD"/>
    <w:rPr>
      <w:sz w:val="16"/>
      <w:szCs w:val="16"/>
    </w:rPr>
  </w:style>
  <w:style w:type="paragraph" w:styleId="BalloonText">
    <w:name w:val="Balloon Text"/>
    <w:basedOn w:val="Normal"/>
    <w:link w:val="BalloonTextChar"/>
    <w:uiPriority w:val="99"/>
    <w:semiHidden/>
    <w:unhideWhenUsed/>
    <w:rsid w:val="00920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1C9"/>
    <w:rPr>
      <w:rFonts w:ascii="Tahoma" w:hAnsi="Tahoma" w:cs="Tahoma"/>
      <w:sz w:val="16"/>
      <w:szCs w:val="16"/>
    </w:rPr>
  </w:style>
  <w:style w:type="paragraph" w:styleId="NormalWeb">
    <w:name w:val="Normal (Web)"/>
    <w:basedOn w:val="Normal"/>
    <w:uiPriority w:val="99"/>
    <w:unhideWhenUsed/>
    <w:rsid w:val="009201C9"/>
    <w:pPr>
      <w:spacing w:before="100" w:beforeAutospacing="1" w:after="100" w:afterAutospacing="1" w:line="240" w:lineRule="auto"/>
      <w:jc w:val="left"/>
    </w:pPr>
  </w:style>
  <w:style w:type="paragraph" w:styleId="Header">
    <w:name w:val="header"/>
    <w:basedOn w:val="Normal"/>
    <w:link w:val="HeaderChar"/>
    <w:uiPriority w:val="99"/>
    <w:semiHidden/>
    <w:unhideWhenUsed/>
    <w:rsid w:val="00AF688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F6885"/>
  </w:style>
  <w:style w:type="paragraph" w:styleId="Footer">
    <w:name w:val="footer"/>
    <w:basedOn w:val="Normal"/>
    <w:link w:val="FooterChar"/>
    <w:uiPriority w:val="99"/>
    <w:unhideWhenUsed/>
    <w:rsid w:val="00AF6885"/>
    <w:pPr>
      <w:tabs>
        <w:tab w:val="center" w:pos="4680"/>
        <w:tab w:val="right" w:pos="9360"/>
      </w:tabs>
      <w:spacing w:line="240" w:lineRule="auto"/>
    </w:pPr>
  </w:style>
  <w:style w:type="character" w:customStyle="1" w:styleId="FooterChar">
    <w:name w:val="Footer Char"/>
    <w:basedOn w:val="DefaultParagraphFont"/>
    <w:link w:val="Footer"/>
    <w:uiPriority w:val="99"/>
    <w:rsid w:val="00AF6885"/>
  </w:style>
  <w:style w:type="paragraph" w:styleId="TOCHeading">
    <w:name w:val="TOC Heading"/>
    <w:basedOn w:val="Heading1"/>
    <w:next w:val="Normal"/>
    <w:uiPriority w:val="39"/>
    <w:semiHidden/>
    <w:unhideWhenUsed/>
    <w:qFormat/>
    <w:rsid w:val="00AF6885"/>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AF6885"/>
    <w:pPr>
      <w:spacing w:after="100"/>
    </w:pPr>
  </w:style>
  <w:style w:type="character" w:styleId="Hyperlink">
    <w:name w:val="Hyperlink"/>
    <w:basedOn w:val="DefaultParagraphFont"/>
    <w:uiPriority w:val="99"/>
    <w:unhideWhenUsed/>
    <w:rsid w:val="00AF688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0923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6CE3D-65A4-4FE4-89CA-267121FA8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2808</Words>
  <Characters>16010</Characters>
  <Application>Microsoft Office Word</Application>
  <DocSecurity>0</DocSecurity>
  <Lines>133</Lines>
  <Paragraphs>37</Paragraphs>
  <ScaleCrop>false</ScaleCrop>
  <Company/>
  <LinksUpToDate>false</LinksUpToDate>
  <CharactersWithSpaces>18781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2023-04-20T13:25:00Z</dcterms:created>
  <dcterms:modified xsi:type="dcterms:W3CDTF">2023-04-20T13:31:00Z</dcterms:modified>
</cp:coreProperties>
</file>