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5FE" w:rsidRDefault="000A540C" w:rsidP="00C445FE">
      <w:pPr>
        <w:spacing w:line="360" w:lineRule="auto"/>
        <w:jc w:val="center"/>
        <w:rPr>
          <w:rFonts w:ascii="Times New Roman" w:eastAsia="Times New Roman" w:hAnsi="Times New Roman" w:cs="Times New Roman"/>
          <w:b/>
          <w:sz w:val="32"/>
          <w:szCs w:val="32"/>
          <w:lang w:val="en-GB"/>
        </w:rPr>
      </w:pPr>
      <w:r>
        <w:rPr>
          <w:noProof/>
          <w:lang w:val="en-IN" w:eastAsia="en-IN"/>
        </w:rPr>
        <w:drawing>
          <wp:anchor distT="0" distB="0" distL="114300" distR="114300" simplePos="0" relativeHeight="251666432" behindDoc="1" locked="0" layoutInCell="1" allowOverlap="1" wp14:anchorId="3AD85A13" wp14:editId="190455E9">
            <wp:simplePos x="0" y="0"/>
            <wp:positionH relativeFrom="column">
              <wp:posOffset>4779465</wp:posOffset>
            </wp:positionH>
            <wp:positionV relativeFrom="paragraph">
              <wp:posOffset>8624</wp:posOffset>
            </wp:positionV>
            <wp:extent cx="990600" cy="1094740"/>
            <wp:effectExtent l="19050" t="0" r="0" b="0"/>
            <wp:wrapNone/>
            <wp:docPr id="17" name="Picture 2" descr="\\rdi-ts1-fs\office\Marketing\Marketing\ARDEN BRAND 2016\Logos\Main Logo\Full Colour Dark Blue Name\jpeg\Arden_FullColLogo_DKBlueNam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i-ts1-fs\office\Marketing\Marketing\ARDEN BRAND 2016\Logos\Main Logo\Full Colour Dark Blue Name\jpeg\Arden_FullColLogo_DKBlueName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094740"/>
                    </a:xfrm>
                    <a:prstGeom prst="rect">
                      <a:avLst/>
                    </a:prstGeom>
                    <a:noFill/>
                    <a:ln>
                      <a:noFill/>
                    </a:ln>
                  </pic:spPr>
                </pic:pic>
              </a:graphicData>
            </a:graphic>
          </wp:anchor>
        </w:drawing>
      </w:r>
    </w:p>
    <w:p w:rsidR="000A540C" w:rsidRDefault="000A540C" w:rsidP="000A540C"/>
    <w:p w:rsidR="000A540C" w:rsidRDefault="000A540C" w:rsidP="000A540C"/>
    <w:p w:rsidR="000A540C" w:rsidRDefault="000A540C" w:rsidP="000A540C"/>
    <w:p w:rsidR="000A540C" w:rsidRDefault="000A540C" w:rsidP="000A540C"/>
    <w:p w:rsidR="000A540C" w:rsidRDefault="000A540C" w:rsidP="000A540C"/>
    <w:p w:rsidR="000A540C" w:rsidRPr="00F8216E" w:rsidRDefault="000A540C" w:rsidP="000A540C"/>
    <w:tbl>
      <w:tblPr>
        <w:tblStyle w:val="TableGrid"/>
        <w:tblW w:w="9138" w:type="dxa"/>
        <w:tblLook w:val="04A0" w:firstRow="1" w:lastRow="0" w:firstColumn="1" w:lastColumn="0" w:noHBand="0" w:noVBand="1"/>
      </w:tblPr>
      <w:tblGrid>
        <w:gridCol w:w="9138"/>
      </w:tblGrid>
      <w:tr w:rsidR="000A540C" w:rsidRPr="00F8216E" w:rsidTr="004A124C">
        <w:trPr>
          <w:trHeight w:val="1228"/>
        </w:trPr>
        <w:tc>
          <w:tcPr>
            <w:tcW w:w="9138" w:type="dxa"/>
          </w:tcPr>
          <w:p w:rsidR="000A540C" w:rsidRPr="00F8216E" w:rsidRDefault="000A540C" w:rsidP="004A124C">
            <w:pPr>
              <w:rPr>
                <w:sz w:val="32"/>
                <w:szCs w:val="32"/>
              </w:rPr>
            </w:pPr>
            <w:r w:rsidRPr="00F8216E">
              <w:rPr>
                <w:noProof/>
                <w:sz w:val="32"/>
                <w:szCs w:val="32"/>
                <w:lang w:val="en-IN" w:eastAsia="en-IN"/>
              </w:rPr>
              <w:drawing>
                <wp:anchor distT="0" distB="0" distL="114300" distR="114300" simplePos="0" relativeHeight="251659264" behindDoc="0" locked="0" layoutInCell="1" allowOverlap="1" wp14:anchorId="4FF80B1E" wp14:editId="79CF5A22">
                  <wp:simplePos x="0" y="0"/>
                  <wp:positionH relativeFrom="margin">
                    <wp:posOffset>0</wp:posOffset>
                  </wp:positionH>
                  <wp:positionV relativeFrom="margin">
                    <wp:posOffset>45720</wp:posOffset>
                  </wp:positionV>
                  <wp:extent cx="1274445" cy="195580"/>
                  <wp:effectExtent l="0" t="0" r="0" b="0"/>
                  <wp:wrapSquare wrapText="bothSides"/>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0 at 08.58.3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4445" cy="195580"/>
                          </a:xfrm>
                          <a:prstGeom prst="rect">
                            <a:avLst/>
                          </a:prstGeom>
                        </pic:spPr>
                      </pic:pic>
                    </a:graphicData>
                  </a:graphic>
                </wp:anchor>
              </w:drawing>
            </w:r>
          </w:p>
          <w:p w:rsidR="000A540C" w:rsidRPr="00F8216E" w:rsidRDefault="000A540C" w:rsidP="004A124C">
            <w:pPr>
              <w:rPr>
                <w:sz w:val="32"/>
                <w:szCs w:val="32"/>
              </w:rPr>
            </w:pPr>
          </w:p>
          <w:p w:rsidR="000A540C" w:rsidRPr="00F8216E" w:rsidRDefault="000A540C" w:rsidP="004A124C">
            <w:pPr>
              <w:rPr>
                <w:sz w:val="32"/>
                <w:szCs w:val="32"/>
              </w:rPr>
            </w:pPr>
          </w:p>
        </w:tc>
      </w:tr>
      <w:tr w:rsidR="000A540C" w:rsidRPr="00F8216E" w:rsidTr="004A124C">
        <w:trPr>
          <w:trHeight w:val="1211"/>
        </w:trPr>
        <w:tc>
          <w:tcPr>
            <w:tcW w:w="9138" w:type="dxa"/>
          </w:tcPr>
          <w:p w:rsidR="000A540C" w:rsidRPr="00F8216E" w:rsidRDefault="000A540C" w:rsidP="004A124C">
            <w:pPr>
              <w:rPr>
                <w:sz w:val="32"/>
                <w:szCs w:val="32"/>
              </w:rPr>
            </w:pPr>
            <w:r w:rsidRPr="00F8216E">
              <w:rPr>
                <w:noProof/>
                <w:sz w:val="32"/>
                <w:szCs w:val="32"/>
                <w:lang w:val="en-IN" w:eastAsia="en-IN"/>
              </w:rPr>
              <w:drawing>
                <wp:anchor distT="0" distB="0" distL="114300" distR="114300" simplePos="0" relativeHeight="251660288" behindDoc="0" locked="0" layoutInCell="1" allowOverlap="1" wp14:anchorId="22C1BB32" wp14:editId="7D3735EB">
                  <wp:simplePos x="0" y="0"/>
                  <wp:positionH relativeFrom="margin">
                    <wp:posOffset>0</wp:posOffset>
                  </wp:positionH>
                  <wp:positionV relativeFrom="margin">
                    <wp:posOffset>22860</wp:posOffset>
                  </wp:positionV>
                  <wp:extent cx="1565910" cy="212230"/>
                  <wp:effectExtent l="0" t="0" r="0" b="3810"/>
                  <wp:wrapSquare wrapText="bothSides"/>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0 at 09.00.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5910" cy="212230"/>
                          </a:xfrm>
                          <a:prstGeom prst="rect">
                            <a:avLst/>
                          </a:prstGeom>
                        </pic:spPr>
                      </pic:pic>
                    </a:graphicData>
                  </a:graphic>
                </wp:anchor>
              </w:drawing>
            </w:r>
          </w:p>
          <w:p w:rsidR="000A540C" w:rsidRPr="00F8216E" w:rsidRDefault="000A540C" w:rsidP="004A124C">
            <w:pPr>
              <w:rPr>
                <w:sz w:val="32"/>
                <w:szCs w:val="32"/>
              </w:rPr>
            </w:pPr>
          </w:p>
          <w:p w:rsidR="000A540C" w:rsidRPr="00F8216E" w:rsidRDefault="000A540C" w:rsidP="004A124C">
            <w:pPr>
              <w:rPr>
                <w:sz w:val="32"/>
                <w:szCs w:val="32"/>
              </w:rPr>
            </w:pPr>
          </w:p>
        </w:tc>
      </w:tr>
      <w:tr w:rsidR="000A540C" w:rsidRPr="00F8216E" w:rsidTr="004A124C">
        <w:trPr>
          <w:trHeight w:val="1367"/>
        </w:trPr>
        <w:tc>
          <w:tcPr>
            <w:tcW w:w="9138" w:type="dxa"/>
          </w:tcPr>
          <w:p w:rsidR="000A540C" w:rsidRPr="00F8216E" w:rsidRDefault="000A540C" w:rsidP="004A124C">
            <w:pPr>
              <w:rPr>
                <w:sz w:val="32"/>
                <w:szCs w:val="32"/>
              </w:rPr>
            </w:pPr>
            <w:r w:rsidRPr="00F8216E">
              <w:rPr>
                <w:noProof/>
                <w:sz w:val="32"/>
                <w:szCs w:val="32"/>
                <w:lang w:val="en-IN" w:eastAsia="en-IN"/>
              </w:rPr>
              <w:drawing>
                <wp:anchor distT="0" distB="0" distL="114300" distR="114300" simplePos="0" relativeHeight="251661312" behindDoc="0" locked="0" layoutInCell="1" allowOverlap="1" wp14:anchorId="4A1C6085" wp14:editId="3DAFBABD">
                  <wp:simplePos x="0" y="0"/>
                  <wp:positionH relativeFrom="margin">
                    <wp:posOffset>14483</wp:posOffset>
                  </wp:positionH>
                  <wp:positionV relativeFrom="margin">
                    <wp:posOffset>6698</wp:posOffset>
                  </wp:positionV>
                  <wp:extent cx="3148965" cy="233680"/>
                  <wp:effectExtent l="0" t="0" r="635" b="0"/>
                  <wp:wrapSquare wrapText="bothSides"/>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0 at 09.02.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8965" cy="233680"/>
                          </a:xfrm>
                          <a:prstGeom prst="rect">
                            <a:avLst/>
                          </a:prstGeom>
                        </pic:spPr>
                      </pic:pic>
                    </a:graphicData>
                  </a:graphic>
                </wp:anchor>
              </w:drawing>
            </w:r>
          </w:p>
          <w:p w:rsidR="000A540C" w:rsidRPr="00F8216E" w:rsidRDefault="000A540C" w:rsidP="004A124C">
            <w:pPr>
              <w:rPr>
                <w:sz w:val="32"/>
                <w:szCs w:val="32"/>
              </w:rPr>
            </w:pPr>
          </w:p>
          <w:p w:rsidR="000A540C" w:rsidRPr="00541C12" w:rsidRDefault="000A540C" w:rsidP="004A124C">
            <w:pPr>
              <w:rPr>
                <w:rFonts w:ascii="Times New Roman" w:hAnsi="Times New Roman" w:cs="Times New Roman"/>
                <w:b/>
                <w:sz w:val="24"/>
                <w:szCs w:val="24"/>
              </w:rPr>
            </w:pPr>
            <w:r w:rsidRPr="00541C12">
              <w:rPr>
                <w:rFonts w:ascii="Times New Roman" w:hAnsi="Times New Roman" w:cs="Times New Roman"/>
                <w:b/>
                <w:sz w:val="24"/>
                <w:szCs w:val="24"/>
              </w:rPr>
              <w:t>HCM5001</w:t>
            </w:r>
          </w:p>
        </w:tc>
      </w:tr>
      <w:tr w:rsidR="000A540C" w:rsidRPr="00F8216E" w:rsidTr="004A124C">
        <w:trPr>
          <w:trHeight w:val="1424"/>
        </w:trPr>
        <w:tc>
          <w:tcPr>
            <w:tcW w:w="9138" w:type="dxa"/>
          </w:tcPr>
          <w:p w:rsidR="000A540C" w:rsidRPr="0033626F" w:rsidRDefault="000A540C" w:rsidP="004A124C">
            <w:pPr>
              <w:pStyle w:val="Normal1"/>
              <w:spacing w:line="360" w:lineRule="auto"/>
              <w:rPr>
                <w:rFonts w:ascii="Times New Roman" w:eastAsia="Times New Roman" w:hAnsi="Times New Roman" w:cs="Times New Roman"/>
                <w:b/>
                <w:sz w:val="32"/>
                <w:szCs w:val="24"/>
              </w:rPr>
            </w:pPr>
            <w:r w:rsidRPr="0033626F">
              <w:rPr>
                <w:b/>
                <w:noProof/>
                <w:sz w:val="32"/>
                <w:szCs w:val="32"/>
                <w:lang w:val="en-IN" w:eastAsia="en-IN"/>
              </w:rPr>
              <w:drawing>
                <wp:anchor distT="0" distB="0" distL="114300" distR="114300" simplePos="0" relativeHeight="251662336" behindDoc="0" locked="0" layoutInCell="1" allowOverlap="1" wp14:anchorId="199BB822" wp14:editId="05F3B12B">
                  <wp:simplePos x="0" y="0"/>
                  <wp:positionH relativeFrom="margin">
                    <wp:posOffset>0</wp:posOffset>
                  </wp:positionH>
                  <wp:positionV relativeFrom="margin">
                    <wp:posOffset>22860</wp:posOffset>
                  </wp:positionV>
                  <wp:extent cx="1436370" cy="189865"/>
                  <wp:effectExtent l="0" t="0" r="0" b="635"/>
                  <wp:wrapSquare wrapText="bothSides"/>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0 at 09.03.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6370" cy="189865"/>
                          </a:xfrm>
                          <a:prstGeom prst="rect">
                            <a:avLst/>
                          </a:prstGeom>
                        </pic:spPr>
                      </pic:pic>
                    </a:graphicData>
                  </a:graphic>
                </wp:anchor>
              </w:drawing>
            </w:r>
            <w:r>
              <w:rPr>
                <w:rFonts w:ascii="Times New Roman" w:eastAsia="Times New Roman" w:hAnsi="Times New Roman" w:cs="Times New Roman"/>
                <w:b/>
                <w:sz w:val="32"/>
                <w:szCs w:val="32"/>
              </w:rPr>
              <w:t xml:space="preserve"> </w:t>
            </w:r>
          </w:p>
          <w:p w:rsidR="000A540C" w:rsidRPr="00F8216E" w:rsidRDefault="000A540C" w:rsidP="004A124C">
            <w:pPr>
              <w:rPr>
                <w:sz w:val="32"/>
                <w:szCs w:val="32"/>
              </w:rPr>
            </w:pPr>
            <w:r w:rsidRPr="000A540C">
              <w:rPr>
                <w:rFonts w:ascii="Times New Roman" w:eastAsia="Times New Roman" w:hAnsi="Times New Roman" w:cs="Times New Roman"/>
                <w:b/>
                <w:sz w:val="24"/>
                <w:szCs w:val="24"/>
              </w:rPr>
              <w:t>FUNDAMENTALS OF HEALTH &amp; CARE FINANCE</w:t>
            </w:r>
          </w:p>
          <w:p w:rsidR="000A540C" w:rsidRPr="00F8216E" w:rsidRDefault="000A540C" w:rsidP="004A124C">
            <w:pPr>
              <w:rPr>
                <w:sz w:val="32"/>
                <w:szCs w:val="32"/>
              </w:rPr>
            </w:pPr>
          </w:p>
        </w:tc>
      </w:tr>
      <w:tr w:rsidR="000A540C" w:rsidRPr="00F8216E" w:rsidTr="004A124C">
        <w:trPr>
          <w:trHeight w:val="1211"/>
        </w:trPr>
        <w:tc>
          <w:tcPr>
            <w:tcW w:w="9138" w:type="dxa"/>
          </w:tcPr>
          <w:p w:rsidR="000A540C" w:rsidRPr="00F8216E" w:rsidRDefault="000A540C" w:rsidP="004A124C">
            <w:pPr>
              <w:rPr>
                <w:sz w:val="32"/>
                <w:szCs w:val="32"/>
              </w:rPr>
            </w:pPr>
            <w:r w:rsidRPr="00F8216E">
              <w:rPr>
                <w:noProof/>
                <w:sz w:val="32"/>
                <w:szCs w:val="32"/>
                <w:lang w:val="en-IN" w:eastAsia="en-IN"/>
              </w:rPr>
              <w:drawing>
                <wp:anchor distT="0" distB="0" distL="114300" distR="114300" simplePos="0" relativeHeight="251663360" behindDoc="0" locked="0" layoutInCell="1" allowOverlap="1" wp14:anchorId="70E076AA" wp14:editId="6E3552DD">
                  <wp:simplePos x="0" y="0"/>
                  <wp:positionH relativeFrom="margin">
                    <wp:posOffset>-27992</wp:posOffset>
                  </wp:positionH>
                  <wp:positionV relativeFrom="margin">
                    <wp:posOffset>27992</wp:posOffset>
                  </wp:positionV>
                  <wp:extent cx="1436370" cy="180123"/>
                  <wp:effectExtent l="0" t="0" r="0" b="0"/>
                  <wp:wrapSquare wrapText="bothSides"/>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0 at 09.04.5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6370" cy="180123"/>
                          </a:xfrm>
                          <a:prstGeom prst="rect">
                            <a:avLst/>
                          </a:prstGeom>
                        </pic:spPr>
                      </pic:pic>
                    </a:graphicData>
                  </a:graphic>
                </wp:anchor>
              </w:drawing>
            </w:r>
          </w:p>
          <w:p w:rsidR="000A540C" w:rsidRPr="00F8216E" w:rsidRDefault="000A540C" w:rsidP="004A124C">
            <w:pPr>
              <w:rPr>
                <w:sz w:val="32"/>
                <w:szCs w:val="32"/>
              </w:rPr>
            </w:pPr>
          </w:p>
          <w:p w:rsidR="000A540C" w:rsidRPr="00F8216E" w:rsidRDefault="000A540C" w:rsidP="004A124C">
            <w:pPr>
              <w:rPr>
                <w:sz w:val="32"/>
                <w:szCs w:val="32"/>
              </w:rPr>
            </w:pPr>
          </w:p>
        </w:tc>
      </w:tr>
      <w:tr w:rsidR="000A540C" w:rsidRPr="00F8216E" w:rsidTr="004A124C">
        <w:trPr>
          <w:trHeight w:val="1228"/>
        </w:trPr>
        <w:tc>
          <w:tcPr>
            <w:tcW w:w="9138" w:type="dxa"/>
          </w:tcPr>
          <w:p w:rsidR="000A540C" w:rsidRPr="00F8216E" w:rsidRDefault="000A540C" w:rsidP="004A124C">
            <w:pPr>
              <w:rPr>
                <w:sz w:val="32"/>
                <w:szCs w:val="32"/>
              </w:rPr>
            </w:pPr>
            <w:r w:rsidRPr="00F8216E">
              <w:rPr>
                <w:noProof/>
                <w:sz w:val="32"/>
                <w:szCs w:val="32"/>
                <w:lang w:val="en-IN" w:eastAsia="en-IN"/>
              </w:rPr>
              <w:drawing>
                <wp:anchor distT="0" distB="0" distL="114300" distR="114300" simplePos="0" relativeHeight="251664384" behindDoc="0" locked="0" layoutInCell="1" allowOverlap="1" wp14:anchorId="0EB8D2E9" wp14:editId="637FFA67">
                  <wp:simplePos x="0" y="0"/>
                  <wp:positionH relativeFrom="margin">
                    <wp:posOffset>2038</wp:posOffset>
                  </wp:positionH>
                  <wp:positionV relativeFrom="margin">
                    <wp:posOffset>23327</wp:posOffset>
                  </wp:positionV>
                  <wp:extent cx="1045029" cy="197957"/>
                  <wp:effectExtent l="0" t="0" r="0" b="5715"/>
                  <wp:wrapSquare wrapText="bothSides"/>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0 at 09.06.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5029" cy="197957"/>
                          </a:xfrm>
                          <a:prstGeom prst="rect">
                            <a:avLst/>
                          </a:prstGeom>
                        </pic:spPr>
                      </pic:pic>
                    </a:graphicData>
                  </a:graphic>
                </wp:anchor>
              </w:drawing>
            </w:r>
          </w:p>
          <w:p w:rsidR="000A540C" w:rsidRPr="00F8216E" w:rsidRDefault="000A540C" w:rsidP="004A124C">
            <w:pPr>
              <w:rPr>
                <w:sz w:val="32"/>
                <w:szCs w:val="32"/>
              </w:rPr>
            </w:pPr>
          </w:p>
          <w:p w:rsidR="000A540C" w:rsidRPr="00F8216E" w:rsidRDefault="000A540C" w:rsidP="004A124C">
            <w:pPr>
              <w:rPr>
                <w:sz w:val="32"/>
                <w:szCs w:val="32"/>
              </w:rPr>
            </w:pPr>
          </w:p>
        </w:tc>
      </w:tr>
      <w:tr w:rsidR="000A540C" w:rsidRPr="00F8216E" w:rsidTr="004A124C">
        <w:trPr>
          <w:trHeight w:val="1441"/>
        </w:trPr>
        <w:tc>
          <w:tcPr>
            <w:tcW w:w="9138" w:type="dxa"/>
          </w:tcPr>
          <w:p w:rsidR="000A540C" w:rsidRPr="00F8216E" w:rsidRDefault="000A540C" w:rsidP="004A124C">
            <w:pPr>
              <w:rPr>
                <w:sz w:val="32"/>
                <w:szCs w:val="32"/>
              </w:rPr>
            </w:pPr>
            <w:r w:rsidRPr="00F8216E">
              <w:rPr>
                <w:noProof/>
                <w:sz w:val="32"/>
                <w:szCs w:val="32"/>
                <w:lang w:val="en-IN" w:eastAsia="en-IN"/>
              </w:rPr>
              <w:drawing>
                <wp:anchor distT="0" distB="0" distL="114300" distR="114300" simplePos="0" relativeHeight="251665408" behindDoc="0" locked="0" layoutInCell="1" allowOverlap="1" wp14:anchorId="3FB61F61" wp14:editId="48DE9D89">
                  <wp:simplePos x="0" y="0"/>
                  <wp:positionH relativeFrom="margin">
                    <wp:posOffset>635</wp:posOffset>
                  </wp:positionH>
                  <wp:positionV relativeFrom="margin">
                    <wp:posOffset>22390</wp:posOffset>
                  </wp:positionV>
                  <wp:extent cx="1077595" cy="201295"/>
                  <wp:effectExtent l="0" t="0" r="1905" b="1905"/>
                  <wp:wrapSquare wrapText="bothSides"/>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10 at 09.08.0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7595" cy="201295"/>
                          </a:xfrm>
                          <a:prstGeom prst="rect">
                            <a:avLst/>
                          </a:prstGeom>
                        </pic:spPr>
                      </pic:pic>
                    </a:graphicData>
                  </a:graphic>
                </wp:anchor>
              </w:drawing>
            </w:r>
            <w:r>
              <w:rPr>
                <w:sz w:val="32"/>
                <w:szCs w:val="32"/>
              </w:rPr>
              <w:t>3000</w:t>
            </w:r>
          </w:p>
          <w:p w:rsidR="000A540C" w:rsidRPr="00F8216E" w:rsidRDefault="000A540C" w:rsidP="004A124C">
            <w:pPr>
              <w:rPr>
                <w:sz w:val="32"/>
                <w:szCs w:val="32"/>
              </w:rPr>
            </w:pPr>
          </w:p>
          <w:p w:rsidR="000A540C" w:rsidRPr="00F8216E" w:rsidRDefault="000A540C" w:rsidP="004A124C">
            <w:pPr>
              <w:rPr>
                <w:sz w:val="18"/>
                <w:szCs w:val="18"/>
              </w:rPr>
            </w:pPr>
          </w:p>
          <w:p w:rsidR="000A540C" w:rsidRPr="00F8216E" w:rsidRDefault="000A540C" w:rsidP="004A124C">
            <w:pPr>
              <w:rPr>
                <w:sz w:val="32"/>
                <w:szCs w:val="32"/>
              </w:rPr>
            </w:pPr>
            <w:r w:rsidRPr="00F8216E">
              <w:rPr>
                <w:noProof/>
                <w:sz w:val="32"/>
                <w:szCs w:val="32"/>
                <w:lang w:val="en-IN" w:eastAsia="en-IN"/>
              </w:rPr>
              <w:drawing>
                <wp:inline distT="0" distB="0" distL="0" distR="0" wp14:anchorId="1F4E6DAF" wp14:editId="1ED28F0B">
                  <wp:extent cx="3396343" cy="126055"/>
                  <wp:effectExtent l="0" t="0" r="0" b="127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10 at 09.07.2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96343" cy="126055"/>
                          </a:xfrm>
                          <a:prstGeom prst="rect">
                            <a:avLst/>
                          </a:prstGeom>
                        </pic:spPr>
                      </pic:pic>
                    </a:graphicData>
                  </a:graphic>
                </wp:inline>
              </w:drawing>
            </w:r>
          </w:p>
        </w:tc>
      </w:tr>
    </w:tbl>
    <w:p w:rsidR="000A540C" w:rsidRPr="00F8216E" w:rsidRDefault="000A540C" w:rsidP="000A540C"/>
    <w:p w:rsidR="00C445FE" w:rsidRDefault="00C445FE" w:rsidP="000A540C">
      <w:pPr>
        <w:spacing w:line="360" w:lineRule="auto"/>
        <w:rPr>
          <w:rFonts w:ascii="Times New Roman" w:eastAsia="Times New Roman" w:hAnsi="Times New Roman" w:cs="Times New Roman"/>
          <w:b/>
          <w:sz w:val="32"/>
          <w:szCs w:val="32"/>
          <w:lang w:val="en-GB"/>
        </w:rPr>
      </w:pPr>
      <w:bookmarkStart w:id="0" w:name="_GoBack"/>
      <w:bookmarkEnd w:id="0"/>
    </w:p>
    <w:p w:rsidR="00C445FE" w:rsidRPr="000A540C" w:rsidRDefault="00C445FE" w:rsidP="00C445FE">
      <w:pPr>
        <w:spacing w:line="360" w:lineRule="auto"/>
        <w:jc w:val="center"/>
        <w:rPr>
          <w:rFonts w:ascii="Times New Roman" w:eastAsia="Times New Roman" w:hAnsi="Times New Roman" w:cs="Times New Roman"/>
          <w:b/>
          <w:sz w:val="24"/>
          <w:szCs w:val="24"/>
          <w:lang w:val="en-GB"/>
        </w:rPr>
      </w:pPr>
      <w:r w:rsidRPr="000A540C">
        <w:rPr>
          <w:rFonts w:ascii="Times New Roman" w:eastAsia="Times New Roman" w:hAnsi="Times New Roman" w:cs="Times New Roman"/>
          <w:b/>
          <w:sz w:val="24"/>
          <w:szCs w:val="24"/>
          <w:lang w:val="en-GB"/>
        </w:rPr>
        <w:br w:type="page"/>
      </w:r>
    </w:p>
    <w:p w:rsidR="00C445FE" w:rsidRDefault="00C445FE" w:rsidP="00C445FE">
      <w:pPr>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lastRenderedPageBreak/>
        <w:t>Executive Summary</w:t>
      </w:r>
    </w:p>
    <w:p w:rsidR="00C445FE" w:rsidRPr="00C445FE" w:rsidRDefault="00C445FE" w:rsidP="00C445FE">
      <w:pPr>
        <w:spacing w:line="360" w:lineRule="auto"/>
        <w:jc w:val="both"/>
        <w:rPr>
          <w:rFonts w:ascii="Times New Roman" w:eastAsia="Times New Roman" w:hAnsi="Times New Roman" w:cs="Times New Roman"/>
          <w:sz w:val="24"/>
          <w:szCs w:val="24"/>
          <w:lang w:val="en-GB"/>
        </w:rPr>
      </w:pPr>
      <w:r w:rsidRPr="00C445FE">
        <w:rPr>
          <w:rFonts w:ascii="Times New Roman" w:eastAsia="Times New Roman" w:hAnsi="Times New Roman" w:cs="Times New Roman"/>
          <w:sz w:val="24"/>
          <w:szCs w:val="24"/>
          <w:lang w:val="en-GB"/>
        </w:rPr>
        <w:t xml:space="preserve">The report has highlighted the development of financial and regulatory changes in healthcare sectors. The report has elaborate thee funding way of healthcare sectors. </w:t>
      </w:r>
      <w:r w:rsidR="009B59F3">
        <w:rPr>
          <w:rFonts w:ascii="Times New Roman" w:eastAsia="Times New Roman" w:hAnsi="Times New Roman" w:cs="Times New Roman"/>
          <w:sz w:val="24"/>
          <w:szCs w:val="24"/>
          <w:lang w:val="en-GB"/>
        </w:rPr>
        <w:t xml:space="preserve">DU Pont analysis of BUPA Group for the year 2020 and 2020 is included in the paper using the provided data. Suggestions to company is also illustrated concern to selection of service offerings considering significant investment appraisal techniques. Process to develop financial statement is also discussed. Debt ratio of BUPA Group is also explores including presenting solvency performance of the company. </w:t>
      </w:r>
      <w:r w:rsidRPr="00C445FE">
        <w:rPr>
          <w:rFonts w:ascii="Times New Roman" w:eastAsia="Times New Roman" w:hAnsi="Times New Roman" w:cs="Times New Roman"/>
          <w:sz w:val="24"/>
          <w:szCs w:val="24"/>
          <w:lang w:val="en-GB"/>
        </w:rPr>
        <w:t xml:space="preserve">Moreover, the report has incorporated the role of traditional marketing in healthcare. </w:t>
      </w:r>
    </w:p>
    <w:p w:rsidR="00C445FE" w:rsidRPr="00C445FE" w:rsidRDefault="00C445FE" w:rsidP="00C445FE">
      <w:pPr>
        <w:spacing w:line="360" w:lineRule="auto"/>
        <w:jc w:val="both"/>
        <w:rPr>
          <w:rFonts w:ascii="Times New Roman" w:eastAsia="Times New Roman" w:hAnsi="Times New Roman" w:cs="Times New Roman"/>
          <w:sz w:val="24"/>
          <w:szCs w:val="24"/>
          <w:lang w:val="en-GB"/>
        </w:rPr>
      </w:pPr>
      <w:r w:rsidRPr="00C445FE">
        <w:rPr>
          <w:rFonts w:ascii="Times New Roman" w:eastAsia="Times New Roman" w:hAnsi="Times New Roman" w:cs="Times New Roman"/>
          <w:sz w:val="24"/>
          <w:szCs w:val="24"/>
          <w:lang w:val="en-GB"/>
        </w:rPr>
        <w:br w:type="page"/>
      </w:r>
    </w:p>
    <w:sdt>
      <w:sdtPr>
        <w:id w:val="-1416172150"/>
        <w:docPartObj>
          <w:docPartGallery w:val="Table of Contents"/>
          <w:docPartUnique/>
        </w:docPartObj>
      </w:sdtPr>
      <w:sdtEndPr>
        <w:rPr>
          <w:rFonts w:ascii="Times New Roman" w:eastAsia="Arial" w:hAnsi="Times New Roman" w:cs="Times New Roman"/>
          <w:noProof/>
          <w:color w:val="auto"/>
          <w:sz w:val="24"/>
          <w:szCs w:val="24"/>
        </w:rPr>
      </w:sdtEndPr>
      <w:sdtContent>
        <w:p w:rsidR="000A540C" w:rsidRPr="000A540C" w:rsidRDefault="000A540C" w:rsidP="000A540C">
          <w:pPr>
            <w:pStyle w:val="TOCHeading"/>
            <w:spacing w:line="360" w:lineRule="auto"/>
            <w:jc w:val="center"/>
            <w:rPr>
              <w:rFonts w:ascii="Times New Roman" w:hAnsi="Times New Roman" w:cs="Times New Roman"/>
              <w:color w:val="auto"/>
              <w:sz w:val="24"/>
              <w:szCs w:val="24"/>
            </w:rPr>
          </w:pPr>
          <w:r w:rsidRPr="000A540C">
            <w:rPr>
              <w:rFonts w:ascii="Times New Roman" w:hAnsi="Times New Roman" w:cs="Times New Roman"/>
              <w:color w:val="auto"/>
              <w:sz w:val="24"/>
              <w:szCs w:val="24"/>
            </w:rPr>
            <w:t>Table of Contents</w:t>
          </w:r>
        </w:p>
        <w:p w:rsidR="000A540C" w:rsidRPr="000A540C" w:rsidRDefault="000A540C" w:rsidP="000A540C">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rPr>
          </w:pPr>
          <w:r w:rsidRPr="000A540C">
            <w:rPr>
              <w:rFonts w:ascii="Times New Roman" w:hAnsi="Times New Roman" w:cs="Times New Roman"/>
              <w:sz w:val="24"/>
              <w:szCs w:val="24"/>
            </w:rPr>
            <w:fldChar w:fldCharType="begin"/>
          </w:r>
          <w:r w:rsidRPr="000A540C">
            <w:rPr>
              <w:rFonts w:ascii="Times New Roman" w:hAnsi="Times New Roman" w:cs="Times New Roman"/>
              <w:sz w:val="24"/>
              <w:szCs w:val="24"/>
            </w:rPr>
            <w:instrText xml:space="preserve"> TOC \o "1-3" \h \z \u </w:instrText>
          </w:r>
          <w:r w:rsidRPr="000A540C">
            <w:rPr>
              <w:rFonts w:ascii="Times New Roman" w:hAnsi="Times New Roman" w:cs="Times New Roman"/>
              <w:sz w:val="24"/>
              <w:szCs w:val="24"/>
            </w:rPr>
            <w:fldChar w:fldCharType="separate"/>
          </w:r>
          <w:hyperlink w:anchor="_Toc133677416" w:history="1">
            <w:r w:rsidRPr="000A540C">
              <w:rPr>
                <w:rStyle w:val="Hyperlink"/>
                <w:rFonts w:ascii="Times New Roman" w:hAnsi="Times New Roman" w:cs="Times New Roman"/>
                <w:noProof/>
                <w:sz w:val="24"/>
                <w:szCs w:val="24"/>
                <w:lang w:val="en-GB"/>
              </w:rPr>
              <w:t>Introduction</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_Toc133677416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4</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17" w:history="1">
            <w:r w:rsidRPr="000A540C">
              <w:rPr>
                <w:rStyle w:val="Hyperlink"/>
                <w:rFonts w:ascii="Times New Roman" w:hAnsi="Times New Roman" w:cs="Times New Roman"/>
                <w:noProof/>
                <w:sz w:val="24"/>
                <w:szCs w:val="24"/>
                <w:lang w:val="en-GB"/>
              </w:rPr>
              <w:t>Task 1</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_Toc133677417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4</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18" w:history="1">
            <w:r w:rsidRPr="000A540C">
              <w:rPr>
                <w:rStyle w:val="Hyperlink"/>
                <w:rFonts w:ascii="Times New Roman" w:hAnsi="Times New Roman" w:cs="Times New Roman"/>
                <w:noProof/>
                <w:sz w:val="24"/>
                <w:szCs w:val="24"/>
                <w:lang w:val="en-GB"/>
              </w:rPr>
              <w:t>(a) Determining the recent developments in the financial and legal/regulatory the environment of Health and social care service Delivery</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_Toc133677418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4</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19" w:history="1">
            <w:r w:rsidRPr="000A540C">
              <w:rPr>
                <w:rStyle w:val="Hyperlink"/>
                <w:rFonts w:ascii="Times New Roman" w:hAnsi="Times New Roman" w:cs="Times New Roman"/>
                <w:noProof/>
                <w:sz w:val="24"/>
                <w:szCs w:val="24"/>
                <w:lang w:val="en-GB"/>
              </w:rPr>
              <w:t>(b) Elaborating the usefulness of 3 alternative funding options and mentioning which is best for the health and social care sectors</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_Toc133677419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5</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20" w:history="1">
            <w:r w:rsidRPr="000A540C">
              <w:rPr>
                <w:rStyle w:val="Hyperlink"/>
                <w:rFonts w:ascii="Times New Roman" w:hAnsi="Times New Roman" w:cs="Times New Roman"/>
                <w:noProof/>
                <w:sz w:val="24"/>
                <w:szCs w:val="24"/>
              </w:rPr>
              <w:t>Task 2:</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_Toc133677420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6</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21" w:history="1">
            <w:r w:rsidRPr="000A540C">
              <w:rPr>
                <w:rStyle w:val="Hyperlink"/>
                <w:rFonts w:ascii="Times New Roman" w:hAnsi="Times New Roman" w:cs="Times New Roman"/>
                <w:noProof/>
                <w:sz w:val="24"/>
                <w:szCs w:val="24"/>
              </w:rPr>
              <w:t>a) Reviewing BUPA Group’s financial statements and evaluation of the business profitability</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_Toc133677421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6</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3"/>
            <w:tabs>
              <w:tab w:val="right" w:leader="dot" w:pos="9350"/>
            </w:tabs>
            <w:spacing w:line="360" w:lineRule="auto"/>
            <w:jc w:val="both"/>
            <w:rPr>
              <w:rFonts w:ascii="Times New Roman" w:hAnsi="Times New Roman" w:cs="Times New Roman"/>
              <w:noProof/>
              <w:sz w:val="24"/>
              <w:szCs w:val="24"/>
            </w:rPr>
          </w:pPr>
          <w:hyperlink w:anchor="_Toc133677422" w:history="1">
            <w:r w:rsidRPr="000A540C">
              <w:rPr>
                <w:rStyle w:val="Hyperlink"/>
                <w:rFonts w:ascii="Times New Roman" w:hAnsi="Times New Roman" w:cs="Times New Roman"/>
                <w:noProof/>
                <w:sz w:val="24"/>
                <w:szCs w:val="24"/>
              </w:rPr>
              <w:t>(i) Determine and evaluate DU Pont Analysis for 2020 and 2021</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_Toc133677422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6</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3"/>
            <w:tabs>
              <w:tab w:val="right" w:leader="dot" w:pos="9350"/>
            </w:tabs>
            <w:spacing w:line="360" w:lineRule="auto"/>
            <w:jc w:val="both"/>
            <w:rPr>
              <w:rFonts w:ascii="Times New Roman" w:hAnsi="Times New Roman" w:cs="Times New Roman"/>
              <w:noProof/>
              <w:sz w:val="24"/>
              <w:szCs w:val="24"/>
            </w:rPr>
          </w:pPr>
          <w:hyperlink w:anchor="_Toc133677423" w:history="1">
            <w:r w:rsidRPr="000A540C">
              <w:rPr>
                <w:rStyle w:val="Hyperlink"/>
                <w:rFonts w:ascii="Times New Roman" w:hAnsi="Times New Roman" w:cs="Times New Roman"/>
                <w:noProof/>
                <w:sz w:val="24"/>
                <w:szCs w:val="24"/>
              </w:rPr>
              <w:t>(ii) Utilisation of DU Pont Analysis in decision-making and ensuring business viable</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_Toc133677423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7</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24" w:history="1">
            <w:r w:rsidRPr="000A540C">
              <w:rPr>
                <w:rStyle w:val="Hyperlink"/>
                <w:rFonts w:ascii="Times New Roman" w:hAnsi="Times New Roman" w:cs="Times New Roman"/>
                <w:noProof/>
                <w:sz w:val="24"/>
                <w:szCs w:val="24"/>
              </w:rPr>
              <w:t>b) Accessing investment options and ensuring suggestions with justification</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_Toc133677424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8</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25" w:history="1">
            <w:r w:rsidRPr="000A540C">
              <w:rPr>
                <w:rStyle w:val="Hyperlink"/>
                <w:rFonts w:ascii="Times New Roman" w:hAnsi="Times New Roman" w:cs="Times New Roman"/>
                <w:noProof/>
                <w:sz w:val="24"/>
                <w:szCs w:val="24"/>
              </w:rPr>
              <w:t>Task 3:</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_Toc133677425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9</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26" w:history="1">
            <w:r w:rsidRPr="000A540C">
              <w:rPr>
                <w:rStyle w:val="Hyperlink"/>
                <w:rFonts w:ascii="Times New Roman" w:hAnsi="Times New Roman" w:cs="Times New Roman"/>
                <w:noProof/>
                <w:sz w:val="24"/>
                <w:szCs w:val="24"/>
              </w:rPr>
              <w:t>(a) Process to develop financial statement</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_Toc133677426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9</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27" w:history="1">
            <w:r w:rsidRPr="000A540C">
              <w:rPr>
                <w:rStyle w:val="Hyperlink"/>
                <w:rFonts w:ascii="Times New Roman" w:hAnsi="Times New Roman" w:cs="Times New Roman"/>
                <w:noProof/>
                <w:sz w:val="24"/>
                <w:szCs w:val="24"/>
              </w:rPr>
              <w:t>(b) Calculation of debt ratio and comprise company’s solvency position statement</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_Toc133677427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10</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28" w:history="1">
            <w:r w:rsidRPr="000A540C">
              <w:rPr>
                <w:rStyle w:val="Hyperlink"/>
                <w:rFonts w:ascii="Times New Roman" w:hAnsi="Times New Roman" w:cs="Times New Roman"/>
                <w:noProof/>
                <w:sz w:val="24"/>
                <w:szCs w:val="24"/>
                <w:lang w:val="en-GB"/>
              </w:rPr>
              <w:t xml:space="preserve">(c) Appraising the role of the traditional finance function in healthcare </w:t>
            </w:r>
            <w:r w:rsidRPr="000A540C">
              <w:rPr>
                <w:rStyle w:val="Hyperlink"/>
                <w:rFonts w:ascii="Times New Roman" w:hAnsi="Times New Roman" w:cs="Times New Roman"/>
                <w:noProof/>
                <w:sz w:val="24"/>
                <w:szCs w:val="24"/>
              </w:rPr>
              <w:t>Organisations</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_Toc133677428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11</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29" w:history="1">
            <w:r w:rsidRPr="000A540C">
              <w:rPr>
                <w:rStyle w:val="Hyperlink"/>
                <w:rFonts w:ascii="Times New Roman" w:hAnsi="Times New Roman" w:cs="Times New Roman"/>
                <w:noProof/>
                <w:sz w:val="24"/>
                <w:szCs w:val="24"/>
                <w:lang w:val="en-GB"/>
              </w:rPr>
              <w:t>Conclusion</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_Toc133677429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12</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30" w:history="1">
            <w:r w:rsidRPr="000A540C">
              <w:rPr>
                <w:rStyle w:val="Hyperlink"/>
                <w:rFonts w:ascii="Times New Roman" w:hAnsi="Times New Roman" w:cs="Times New Roman"/>
                <w:noProof/>
                <w:sz w:val="24"/>
                <w:szCs w:val="24"/>
                <w:lang w:val="en-GB"/>
              </w:rPr>
              <w:t>References</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_Toc133677430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13</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31" w:history="1">
            <w:r w:rsidRPr="000A540C">
              <w:rPr>
                <w:rStyle w:val="Hyperlink"/>
                <w:rFonts w:ascii="Times New Roman" w:hAnsi="Times New Roman" w:cs="Times New Roman"/>
                <w:noProof/>
                <w:sz w:val="24"/>
                <w:szCs w:val="24"/>
                <w:lang w:val="en-GB"/>
              </w:rPr>
              <w:t>Appendix</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_Toc133677431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16</w:t>
            </w:r>
            <w:r w:rsidRPr="000A540C">
              <w:rPr>
                <w:rFonts w:ascii="Times New Roman" w:hAnsi="Times New Roman" w:cs="Times New Roman"/>
                <w:noProof/>
                <w:webHidden/>
                <w:sz w:val="24"/>
                <w:szCs w:val="24"/>
              </w:rPr>
              <w:fldChar w:fldCharType="end"/>
            </w:r>
          </w:hyperlink>
        </w:p>
        <w:p w:rsidR="000A540C" w:rsidRPr="000A540C" w:rsidRDefault="000A540C" w:rsidP="000A540C">
          <w:pPr>
            <w:pStyle w:val="TOC2"/>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3677432" w:history="1">
            <w:r w:rsidRPr="000A540C">
              <w:rPr>
                <w:rStyle w:val="Hyperlink"/>
                <w:rFonts w:ascii="Times New Roman" w:hAnsi="Times New Roman" w:cs="Times New Roman"/>
                <w:noProof/>
                <w:sz w:val="24"/>
                <w:szCs w:val="24"/>
                <w:lang w:val="en-GB"/>
              </w:rPr>
              <w:t>DU Pont Analysis</w:t>
            </w:r>
            <w:r w:rsidRPr="000A540C">
              <w:rPr>
                <w:rFonts w:ascii="Times New Roman" w:hAnsi="Times New Roman" w:cs="Times New Roman"/>
                <w:noProof/>
                <w:webHidden/>
                <w:sz w:val="24"/>
                <w:szCs w:val="24"/>
              </w:rPr>
              <w:tab/>
            </w:r>
            <w:r w:rsidRPr="000A540C">
              <w:rPr>
                <w:rFonts w:ascii="Times New Roman" w:hAnsi="Times New Roman" w:cs="Times New Roman"/>
                <w:noProof/>
                <w:webHidden/>
                <w:sz w:val="24"/>
                <w:szCs w:val="24"/>
              </w:rPr>
              <w:fldChar w:fldCharType="begin"/>
            </w:r>
            <w:r w:rsidRPr="000A540C">
              <w:rPr>
                <w:rFonts w:ascii="Times New Roman" w:hAnsi="Times New Roman" w:cs="Times New Roman"/>
                <w:noProof/>
                <w:webHidden/>
                <w:sz w:val="24"/>
                <w:szCs w:val="24"/>
              </w:rPr>
              <w:instrText xml:space="preserve"> PAGEREF _Toc133677432 \h </w:instrText>
            </w:r>
            <w:r w:rsidRPr="000A540C">
              <w:rPr>
                <w:rFonts w:ascii="Times New Roman" w:hAnsi="Times New Roman" w:cs="Times New Roman"/>
                <w:noProof/>
                <w:webHidden/>
                <w:sz w:val="24"/>
                <w:szCs w:val="24"/>
              </w:rPr>
            </w:r>
            <w:r w:rsidRPr="000A540C">
              <w:rPr>
                <w:rFonts w:ascii="Times New Roman" w:hAnsi="Times New Roman" w:cs="Times New Roman"/>
                <w:noProof/>
                <w:webHidden/>
                <w:sz w:val="24"/>
                <w:szCs w:val="24"/>
              </w:rPr>
              <w:fldChar w:fldCharType="separate"/>
            </w:r>
            <w:r w:rsidRPr="000A540C">
              <w:rPr>
                <w:rFonts w:ascii="Times New Roman" w:hAnsi="Times New Roman" w:cs="Times New Roman"/>
                <w:noProof/>
                <w:webHidden/>
                <w:sz w:val="24"/>
                <w:szCs w:val="24"/>
              </w:rPr>
              <w:t>16</w:t>
            </w:r>
            <w:r w:rsidRPr="000A540C">
              <w:rPr>
                <w:rFonts w:ascii="Times New Roman" w:hAnsi="Times New Roman" w:cs="Times New Roman"/>
                <w:noProof/>
                <w:webHidden/>
                <w:sz w:val="24"/>
                <w:szCs w:val="24"/>
              </w:rPr>
              <w:fldChar w:fldCharType="end"/>
            </w:r>
          </w:hyperlink>
        </w:p>
        <w:p w:rsidR="000A540C" w:rsidRPr="000A540C" w:rsidRDefault="000A540C" w:rsidP="000A540C">
          <w:pPr>
            <w:spacing w:line="360" w:lineRule="auto"/>
            <w:jc w:val="both"/>
            <w:rPr>
              <w:rFonts w:ascii="Times New Roman" w:hAnsi="Times New Roman" w:cs="Times New Roman"/>
              <w:sz w:val="24"/>
              <w:szCs w:val="24"/>
            </w:rPr>
          </w:pPr>
          <w:r w:rsidRPr="000A540C">
            <w:rPr>
              <w:rFonts w:ascii="Times New Roman" w:hAnsi="Times New Roman" w:cs="Times New Roman"/>
              <w:b/>
              <w:bCs/>
              <w:noProof/>
              <w:sz w:val="24"/>
              <w:szCs w:val="24"/>
            </w:rPr>
            <w:fldChar w:fldCharType="end"/>
          </w:r>
        </w:p>
      </w:sdtContent>
    </w:sdt>
    <w:p w:rsidR="00C445FE" w:rsidRDefault="00C445FE">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rsidR="0062655D" w:rsidRPr="003D47ED" w:rsidRDefault="00437EBC" w:rsidP="00C445FE">
      <w:pPr>
        <w:pStyle w:val="Heading1"/>
        <w:rPr>
          <w:lang w:val="en-GB"/>
        </w:rPr>
      </w:pPr>
      <w:bookmarkStart w:id="1" w:name="_Toc133665033"/>
      <w:bookmarkStart w:id="2" w:name="_Toc133677416"/>
      <w:r w:rsidRPr="003D47ED">
        <w:rPr>
          <w:lang w:val="en-GB"/>
        </w:rPr>
        <w:lastRenderedPageBreak/>
        <w:t>Introduction</w:t>
      </w:r>
      <w:bookmarkEnd w:id="1"/>
      <w:bookmarkEnd w:id="2"/>
      <w:r w:rsidRPr="003D47ED">
        <w:rPr>
          <w:lang w:val="en-GB"/>
        </w:rPr>
        <w:t xml:space="preserve"> </w:t>
      </w:r>
    </w:p>
    <w:p w:rsidR="0062655D" w:rsidRPr="003D47ED" w:rsidRDefault="00437EBC">
      <w:pPr>
        <w:pStyle w:val="Normal1"/>
        <w:spacing w:line="360" w:lineRule="auto"/>
        <w:jc w:val="both"/>
        <w:rPr>
          <w:rFonts w:ascii="Times New Roman" w:eastAsia="Times New Roman" w:hAnsi="Times New Roman" w:cs="Times New Roman"/>
          <w:sz w:val="24"/>
          <w:szCs w:val="24"/>
          <w:lang w:val="en-GB"/>
        </w:rPr>
      </w:pPr>
      <w:r w:rsidRPr="003D47ED">
        <w:rPr>
          <w:rFonts w:ascii="Times New Roman" w:eastAsia="Times New Roman" w:hAnsi="Times New Roman" w:cs="Times New Roman"/>
          <w:sz w:val="24"/>
          <w:szCs w:val="24"/>
          <w:lang w:val="en-GB"/>
        </w:rPr>
        <w:t xml:space="preserve">Fundamentals in health and social care finance refer to the solid grounding of principles that finance </w:t>
      </w:r>
      <w:r w:rsidR="008725B4" w:rsidRPr="003D47ED">
        <w:rPr>
          <w:rFonts w:ascii="Times New Roman" w:eastAsia="Times New Roman" w:hAnsi="Times New Roman" w:cs="Times New Roman"/>
          <w:sz w:val="24"/>
          <w:szCs w:val="24"/>
          <w:lang w:val="en-GB"/>
        </w:rPr>
        <w:t>manager’s</w:t>
      </w:r>
      <w:r w:rsidRPr="003D47ED">
        <w:rPr>
          <w:rFonts w:ascii="Times New Roman" w:eastAsia="Times New Roman" w:hAnsi="Times New Roman" w:cs="Times New Roman"/>
          <w:sz w:val="24"/>
          <w:szCs w:val="24"/>
          <w:lang w:val="en-GB"/>
        </w:rPr>
        <w:t xml:space="preserve"> use for audit activities. In this context, the study focuses on the recent developments in the finance and regulatory environment in healthcare institutions. Moreover, the funding options of healthcare sectors are included in this study. </w:t>
      </w:r>
    </w:p>
    <w:p w:rsidR="0062655D" w:rsidRPr="003D47ED" w:rsidRDefault="003D47ED" w:rsidP="00C445FE">
      <w:pPr>
        <w:pStyle w:val="Heading1"/>
        <w:rPr>
          <w:lang w:val="en-GB"/>
        </w:rPr>
      </w:pPr>
      <w:bookmarkStart w:id="3" w:name="_Toc133665034"/>
      <w:bookmarkStart w:id="4" w:name="_Toc133677417"/>
      <w:r w:rsidRPr="003D47ED">
        <w:rPr>
          <w:lang w:val="en-GB"/>
        </w:rPr>
        <w:t>Task 1</w:t>
      </w:r>
      <w:bookmarkEnd w:id="3"/>
      <w:bookmarkEnd w:id="4"/>
      <w:r w:rsidRPr="003D47ED">
        <w:rPr>
          <w:lang w:val="en-GB"/>
        </w:rPr>
        <w:t xml:space="preserve"> </w:t>
      </w:r>
    </w:p>
    <w:p w:rsidR="0062655D" w:rsidRPr="003D47ED" w:rsidRDefault="00437EBC" w:rsidP="00C445FE">
      <w:pPr>
        <w:pStyle w:val="Heading2"/>
        <w:rPr>
          <w:lang w:val="en-GB"/>
        </w:rPr>
      </w:pPr>
      <w:bookmarkStart w:id="5" w:name="_Toc133665035"/>
      <w:bookmarkStart w:id="6" w:name="_Toc133677418"/>
      <w:r w:rsidRPr="003D47ED">
        <w:rPr>
          <w:lang w:val="en-GB"/>
        </w:rPr>
        <w:t xml:space="preserve">(a) </w:t>
      </w:r>
      <w:r w:rsidR="008725B4" w:rsidRPr="003D47ED">
        <w:rPr>
          <w:lang w:val="en-GB"/>
        </w:rPr>
        <w:t>Determining the</w:t>
      </w:r>
      <w:r w:rsidRPr="003D47ED">
        <w:rPr>
          <w:lang w:val="en-GB"/>
        </w:rPr>
        <w:t xml:space="preserve"> recent developments in the financial and legal/regulatory the environment of Health and social care service Deliver</w:t>
      </w:r>
      <w:r w:rsidR="003D47ED" w:rsidRPr="003D47ED">
        <w:rPr>
          <w:lang w:val="en-GB"/>
        </w:rPr>
        <w:t>y</w:t>
      </w:r>
      <w:bookmarkEnd w:id="5"/>
      <w:bookmarkEnd w:id="6"/>
      <w:r w:rsidR="003D47ED" w:rsidRPr="003D47ED">
        <w:rPr>
          <w:lang w:val="en-GB"/>
        </w:rPr>
        <w:t xml:space="preserve"> </w:t>
      </w:r>
    </w:p>
    <w:p w:rsidR="0062655D" w:rsidRPr="003D47ED" w:rsidRDefault="00437EBC">
      <w:pPr>
        <w:pStyle w:val="Normal1"/>
        <w:spacing w:line="360" w:lineRule="auto"/>
        <w:jc w:val="both"/>
        <w:rPr>
          <w:rFonts w:ascii="Times New Roman" w:eastAsia="Times New Roman" w:hAnsi="Times New Roman" w:cs="Times New Roman"/>
          <w:b/>
          <w:sz w:val="24"/>
          <w:szCs w:val="24"/>
          <w:lang w:val="en-GB"/>
        </w:rPr>
      </w:pPr>
      <w:r w:rsidRPr="003D47ED">
        <w:rPr>
          <w:rFonts w:ascii="Times New Roman" w:eastAsia="Times New Roman" w:hAnsi="Times New Roman" w:cs="Times New Roman"/>
          <w:b/>
          <w:sz w:val="24"/>
          <w:szCs w:val="24"/>
          <w:lang w:val="en-GB"/>
        </w:rPr>
        <w:t xml:space="preserve">Financial development </w:t>
      </w:r>
    </w:p>
    <w:p w:rsidR="0062655D" w:rsidRPr="003D47ED" w:rsidRDefault="00437EBC">
      <w:pPr>
        <w:pStyle w:val="Normal1"/>
        <w:spacing w:line="360" w:lineRule="auto"/>
        <w:jc w:val="both"/>
        <w:rPr>
          <w:rFonts w:ascii="Times New Roman" w:eastAsia="Times New Roman" w:hAnsi="Times New Roman" w:cs="Times New Roman"/>
          <w:sz w:val="24"/>
          <w:szCs w:val="24"/>
          <w:lang w:val="en-GB"/>
        </w:rPr>
      </w:pPr>
      <w:r w:rsidRPr="003D47ED">
        <w:rPr>
          <w:rFonts w:ascii="Times New Roman" w:eastAsia="Times New Roman" w:hAnsi="Times New Roman" w:cs="Times New Roman"/>
          <w:sz w:val="24"/>
          <w:szCs w:val="24"/>
          <w:lang w:val="en-GB"/>
        </w:rPr>
        <w:t xml:space="preserve">The recent developments in healthcare services rely on the activities of the government and private sectors on health care services. As per the discussion by </w:t>
      </w:r>
      <w:proofErr w:type="spellStart"/>
      <w:r w:rsidRPr="003D47ED">
        <w:rPr>
          <w:rFonts w:ascii="Times New Roman" w:eastAsia="Times New Roman" w:hAnsi="Times New Roman" w:cs="Times New Roman"/>
          <w:sz w:val="24"/>
          <w:szCs w:val="24"/>
          <w:lang w:val="en-GB"/>
        </w:rPr>
        <w:t>Pazarbasioglu</w:t>
      </w:r>
      <w:proofErr w:type="spellEnd"/>
      <w:r w:rsidRPr="003D47ED">
        <w:rPr>
          <w:rFonts w:ascii="Times New Roman" w:eastAsia="Times New Roman" w:hAnsi="Times New Roman" w:cs="Times New Roman"/>
          <w:sz w:val="24"/>
          <w:szCs w:val="24"/>
          <w:lang w:val="en-GB"/>
        </w:rPr>
        <w:t xml:space="preserve"> </w:t>
      </w:r>
      <w:r w:rsidRPr="003D47ED">
        <w:rPr>
          <w:rFonts w:ascii="Times New Roman" w:eastAsia="Times New Roman" w:hAnsi="Times New Roman" w:cs="Times New Roman"/>
          <w:i/>
          <w:sz w:val="24"/>
          <w:szCs w:val="24"/>
          <w:lang w:val="en-GB"/>
        </w:rPr>
        <w:t>et al.,</w:t>
      </w:r>
      <w:r w:rsidRPr="003D47ED">
        <w:rPr>
          <w:rFonts w:ascii="Times New Roman" w:eastAsia="Times New Roman" w:hAnsi="Times New Roman" w:cs="Times New Roman"/>
          <w:sz w:val="24"/>
          <w:szCs w:val="24"/>
          <w:lang w:val="en-GB"/>
        </w:rPr>
        <w:t xml:space="preserve"> (2020), innovation in payments is an important development in healthcare services in terms of accessing payments at the proper time. In this context, the healthcare sectors have included the </w:t>
      </w:r>
      <w:r w:rsidRPr="003D47ED">
        <w:rPr>
          <w:rFonts w:ascii="Times New Roman" w:eastAsia="Times New Roman" w:hAnsi="Times New Roman" w:cs="Times New Roman"/>
          <w:b/>
          <w:i/>
          <w:sz w:val="24"/>
          <w:szCs w:val="24"/>
          <w:lang w:val="en-GB"/>
        </w:rPr>
        <w:t>digitisation process</w:t>
      </w:r>
      <w:r w:rsidRPr="003D47ED">
        <w:rPr>
          <w:rFonts w:ascii="Times New Roman" w:eastAsia="Times New Roman" w:hAnsi="Times New Roman" w:cs="Times New Roman"/>
          <w:sz w:val="24"/>
          <w:szCs w:val="24"/>
          <w:lang w:val="en-GB"/>
        </w:rPr>
        <w:t xml:space="preserve"> in their services to collect payments from patients online. The healthcare sectors have adopted the </w:t>
      </w:r>
      <w:r w:rsidRPr="003D47ED">
        <w:rPr>
          <w:rFonts w:ascii="Times New Roman" w:eastAsia="Times New Roman" w:hAnsi="Times New Roman" w:cs="Times New Roman"/>
          <w:b/>
          <w:i/>
          <w:sz w:val="24"/>
          <w:szCs w:val="24"/>
          <w:lang w:val="en-GB"/>
        </w:rPr>
        <w:t>QR code system</w:t>
      </w:r>
      <w:r w:rsidRPr="003D47ED">
        <w:rPr>
          <w:rFonts w:ascii="Times New Roman" w:eastAsia="Times New Roman" w:hAnsi="Times New Roman" w:cs="Times New Roman"/>
          <w:sz w:val="24"/>
          <w:szCs w:val="24"/>
          <w:lang w:val="en-GB"/>
        </w:rPr>
        <w:t xml:space="preserve"> for collecting payments from patients. Moreover, the inclusion of innovation is a beneficial factor for the healthcare sector in terms of gathering funds from investors online. Thus, the development of payment options provides opportunities for the healthcare system in managing transactions effectively. </w:t>
      </w:r>
    </w:p>
    <w:p w:rsidR="0062655D" w:rsidRPr="003D47ED" w:rsidRDefault="00437EBC">
      <w:pPr>
        <w:pStyle w:val="Normal1"/>
        <w:spacing w:line="360" w:lineRule="auto"/>
        <w:jc w:val="both"/>
        <w:rPr>
          <w:rFonts w:ascii="Times New Roman" w:eastAsia="Times New Roman" w:hAnsi="Times New Roman" w:cs="Times New Roman"/>
          <w:sz w:val="24"/>
          <w:szCs w:val="24"/>
          <w:lang w:val="en-GB"/>
        </w:rPr>
      </w:pPr>
      <w:proofErr w:type="spellStart"/>
      <w:r w:rsidRPr="003D47ED">
        <w:rPr>
          <w:rFonts w:ascii="Times New Roman" w:eastAsia="Times New Roman" w:hAnsi="Times New Roman" w:cs="Times New Roman"/>
          <w:sz w:val="24"/>
          <w:szCs w:val="24"/>
          <w:lang w:val="en-GB"/>
        </w:rPr>
        <w:t>Covid</w:t>
      </w:r>
      <w:proofErr w:type="spellEnd"/>
      <w:r w:rsidRPr="003D47ED">
        <w:rPr>
          <w:rFonts w:ascii="Times New Roman" w:eastAsia="Times New Roman" w:hAnsi="Times New Roman" w:cs="Times New Roman"/>
          <w:sz w:val="24"/>
          <w:szCs w:val="24"/>
          <w:lang w:val="en-GB"/>
        </w:rPr>
        <w:t xml:space="preserve"> 19 plays a crucial role in the healthcare sector in terms of developing financial activities online. As per the findings of </w:t>
      </w:r>
      <w:proofErr w:type="spellStart"/>
      <w:r w:rsidRPr="003D47ED">
        <w:rPr>
          <w:rFonts w:ascii="Times New Roman" w:eastAsia="Times New Roman" w:hAnsi="Times New Roman" w:cs="Times New Roman"/>
          <w:sz w:val="24"/>
          <w:szCs w:val="24"/>
          <w:lang w:val="en-GB"/>
        </w:rPr>
        <w:t>Evstafyeva</w:t>
      </w:r>
      <w:proofErr w:type="spellEnd"/>
      <w:r w:rsidRPr="003D47ED">
        <w:rPr>
          <w:rFonts w:ascii="Times New Roman" w:eastAsia="Times New Roman" w:hAnsi="Times New Roman" w:cs="Times New Roman"/>
          <w:sz w:val="24"/>
          <w:szCs w:val="24"/>
          <w:lang w:val="en-GB"/>
        </w:rPr>
        <w:t xml:space="preserve"> </w:t>
      </w:r>
      <w:r w:rsidRPr="003D47ED">
        <w:rPr>
          <w:rFonts w:ascii="Times New Roman" w:eastAsia="Times New Roman" w:hAnsi="Times New Roman" w:cs="Times New Roman"/>
          <w:i/>
          <w:sz w:val="24"/>
          <w:szCs w:val="24"/>
          <w:lang w:val="en-GB"/>
        </w:rPr>
        <w:t>et al.,</w:t>
      </w:r>
      <w:r w:rsidRPr="003D47ED">
        <w:rPr>
          <w:rFonts w:ascii="Times New Roman" w:eastAsia="Times New Roman" w:hAnsi="Times New Roman" w:cs="Times New Roman"/>
          <w:sz w:val="24"/>
          <w:szCs w:val="24"/>
          <w:lang w:val="en-GB"/>
        </w:rPr>
        <w:t xml:space="preserve"> (2019), the inclusion of digitisation helps in improving the financial process in healthcare workplaces. In this context, healthcare sectors are moving from traditional finance to digital finance in order to stabilise the economy more strongly. Thus, financial development through adopting digital culture can be an appropriate development for the healthcare sectors in order to improve health and social care services. </w:t>
      </w:r>
    </w:p>
    <w:p w:rsidR="0062655D" w:rsidRPr="003D47ED" w:rsidRDefault="00437EBC">
      <w:pPr>
        <w:pStyle w:val="Normal1"/>
        <w:spacing w:line="360" w:lineRule="auto"/>
        <w:jc w:val="both"/>
        <w:rPr>
          <w:rFonts w:ascii="Times New Roman" w:eastAsia="Times New Roman" w:hAnsi="Times New Roman" w:cs="Times New Roman"/>
          <w:b/>
          <w:sz w:val="24"/>
          <w:szCs w:val="24"/>
          <w:lang w:val="en-GB"/>
        </w:rPr>
      </w:pPr>
      <w:r w:rsidRPr="003D47ED">
        <w:rPr>
          <w:rFonts w:ascii="Times New Roman" w:eastAsia="Times New Roman" w:hAnsi="Times New Roman" w:cs="Times New Roman"/>
          <w:b/>
          <w:sz w:val="24"/>
          <w:szCs w:val="24"/>
          <w:lang w:val="en-GB"/>
        </w:rPr>
        <w:t>Legal development</w:t>
      </w:r>
    </w:p>
    <w:p w:rsidR="0062655D" w:rsidRPr="003D47ED" w:rsidRDefault="00437EBC">
      <w:pPr>
        <w:pStyle w:val="Normal1"/>
        <w:spacing w:line="360" w:lineRule="auto"/>
        <w:jc w:val="both"/>
        <w:rPr>
          <w:rFonts w:ascii="Times New Roman" w:eastAsia="Times New Roman" w:hAnsi="Times New Roman" w:cs="Times New Roman"/>
          <w:sz w:val="24"/>
          <w:szCs w:val="24"/>
          <w:lang w:val="en-GB"/>
        </w:rPr>
      </w:pPr>
      <w:r w:rsidRPr="003D47ED">
        <w:rPr>
          <w:rFonts w:ascii="Times New Roman" w:eastAsia="Times New Roman" w:hAnsi="Times New Roman" w:cs="Times New Roman"/>
          <w:sz w:val="24"/>
          <w:szCs w:val="24"/>
          <w:lang w:val="en-GB"/>
        </w:rPr>
        <w:t>The development of the “</w:t>
      </w:r>
      <w:r w:rsidRPr="003D47ED">
        <w:rPr>
          <w:rFonts w:ascii="Times New Roman" w:eastAsia="Times New Roman" w:hAnsi="Times New Roman" w:cs="Times New Roman"/>
          <w:b/>
          <w:i/>
          <w:sz w:val="24"/>
          <w:szCs w:val="24"/>
          <w:lang w:val="en-GB"/>
        </w:rPr>
        <w:t xml:space="preserve">Inflation Reduction Act” (IRA) </w:t>
      </w:r>
      <w:r w:rsidRPr="003D47ED">
        <w:rPr>
          <w:rFonts w:ascii="Times New Roman" w:eastAsia="Times New Roman" w:hAnsi="Times New Roman" w:cs="Times New Roman"/>
          <w:sz w:val="24"/>
          <w:szCs w:val="24"/>
          <w:lang w:val="en-GB"/>
        </w:rPr>
        <w:t xml:space="preserve">is an important regulatory change by the governments in terms of improving healthcare services through drug reform. As observed by Rome </w:t>
      </w:r>
      <w:r w:rsidRPr="003D47ED">
        <w:rPr>
          <w:rFonts w:ascii="Times New Roman" w:eastAsia="Times New Roman" w:hAnsi="Times New Roman" w:cs="Times New Roman"/>
          <w:i/>
          <w:sz w:val="24"/>
          <w:szCs w:val="24"/>
          <w:lang w:val="en-GB"/>
        </w:rPr>
        <w:t>et al.,</w:t>
      </w:r>
      <w:r w:rsidRPr="003D47ED">
        <w:rPr>
          <w:rFonts w:ascii="Times New Roman" w:eastAsia="Times New Roman" w:hAnsi="Times New Roman" w:cs="Times New Roman"/>
          <w:sz w:val="24"/>
          <w:szCs w:val="24"/>
          <w:lang w:val="en-GB"/>
        </w:rPr>
        <w:t xml:space="preserve"> (2023), the IRA includes the drug pricing reform section for improving the Medicare programme effectively. In this context, the developed IRA states that the Medicare programme </w:t>
      </w:r>
      <w:r w:rsidRPr="003D47ED">
        <w:rPr>
          <w:rFonts w:ascii="Times New Roman" w:eastAsia="Times New Roman" w:hAnsi="Times New Roman" w:cs="Times New Roman"/>
          <w:sz w:val="24"/>
          <w:szCs w:val="24"/>
          <w:lang w:val="en-GB"/>
        </w:rPr>
        <w:lastRenderedPageBreak/>
        <w:t xml:space="preserve">will pay for the prescribed drugs to the patients. Therefore, it can be beneficial for the patients due to the reform of drug pricing development under the IRA. </w:t>
      </w:r>
    </w:p>
    <w:p w:rsidR="0062655D" w:rsidRPr="003D47ED" w:rsidRDefault="00437EBC" w:rsidP="00C445FE">
      <w:pPr>
        <w:pStyle w:val="Heading2"/>
        <w:rPr>
          <w:lang w:val="en-GB"/>
        </w:rPr>
      </w:pPr>
      <w:bookmarkStart w:id="7" w:name="_Toc133665036"/>
      <w:bookmarkStart w:id="8" w:name="_Toc133677419"/>
      <w:r w:rsidRPr="003D47ED">
        <w:rPr>
          <w:lang w:val="en-GB"/>
        </w:rPr>
        <w:t xml:space="preserve">(b) Elaborating the usefulness of 3 alternative funding options and mentioning which is </w:t>
      </w:r>
      <w:r w:rsidR="008725B4" w:rsidRPr="003D47ED">
        <w:rPr>
          <w:lang w:val="en-GB"/>
        </w:rPr>
        <w:t>best for</w:t>
      </w:r>
      <w:r w:rsidRPr="003D47ED">
        <w:rPr>
          <w:lang w:val="en-GB"/>
        </w:rPr>
        <w:t xml:space="preserve"> the he</w:t>
      </w:r>
      <w:r w:rsidR="003D47ED" w:rsidRPr="003D47ED">
        <w:rPr>
          <w:lang w:val="en-GB"/>
        </w:rPr>
        <w:t>alth and social care sectors</w:t>
      </w:r>
      <w:bookmarkEnd w:id="7"/>
      <w:bookmarkEnd w:id="8"/>
      <w:r w:rsidR="003D47ED" w:rsidRPr="003D47ED">
        <w:rPr>
          <w:lang w:val="en-GB"/>
        </w:rPr>
        <w:t xml:space="preserve"> </w:t>
      </w:r>
    </w:p>
    <w:p w:rsidR="0062655D" w:rsidRPr="003D47ED" w:rsidRDefault="00437EBC">
      <w:pPr>
        <w:pStyle w:val="Normal1"/>
        <w:spacing w:line="360" w:lineRule="auto"/>
        <w:jc w:val="both"/>
        <w:rPr>
          <w:rFonts w:ascii="Times New Roman" w:eastAsia="Times New Roman" w:hAnsi="Times New Roman" w:cs="Times New Roman"/>
          <w:sz w:val="24"/>
          <w:szCs w:val="24"/>
          <w:lang w:val="en-GB"/>
        </w:rPr>
      </w:pPr>
      <w:r w:rsidRPr="003D47ED">
        <w:rPr>
          <w:rFonts w:ascii="Times New Roman" w:eastAsia="Times New Roman" w:hAnsi="Times New Roman" w:cs="Times New Roman"/>
          <w:sz w:val="24"/>
          <w:szCs w:val="24"/>
          <w:lang w:val="en-GB"/>
        </w:rPr>
        <w:t xml:space="preserve">It is important to elaborate on the funding option of healthcare institutions in order to demonstrate the effective way to stabilise economic conditions. As per the study by </w:t>
      </w:r>
      <w:proofErr w:type="spellStart"/>
      <w:r w:rsidRPr="003D47ED">
        <w:rPr>
          <w:rFonts w:ascii="Times New Roman" w:eastAsia="Times New Roman" w:hAnsi="Times New Roman" w:cs="Times New Roman"/>
          <w:sz w:val="24"/>
          <w:szCs w:val="24"/>
          <w:lang w:val="en-GB"/>
        </w:rPr>
        <w:t>Grilli</w:t>
      </w:r>
      <w:proofErr w:type="spellEnd"/>
      <w:r w:rsidRPr="003D47ED">
        <w:rPr>
          <w:rFonts w:ascii="Times New Roman" w:eastAsia="Times New Roman" w:hAnsi="Times New Roman" w:cs="Times New Roman"/>
          <w:sz w:val="24"/>
          <w:szCs w:val="24"/>
          <w:lang w:val="en-GB"/>
        </w:rPr>
        <w:t xml:space="preserve"> </w:t>
      </w:r>
      <w:r w:rsidRPr="003D47ED">
        <w:rPr>
          <w:rFonts w:ascii="Times New Roman" w:eastAsia="Times New Roman" w:hAnsi="Times New Roman" w:cs="Times New Roman"/>
          <w:i/>
          <w:sz w:val="24"/>
          <w:szCs w:val="24"/>
          <w:lang w:val="en-GB"/>
        </w:rPr>
        <w:t xml:space="preserve">et al., </w:t>
      </w:r>
      <w:r w:rsidRPr="003D47ED">
        <w:rPr>
          <w:rFonts w:ascii="Times New Roman" w:eastAsia="Times New Roman" w:hAnsi="Times New Roman" w:cs="Times New Roman"/>
          <w:sz w:val="24"/>
          <w:szCs w:val="24"/>
          <w:lang w:val="en-GB"/>
        </w:rPr>
        <w:t xml:space="preserve">(2019), there are three types of funding such as </w:t>
      </w:r>
      <w:r w:rsidRPr="003D47ED">
        <w:rPr>
          <w:rFonts w:ascii="Times New Roman" w:eastAsia="Times New Roman" w:hAnsi="Times New Roman" w:cs="Times New Roman"/>
          <w:b/>
          <w:i/>
          <w:sz w:val="24"/>
          <w:szCs w:val="24"/>
          <w:lang w:val="en-GB"/>
        </w:rPr>
        <w:t>general taxation, venture capitalists and medical insurance</w:t>
      </w:r>
      <w:r w:rsidRPr="003D47ED">
        <w:rPr>
          <w:rFonts w:ascii="Times New Roman" w:eastAsia="Times New Roman" w:hAnsi="Times New Roman" w:cs="Times New Roman"/>
          <w:sz w:val="24"/>
          <w:szCs w:val="24"/>
          <w:lang w:val="en-GB"/>
        </w:rPr>
        <w:t xml:space="preserve">. In this context, the </w:t>
      </w:r>
      <w:r w:rsidRPr="003D47ED">
        <w:rPr>
          <w:rFonts w:ascii="Times New Roman" w:eastAsia="Times New Roman" w:hAnsi="Times New Roman" w:cs="Times New Roman"/>
          <w:b/>
          <w:i/>
          <w:sz w:val="24"/>
          <w:szCs w:val="24"/>
          <w:lang w:val="en-GB"/>
        </w:rPr>
        <w:t>general taxation</w:t>
      </w:r>
      <w:r w:rsidRPr="003D47ED">
        <w:rPr>
          <w:rFonts w:ascii="Times New Roman" w:eastAsia="Times New Roman" w:hAnsi="Times New Roman" w:cs="Times New Roman"/>
          <w:sz w:val="24"/>
          <w:szCs w:val="24"/>
          <w:lang w:val="en-GB"/>
        </w:rPr>
        <w:t xml:space="preserve"> funding process is an effective way for healthcare institutions in accessing funds for health and social care activities. Accordingly, the government receives the general tax from the people to allocate to different departments such as health and social care. Similarly, the health care institutions rely on the budget of the government to access the annual funds through the general taxation method. On the other hand, the decisions over the utilisation of funds from general tax are based on political processes (Campos </w:t>
      </w:r>
      <w:r w:rsidRPr="003D47ED">
        <w:rPr>
          <w:rFonts w:ascii="Times New Roman" w:eastAsia="Times New Roman" w:hAnsi="Times New Roman" w:cs="Times New Roman"/>
          <w:i/>
          <w:sz w:val="24"/>
          <w:szCs w:val="24"/>
          <w:lang w:val="en-GB"/>
        </w:rPr>
        <w:t>et al.,</w:t>
      </w:r>
      <w:r w:rsidRPr="003D47ED">
        <w:rPr>
          <w:rFonts w:ascii="Times New Roman" w:eastAsia="Times New Roman" w:hAnsi="Times New Roman" w:cs="Times New Roman"/>
          <w:sz w:val="24"/>
          <w:szCs w:val="24"/>
          <w:lang w:val="en-GB"/>
        </w:rPr>
        <w:t xml:space="preserve"> 2019). The involvement of political decisions creates often challenges for healthcare institutions in accessing proper funds at a given time. Moreover, the healthcare sector is allowed to depend on the annual revenue for gathering funds from the government. The general tax rate of the UK was 223 billion USS dollars in 2022 (</w:t>
      </w:r>
      <w:proofErr w:type="spellStart"/>
      <w:r w:rsidRPr="003D47ED">
        <w:rPr>
          <w:rFonts w:ascii="Times New Roman" w:eastAsia="Times New Roman" w:hAnsi="Times New Roman" w:cs="Times New Roman"/>
          <w:sz w:val="24"/>
          <w:szCs w:val="24"/>
          <w:lang w:val="en-GB"/>
        </w:rPr>
        <w:t>Statista</w:t>
      </w:r>
      <w:proofErr w:type="spellEnd"/>
      <w:r w:rsidRPr="003D47ED">
        <w:rPr>
          <w:rFonts w:ascii="Times New Roman" w:eastAsia="Times New Roman" w:hAnsi="Times New Roman" w:cs="Times New Roman"/>
          <w:sz w:val="24"/>
          <w:szCs w:val="24"/>
          <w:lang w:val="en-GB"/>
        </w:rPr>
        <w:t xml:space="preserve">, 2023). In addition, general taxation helps the healthcare institutions of the UK to access free Medicare programmes from the government. Hence, it can be said that the general taxation of the government is the primary funding option for healthcare institutions. </w:t>
      </w:r>
    </w:p>
    <w:p w:rsidR="0062655D" w:rsidRPr="003D47ED" w:rsidRDefault="00437EBC">
      <w:pPr>
        <w:pStyle w:val="Normal1"/>
        <w:spacing w:line="360" w:lineRule="auto"/>
        <w:jc w:val="both"/>
        <w:rPr>
          <w:rFonts w:ascii="Times New Roman" w:eastAsia="Times New Roman" w:hAnsi="Times New Roman" w:cs="Times New Roman"/>
          <w:sz w:val="24"/>
          <w:szCs w:val="24"/>
          <w:lang w:val="en-GB"/>
        </w:rPr>
      </w:pPr>
      <w:r w:rsidRPr="003D47ED">
        <w:rPr>
          <w:rFonts w:ascii="Times New Roman" w:eastAsia="Times New Roman" w:hAnsi="Times New Roman" w:cs="Times New Roman"/>
          <w:b/>
          <w:i/>
          <w:sz w:val="24"/>
          <w:szCs w:val="24"/>
          <w:lang w:val="en-GB"/>
        </w:rPr>
        <w:t>Venture capitalism</w:t>
      </w:r>
      <w:r w:rsidRPr="003D47ED">
        <w:rPr>
          <w:rFonts w:ascii="Times New Roman" w:eastAsia="Times New Roman" w:hAnsi="Times New Roman" w:cs="Times New Roman"/>
          <w:sz w:val="24"/>
          <w:szCs w:val="24"/>
          <w:lang w:val="en-GB"/>
        </w:rPr>
        <w:t xml:space="preserve"> refers to the involvement of equity investors in the funding process of healthcare institutions. As per the suggestion by </w:t>
      </w:r>
      <w:proofErr w:type="spellStart"/>
      <w:r w:rsidRPr="003D47ED">
        <w:rPr>
          <w:rFonts w:ascii="Times New Roman" w:eastAsia="Times New Roman" w:hAnsi="Times New Roman" w:cs="Times New Roman"/>
          <w:sz w:val="24"/>
          <w:szCs w:val="24"/>
          <w:lang w:val="en-GB"/>
        </w:rPr>
        <w:t>Sim</w:t>
      </w:r>
      <w:proofErr w:type="spellEnd"/>
      <w:r w:rsidRPr="003D47ED">
        <w:rPr>
          <w:rFonts w:ascii="Times New Roman" w:eastAsia="Times New Roman" w:hAnsi="Times New Roman" w:cs="Times New Roman"/>
          <w:sz w:val="24"/>
          <w:szCs w:val="24"/>
          <w:lang w:val="en-GB"/>
        </w:rPr>
        <w:t xml:space="preserve"> </w:t>
      </w:r>
      <w:r w:rsidRPr="003D47ED">
        <w:rPr>
          <w:rFonts w:ascii="Times New Roman" w:eastAsia="Times New Roman" w:hAnsi="Times New Roman" w:cs="Times New Roman"/>
          <w:i/>
          <w:sz w:val="24"/>
          <w:szCs w:val="24"/>
          <w:lang w:val="en-GB"/>
        </w:rPr>
        <w:t>et al.,</w:t>
      </w:r>
      <w:r w:rsidRPr="003D47ED">
        <w:rPr>
          <w:rFonts w:ascii="Times New Roman" w:eastAsia="Times New Roman" w:hAnsi="Times New Roman" w:cs="Times New Roman"/>
          <w:sz w:val="24"/>
          <w:szCs w:val="24"/>
          <w:lang w:val="en-GB"/>
        </w:rPr>
        <w:t xml:space="preserve"> (2020), the investors provide funds to the healthcare institutions for accessing greater returns in future. In this context, the healthcare institutions join the venture capitalists firms for accessing funds from equity investors to develop health and social care. The venture capitalist market of the world healthcare market was 300 billion dollars in the year 2021 (</w:t>
      </w:r>
      <w:proofErr w:type="spellStart"/>
      <w:r w:rsidRPr="003D47ED">
        <w:rPr>
          <w:rFonts w:ascii="Times New Roman" w:eastAsia="Times New Roman" w:hAnsi="Times New Roman" w:cs="Times New Roman"/>
          <w:sz w:val="24"/>
          <w:szCs w:val="24"/>
          <w:lang w:val="en-GB"/>
        </w:rPr>
        <w:t>Statista</w:t>
      </w:r>
      <w:proofErr w:type="spellEnd"/>
      <w:r w:rsidRPr="003D47ED">
        <w:rPr>
          <w:rFonts w:ascii="Times New Roman" w:eastAsia="Times New Roman" w:hAnsi="Times New Roman" w:cs="Times New Roman"/>
          <w:sz w:val="24"/>
          <w:szCs w:val="24"/>
          <w:lang w:val="en-GB"/>
        </w:rPr>
        <w:t xml:space="preserve">, 2023). Similarly, venture capitalists provide money on some certain interest to the healthcare institutions that the institutions use for developing the healthcare process. Therefore, the venture capitalist is an essential funding option for healthcare institutions. </w:t>
      </w:r>
    </w:p>
    <w:p w:rsidR="0062655D" w:rsidRPr="003D47ED" w:rsidRDefault="00437EBC">
      <w:pPr>
        <w:pStyle w:val="Normal1"/>
        <w:spacing w:line="360" w:lineRule="auto"/>
        <w:jc w:val="both"/>
        <w:rPr>
          <w:rFonts w:ascii="Times New Roman" w:eastAsia="Times New Roman" w:hAnsi="Times New Roman" w:cs="Times New Roman"/>
          <w:sz w:val="24"/>
          <w:szCs w:val="24"/>
          <w:lang w:val="en-GB"/>
        </w:rPr>
      </w:pPr>
      <w:r w:rsidRPr="003D47ED">
        <w:rPr>
          <w:rFonts w:ascii="Times New Roman" w:eastAsia="Times New Roman" w:hAnsi="Times New Roman" w:cs="Times New Roman"/>
          <w:b/>
          <w:i/>
          <w:sz w:val="24"/>
          <w:szCs w:val="24"/>
          <w:lang w:val="en-GB"/>
        </w:rPr>
        <w:t>Medical insurance</w:t>
      </w:r>
      <w:r w:rsidRPr="003D47ED">
        <w:rPr>
          <w:rFonts w:ascii="Times New Roman" w:eastAsia="Times New Roman" w:hAnsi="Times New Roman" w:cs="Times New Roman"/>
          <w:sz w:val="24"/>
          <w:szCs w:val="24"/>
          <w:lang w:val="en-GB"/>
        </w:rPr>
        <w:t xml:space="preserve"> can be taken into consideration as an important funding method for healthcare institutions. As per the evaluation by Goodyear-Smith and Ashton (2019), healthcare institutions earn a huge amount of money from the payment of medical insurance. In this context, the national </w:t>
      </w:r>
      <w:r w:rsidRPr="003D47ED">
        <w:rPr>
          <w:rFonts w:ascii="Times New Roman" w:eastAsia="Times New Roman" w:hAnsi="Times New Roman" w:cs="Times New Roman"/>
          <w:sz w:val="24"/>
          <w:szCs w:val="24"/>
          <w:lang w:val="en-GB"/>
        </w:rPr>
        <w:lastRenderedPageBreak/>
        <w:t xml:space="preserve">investment in medical insurance is the primary way to gather funds for health and care services which helps in covering the financial risks. Accordingly, the establishment of private and social insurance helps to gather funds for healthcare institutions. Hence, the process of private and social medical insurance is a better option for healthcare institutions in gathering funds from the user's payments and transactions. </w:t>
      </w:r>
    </w:p>
    <w:p w:rsidR="0062655D" w:rsidRDefault="00437EBC">
      <w:pPr>
        <w:pStyle w:val="Normal1"/>
        <w:spacing w:line="360" w:lineRule="auto"/>
        <w:jc w:val="both"/>
        <w:rPr>
          <w:rFonts w:ascii="Times New Roman" w:eastAsia="Times New Roman" w:hAnsi="Times New Roman" w:cs="Times New Roman"/>
          <w:sz w:val="24"/>
          <w:szCs w:val="24"/>
          <w:lang w:val="en-GB"/>
        </w:rPr>
      </w:pPr>
      <w:r w:rsidRPr="003D47ED">
        <w:rPr>
          <w:rFonts w:ascii="Times New Roman" w:eastAsia="Times New Roman" w:hAnsi="Times New Roman" w:cs="Times New Roman"/>
          <w:sz w:val="24"/>
          <w:szCs w:val="24"/>
          <w:lang w:val="en-GB"/>
        </w:rPr>
        <w:t>The venture capitalist funding way is more reliable for healthcare instituti</w:t>
      </w:r>
      <w:r w:rsidR="000B27FF">
        <w:rPr>
          <w:rFonts w:ascii="Times New Roman" w:eastAsia="Times New Roman" w:hAnsi="Times New Roman" w:cs="Times New Roman"/>
          <w:sz w:val="24"/>
          <w:szCs w:val="24"/>
          <w:lang w:val="en-GB"/>
        </w:rPr>
        <w:t>ons in comparison to others du</w:t>
      </w:r>
      <w:r w:rsidRPr="003D47ED">
        <w:rPr>
          <w:rFonts w:ascii="Times New Roman" w:eastAsia="Times New Roman" w:hAnsi="Times New Roman" w:cs="Times New Roman"/>
          <w:sz w:val="24"/>
          <w:szCs w:val="24"/>
          <w:lang w:val="en-GB"/>
        </w:rPr>
        <w:t xml:space="preserve">e to lack of fluctuation. As per the observation of Goodyear-Smith and Ashton (2019), healthcare institutions are able to gather funds from equity investors in any situation through venture capitalism. In this context, healthcare institutions face difficulties in the primary taxation process due to fluctuations in tax revenues. Besides, the venture capitalists process never fluctuates for the healthcare institutions which reflects as more reliable than the primary taxation process. Hence, it can be highlighted that healthcare institutions can use the venture capitalists' funding way to develop healthcare services. </w:t>
      </w:r>
    </w:p>
    <w:p w:rsidR="008725B4" w:rsidRPr="00464131" w:rsidRDefault="008725B4" w:rsidP="008725B4">
      <w:pPr>
        <w:pStyle w:val="Heading1"/>
        <w:rPr>
          <w:b w:val="0"/>
        </w:rPr>
      </w:pPr>
      <w:bookmarkStart w:id="9" w:name="_Toc133677420"/>
      <w:r w:rsidRPr="00464131">
        <w:t>Task 2:</w:t>
      </w:r>
      <w:bookmarkEnd w:id="9"/>
    </w:p>
    <w:p w:rsidR="008725B4" w:rsidRPr="00464131" w:rsidRDefault="008725B4" w:rsidP="008725B4">
      <w:pPr>
        <w:pStyle w:val="Heading2"/>
      </w:pPr>
      <w:bookmarkStart w:id="10" w:name="_Toc133677421"/>
      <w:r w:rsidRPr="00464131">
        <w:t>a) Reviewing BUPA Group’s financial statements and evaluation of the business profitability</w:t>
      </w:r>
      <w:bookmarkEnd w:id="10"/>
    </w:p>
    <w:p w:rsidR="008725B4" w:rsidRPr="00464131" w:rsidRDefault="008725B4" w:rsidP="008725B4">
      <w:pPr>
        <w:pStyle w:val="Heading3"/>
      </w:pPr>
      <w:bookmarkStart w:id="11" w:name="_Toc133677422"/>
      <w:r w:rsidRPr="00464131">
        <w:t>(</w:t>
      </w:r>
      <w:proofErr w:type="spellStart"/>
      <w:r w:rsidRPr="00464131">
        <w:t>i</w:t>
      </w:r>
      <w:proofErr w:type="spellEnd"/>
      <w:r w:rsidRPr="00464131">
        <w:t>) Determine and evaluate DU Pont Analysis for 2020 and 2021</w:t>
      </w:r>
      <w:bookmarkEnd w:id="11"/>
      <w:r w:rsidRPr="00464131">
        <w:t xml:space="preserve"> </w:t>
      </w:r>
    </w:p>
    <w:p w:rsidR="008725B4" w:rsidRPr="00464131" w:rsidRDefault="008725B4" w:rsidP="008725B4">
      <w:pPr>
        <w:pStyle w:val="NormalWeb"/>
        <w:spacing w:before="240" w:beforeAutospacing="0" w:after="240" w:afterAutospacing="0" w:line="360" w:lineRule="auto"/>
        <w:jc w:val="both"/>
      </w:pPr>
      <w:r w:rsidRPr="00464131">
        <w:rPr>
          <w:color w:val="000000"/>
        </w:rPr>
        <w:t>The DU Pont Analysis signifies to as an effective tool utilises to access the return on equity (ROE) structure of the company</w:t>
      </w:r>
      <w:r>
        <w:rPr>
          <w:color w:val="000000"/>
        </w:rPr>
        <w:t xml:space="preserve"> by segregating its components (</w:t>
      </w:r>
      <w:proofErr w:type="spellStart"/>
      <w:r w:rsidRPr="00F47EB3">
        <w:rPr>
          <w:color w:val="222222"/>
          <w:shd w:val="clear" w:color="auto" w:fill="FFFFFF"/>
        </w:rPr>
        <w:t>Bhagya</w:t>
      </w:r>
      <w:r>
        <w:rPr>
          <w:color w:val="222222"/>
          <w:shd w:val="clear" w:color="auto" w:fill="FFFFFF"/>
        </w:rPr>
        <w:t>lakshmi</w:t>
      </w:r>
      <w:proofErr w:type="spellEnd"/>
      <w:r>
        <w:rPr>
          <w:color w:val="222222"/>
          <w:shd w:val="clear" w:color="auto" w:fill="FFFFFF"/>
        </w:rPr>
        <w:t xml:space="preserve"> and </w:t>
      </w:r>
      <w:proofErr w:type="spellStart"/>
      <w:r>
        <w:rPr>
          <w:color w:val="222222"/>
          <w:shd w:val="clear" w:color="auto" w:fill="FFFFFF"/>
        </w:rPr>
        <w:t>Saraswathi</w:t>
      </w:r>
      <w:proofErr w:type="spellEnd"/>
      <w:r>
        <w:rPr>
          <w:color w:val="222222"/>
          <w:shd w:val="clear" w:color="auto" w:fill="FFFFFF"/>
        </w:rPr>
        <w:t xml:space="preserve">, </w:t>
      </w:r>
      <w:r w:rsidRPr="00F47EB3">
        <w:rPr>
          <w:color w:val="222222"/>
          <w:shd w:val="clear" w:color="auto" w:fill="FFFFFF"/>
        </w:rPr>
        <w:t>2019</w:t>
      </w:r>
      <w:r>
        <w:rPr>
          <w:color w:val="222222"/>
          <w:shd w:val="clear" w:color="auto" w:fill="FFFFFF"/>
        </w:rPr>
        <w:t>)</w:t>
      </w:r>
      <w:r w:rsidRPr="00464131">
        <w:rPr>
          <w:color w:val="000000"/>
        </w:rPr>
        <w:t>. Considering the provided financial information, the DU Pont Analysis components of BUPA Group for the years 2021 and 2020 are presented as follows.</w:t>
      </w:r>
    </w:p>
    <w:p w:rsidR="008725B4" w:rsidRPr="00464131" w:rsidRDefault="008725B4" w:rsidP="008725B4">
      <w:pPr>
        <w:pStyle w:val="NormalWeb"/>
        <w:spacing w:before="240" w:beforeAutospacing="0" w:after="240" w:afterAutospacing="0" w:line="360" w:lineRule="auto"/>
        <w:jc w:val="both"/>
        <w:rPr>
          <w:b/>
          <w:i/>
        </w:rPr>
      </w:pPr>
      <w:r w:rsidRPr="00464131">
        <w:rPr>
          <w:b/>
          <w:i/>
          <w:color w:val="000000"/>
        </w:rPr>
        <w:t>For the year 2020</w:t>
      </w:r>
      <w:r w:rsidR="000A540C">
        <w:rPr>
          <w:b/>
          <w:i/>
          <w:color w:val="000000"/>
        </w:rPr>
        <w:t xml:space="preserve"> </w:t>
      </w:r>
      <w:r w:rsidR="000A540C">
        <w:rPr>
          <w:b/>
          <w:i/>
          <w:color w:val="000000"/>
        </w:rPr>
        <w:t>(Refer to appendix)</w:t>
      </w:r>
    </w:p>
    <w:p w:rsidR="008725B4" w:rsidRPr="00464131" w:rsidRDefault="008725B4" w:rsidP="008725B4">
      <w:pPr>
        <w:pStyle w:val="NormalWeb"/>
        <w:spacing w:before="240" w:beforeAutospacing="0" w:after="240" w:afterAutospacing="0" w:line="360" w:lineRule="auto"/>
        <w:jc w:val="both"/>
      </w:pPr>
      <w:r w:rsidRPr="00464131">
        <w:rPr>
          <w:color w:val="000000"/>
        </w:rPr>
        <w:t>Net profit margin = 2% or 0.02</w:t>
      </w:r>
    </w:p>
    <w:p w:rsidR="008725B4" w:rsidRPr="00464131" w:rsidRDefault="008725B4" w:rsidP="008725B4">
      <w:pPr>
        <w:pStyle w:val="NormalWeb"/>
        <w:spacing w:before="240" w:beforeAutospacing="0" w:after="240" w:afterAutospacing="0" w:line="360" w:lineRule="auto"/>
        <w:jc w:val="both"/>
      </w:pPr>
      <w:r w:rsidRPr="00464131">
        <w:rPr>
          <w:color w:val="000000"/>
        </w:rPr>
        <w:t>Asset turnover ratio = 0.71</w:t>
      </w:r>
    </w:p>
    <w:p w:rsidR="008725B4" w:rsidRPr="00464131" w:rsidRDefault="008725B4" w:rsidP="008725B4">
      <w:pPr>
        <w:pStyle w:val="NormalWeb"/>
        <w:spacing w:before="240" w:beforeAutospacing="0" w:after="240" w:afterAutospacing="0" w:line="360" w:lineRule="auto"/>
        <w:jc w:val="both"/>
      </w:pPr>
      <w:r w:rsidRPr="00464131">
        <w:rPr>
          <w:color w:val="000000"/>
        </w:rPr>
        <w:t>Equity multiplier = 1.72</w:t>
      </w:r>
    </w:p>
    <w:p w:rsidR="008725B4" w:rsidRPr="00464131" w:rsidRDefault="008725B4" w:rsidP="008725B4">
      <w:pPr>
        <w:pStyle w:val="NormalWeb"/>
        <w:spacing w:before="240" w:beforeAutospacing="0" w:after="240" w:afterAutospacing="0" w:line="360" w:lineRule="auto"/>
        <w:jc w:val="both"/>
      </w:pPr>
      <w:r w:rsidRPr="00464131">
        <w:rPr>
          <w:color w:val="000000"/>
        </w:rPr>
        <w:t>ROE = Net profit margin * Asset turnover ratio * Equity multiplier = 0.02 * 0.71 * 1.72 = 0.03 or 3%. </w:t>
      </w:r>
    </w:p>
    <w:p w:rsidR="008725B4" w:rsidRPr="00464131" w:rsidRDefault="008725B4" w:rsidP="008725B4">
      <w:pPr>
        <w:pStyle w:val="NormalWeb"/>
        <w:spacing w:before="240" w:beforeAutospacing="0" w:after="240" w:afterAutospacing="0" w:line="360" w:lineRule="auto"/>
        <w:jc w:val="both"/>
        <w:rPr>
          <w:b/>
          <w:i/>
        </w:rPr>
      </w:pPr>
      <w:r w:rsidRPr="00464131">
        <w:rPr>
          <w:b/>
          <w:i/>
          <w:color w:val="000000"/>
        </w:rPr>
        <w:lastRenderedPageBreak/>
        <w:t>For the year 2021</w:t>
      </w:r>
      <w:r w:rsidR="000A540C">
        <w:rPr>
          <w:b/>
          <w:i/>
          <w:color w:val="000000"/>
        </w:rPr>
        <w:t xml:space="preserve"> (Refer to appendix)</w:t>
      </w:r>
    </w:p>
    <w:p w:rsidR="008725B4" w:rsidRPr="00464131" w:rsidRDefault="008725B4" w:rsidP="008725B4">
      <w:pPr>
        <w:pStyle w:val="NormalWeb"/>
        <w:spacing w:before="240" w:beforeAutospacing="0" w:after="240" w:afterAutospacing="0" w:line="360" w:lineRule="auto"/>
        <w:jc w:val="both"/>
      </w:pPr>
      <w:r w:rsidRPr="00464131">
        <w:rPr>
          <w:color w:val="000000"/>
        </w:rPr>
        <w:t>Net profit margin = 3% or 0.03</w:t>
      </w:r>
    </w:p>
    <w:p w:rsidR="008725B4" w:rsidRPr="00464131" w:rsidRDefault="008725B4" w:rsidP="008725B4">
      <w:pPr>
        <w:pStyle w:val="NormalWeb"/>
        <w:spacing w:before="240" w:beforeAutospacing="0" w:after="240" w:afterAutospacing="0" w:line="360" w:lineRule="auto"/>
        <w:jc w:val="both"/>
      </w:pPr>
      <w:r w:rsidRPr="00464131">
        <w:rPr>
          <w:color w:val="000000"/>
        </w:rPr>
        <w:t>Asset turnover ratio = 0.78</w:t>
      </w:r>
    </w:p>
    <w:p w:rsidR="008725B4" w:rsidRPr="00464131" w:rsidRDefault="008725B4" w:rsidP="008725B4">
      <w:pPr>
        <w:pStyle w:val="NormalWeb"/>
        <w:spacing w:before="240" w:beforeAutospacing="0" w:after="240" w:afterAutospacing="0" w:line="360" w:lineRule="auto"/>
        <w:jc w:val="both"/>
      </w:pPr>
      <w:r w:rsidRPr="00464131">
        <w:rPr>
          <w:color w:val="000000"/>
        </w:rPr>
        <w:t>Equity multiplier = 1.82</w:t>
      </w:r>
    </w:p>
    <w:p w:rsidR="008725B4" w:rsidRPr="00464131" w:rsidRDefault="008725B4" w:rsidP="008725B4">
      <w:pPr>
        <w:pStyle w:val="NormalWeb"/>
        <w:spacing w:before="240" w:beforeAutospacing="0" w:after="240" w:afterAutospacing="0" w:line="360" w:lineRule="auto"/>
        <w:jc w:val="both"/>
      </w:pPr>
      <w:r w:rsidRPr="00464131">
        <w:rPr>
          <w:color w:val="000000"/>
        </w:rPr>
        <w:t>ROE = Net profit margin * Asset turnover ratio * Equity multiplier = 0.03 * 0.78 * 1.82 = 0.05 or 5%. </w:t>
      </w:r>
    </w:p>
    <w:p w:rsidR="008725B4" w:rsidRPr="00464131" w:rsidRDefault="008725B4" w:rsidP="008725B4">
      <w:pPr>
        <w:pStyle w:val="NormalWeb"/>
        <w:spacing w:before="240" w:beforeAutospacing="0" w:after="240" w:afterAutospacing="0" w:line="360" w:lineRule="auto"/>
        <w:jc w:val="both"/>
      </w:pPr>
      <w:r w:rsidRPr="00464131">
        <w:rPr>
          <w:color w:val="000000"/>
        </w:rPr>
        <w:t>BUPA Group evolves with a ROA structure worth 3% in the year 2020 and 5% in the period 2021. From the structure, it can be said that the company's ROE has enhanced from the initial period highlighting that BUPA Group has been able to acquire more income from a similar equity amount</w:t>
      </w:r>
      <w:r>
        <w:rPr>
          <w:color w:val="000000"/>
        </w:rPr>
        <w:t xml:space="preserve"> (</w:t>
      </w:r>
      <w:proofErr w:type="spellStart"/>
      <w:r w:rsidRPr="00F47EB3">
        <w:rPr>
          <w:color w:val="222222"/>
          <w:shd w:val="clear" w:color="auto" w:fill="FFFFFF"/>
        </w:rPr>
        <w:t>Saus</w:t>
      </w:r>
      <w:proofErr w:type="spellEnd"/>
      <w:r w:rsidRPr="00F47EB3">
        <w:rPr>
          <w:color w:val="222222"/>
          <w:shd w:val="clear" w:color="auto" w:fill="FFFFFF"/>
        </w:rPr>
        <w:t>–</w:t>
      </w:r>
      <w:proofErr w:type="spellStart"/>
      <w:r w:rsidRPr="00F47EB3">
        <w:rPr>
          <w:color w:val="222222"/>
          <w:shd w:val="clear" w:color="auto" w:fill="FFFFFF"/>
        </w:rPr>
        <w:t>Sala</w:t>
      </w:r>
      <w:proofErr w:type="spellEnd"/>
      <w:r>
        <w:rPr>
          <w:color w:val="222222"/>
          <w:shd w:val="clear" w:color="auto" w:fill="FFFFFF"/>
        </w:rPr>
        <w:t xml:space="preserve"> et al. </w:t>
      </w:r>
      <w:r w:rsidRPr="00F47EB3">
        <w:rPr>
          <w:color w:val="222222"/>
          <w:shd w:val="clear" w:color="auto" w:fill="FFFFFF"/>
        </w:rPr>
        <w:t>2021</w:t>
      </w:r>
      <w:r>
        <w:rPr>
          <w:color w:val="222222"/>
          <w:shd w:val="clear" w:color="auto" w:fill="FFFFFF"/>
        </w:rPr>
        <w:t>)</w:t>
      </w:r>
      <w:r w:rsidRPr="00464131">
        <w:rPr>
          <w:color w:val="000000"/>
        </w:rPr>
        <w:t xml:space="preserve">. Moreover, the increase in ROE is subsequently attributed to the increased valuation of net profit margin, asset turnover ratio, and equity multiplier in 2021 in comparison to its initial year of 2020. Irrespective of this, comparing the ROE of BUPA Group with the industry average value of 11.6%, it can be said that the firm's performance is lower presenting an urgent requirement to enhance its efficiency in terms of utilising its equity to acquire income. </w:t>
      </w:r>
    </w:p>
    <w:p w:rsidR="008725B4" w:rsidRPr="00464131" w:rsidRDefault="008725B4" w:rsidP="008725B4">
      <w:pPr>
        <w:pStyle w:val="Heading3"/>
      </w:pPr>
      <w:bookmarkStart w:id="12" w:name="_Toc133677423"/>
      <w:r w:rsidRPr="00464131">
        <w:t xml:space="preserve">(ii) </w:t>
      </w:r>
      <w:proofErr w:type="spellStart"/>
      <w:r w:rsidRPr="00464131">
        <w:t>Utilisation</w:t>
      </w:r>
      <w:proofErr w:type="spellEnd"/>
      <w:r w:rsidRPr="00464131">
        <w:t xml:space="preserve"> of DU Pont Analysis in decision-making and ensuring business viable</w:t>
      </w:r>
      <w:bookmarkEnd w:id="12"/>
      <w:r w:rsidRPr="00464131">
        <w:t> </w:t>
      </w:r>
    </w:p>
    <w:p w:rsidR="008725B4" w:rsidRPr="00464131" w:rsidRDefault="008725B4" w:rsidP="008725B4">
      <w:pPr>
        <w:pStyle w:val="NormalWeb"/>
        <w:spacing w:before="240" w:beforeAutospacing="0" w:after="240" w:afterAutospacing="0" w:line="360" w:lineRule="auto"/>
        <w:jc w:val="both"/>
      </w:pPr>
      <w:r w:rsidRPr="00464131">
        <w:rPr>
          <w:color w:val="000000"/>
        </w:rPr>
        <w:t>Decision-makers can evaluate the effectiveness of the operations, profitability, and financial structure of a firm by utilising the DuPont analysis to pinpoint the precise divisions responsible for its ROE. For instance, the DuPont analysis can assist in determining which ROE factor (profit margin, asset turnover, or financial leverage) is the weakest and hereby needs improvement concerning the lower valuation of the company</w:t>
      </w:r>
      <w:r>
        <w:rPr>
          <w:color w:val="000000"/>
        </w:rPr>
        <w:t xml:space="preserve"> (</w:t>
      </w:r>
      <w:proofErr w:type="spellStart"/>
      <w:r>
        <w:rPr>
          <w:color w:val="222222"/>
          <w:shd w:val="clear" w:color="auto" w:fill="FFFFFF"/>
        </w:rPr>
        <w:t>Kasik</w:t>
      </w:r>
      <w:proofErr w:type="spellEnd"/>
      <w:r>
        <w:rPr>
          <w:color w:val="222222"/>
          <w:shd w:val="clear" w:color="auto" w:fill="FFFFFF"/>
        </w:rPr>
        <w:t xml:space="preserve"> and </w:t>
      </w:r>
      <w:proofErr w:type="spellStart"/>
      <w:r>
        <w:rPr>
          <w:color w:val="222222"/>
          <w:shd w:val="clear" w:color="auto" w:fill="FFFFFF"/>
        </w:rPr>
        <w:t>Snapka</w:t>
      </w:r>
      <w:proofErr w:type="spellEnd"/>
      <w:r>
        <w:rPr>
          <w:color w:val="222222"/>
          <w:shd w:val="clear" w:color="auto" w:fill="FFFFFF"/>
        </w:rPr>
        <w:t xml:space="preserve">, </w:t>
      </w:r>
      <w:r w:rsidRPr="00F47EB3">
        <w:rPr>
          <w:color w:val="222222"/>
          <w:shd w:val="clear" w:color="auto" w:fill="FFFFFF"/>
        </w:rPr>
        <w:t>2020</w:t>
      </w:r>
      <w:r>
        <w:rPr>
          <w:color w:val="222222"/>
          <w:shd w:val="clear" w:color="auto" w:fill="FFFFFF"/>
        </w:rPr>
        <w:t>)</w:t>
      </w:r>
      <w:r w:rsidRPr="00464131">
        <w:rPr>
          <w:color w:val="000000"/>
        </w:rPr>
        <w:t>. The next step for decision-makers is to take action to strengthen the identified weak areas, such as raising the profit margin by boosting sales or cutting costs, or boosting asset turnover by streamlining inventory control or diversifying the company's product line. </w:t>
      </w:r>
    </w:p>
    <w:p w:rsidR="008725B4" w:rsidRPr="00464131" w:rsidRDefault="008725B4" w:rsidP="008725B4">
      <w:pPr>
        <w:pStyle w:val="NormalWeb"/>
        <w:spacing w:before="240" w:beforeAutospacing="0" w:after="240" w:afterAutospacing="0" w:line="360" w:lineRule="auto"/>
        <w:jc w:val="both"/>
      </w:pPr>
      <w:r w:rsidRPr="00464131">
        <w:rPr>
          <w:color w:val="000000"/>
        </w:rPr>
        <w:t xml:space="preserve">Referring to the given case scenario, BUPA Group's business is viable in the context of enhancing ROE valuation in 2021 in comparison to its previous year. It is recognised that the net profit margin of the company increases from 2% in 2020 to 3% in 2021, highlighting that BUPA Group has been able to maintain its expenses and hereby enhance its profitability. Besides, the asset turnover ratio </w:t>
      </w:r>
      <w:r w:rsidRPr="00464131">
        <w:rPr>
          <w:color w:val="000000"/>
        </w:rPr>
        <w:lastRenderedPageBreak/>
        <w:t xml:space="preserve">of the company also enhanced from 0.71 in 2020 to that 0.78 in 2021, presenting that BUPA Group has been able to acquire more sales from its assets. Additionally, the equity multiplier of the firm also improves from 1.72 in 2020 to 1.82 in 2021 reflecting the enhanced leverage position of BUPA Group. </w:t>
      </w:r>
    </w:p>
    <w:p w:rsidR="008725B4" w:rsidRPr="00464131" w:rsidRDefault="008725B4" w:rsidP="008725B4">
      <w:pPr>
        <w:pStyle w:val="Heading2"/>
      </w:pPr>
      <w:bookmarkStart w:id="13" w:name="_Toc133677424"/>
      <w:r w:rsidRPr="00464131">
        <w:t>b) Accessing investment options and ensuring suggestions with justification</w:t>
      </w:r>
      <w:bookmarkEnd w:id="13"/>
      <w:r w:rsidRPr="00464131">
        <w:t xml:space="preserve"> </w:t>
      </w:r>
    </w:p>
    <w:p w:rsidR="008725B4" w:rsidRPr="00464131" w:rsidRDefault="008725B4" w:rsidP="008725B4">
      <w:pPr>
        <w:pStyle w:val="NormalWeb"/>
        <w:spacing w:before="240" w:beforeAutospacing="0" w:after="240" w:afterAutospacing="0" w:line="360" w:lineRule="auto"/>
        <w:jc w:val="both"/>
      </w:pPr>
      <w:r w:rsidRPr="00464131">
        <w:rPr>
          <w:color w:val="000000"/>
        </w:rPr>
        <w:t>Net present value (NPV) and Internal rate of return (IRR) are two major approaches for accessing the investment opportunities of BUPA Group. To determine the NPV and IRR for each of BUPA's two service offerings, they are required to discount back the cash flow to their present value considering the 10% rate as shown here.</w:t>
      </w:r>
    </w:p>
    <w:p w:rsidR="008725B4" w:rsidRPr="008E6DB1" w:rsidRDefault="008725B4" w:rsidP="008725B4">
      <w:pPr>
        <w:pStyle w:val="NormalWeb"/>
        <w:spacing w:before="240" w:beforeAutospacing="0" w:after="240" w:afterAutospacing="0" w:line="360" w:lineRule="auto"/>
        <w:jc w:val="both"/>
        <w:rPr>
          <w:b/>
          <w:i/>
        </w:rPr>
      </w:pPr>
      <w:r w:rsidRPr="008E6DB1">
        <w:rPr>
          <w:b/>
          <w:i/>
          <w:color w:val="000000"/>
        </w:rPr>
        <w:t>Premium cash flows</w:t>
      </w:r>
    </w:p>
    <w:p w:rsidR="008725B4" w:rsidRPr="00464131" w:rsidRDefault="008725B4" w:rsidP="008725B4">
      <w:pPr>
        <w:pStyle w:val="NormalWeb"/>
        <w:spacing w:before="240" w:beforeAutospacing="0" w:after="240" w:afterAutospacing="0" w:line="360" w:lineRule="auto"/>
        <w:jc w:val="both"/>
      </w:pPr>
      <w:r w:rsidRPr="00464131">
        <w:rPr>
          <w:color w:val="000000"/>
        </w:rPr>
        <w:t>NPV = -£ 650,000 + (£ 175,000 / 1.1) + (£ 178,000 / 1.1^2) + (£ 150,000 / 1.1^3) + (£ 190,000 / 1.1^4) + (£ 192,000 / 1.1^5) + (£ 50,000 / 1.1^5) = £ 32,510.31</w:t>
      </w:r>
    </w:p>
    <w:p w:rsidR="008725B4" w:rsidRPr="00464131" w:rsidRDefault="008725B4" w:rsidP="008725B4">
      <w:pPr>
        <w:pStyle w:val="NormalWeb"/>
        <w:spacing w:before="240" w:beforeAutospacing="0" w:after="240" w:afterAutospacing="0" w:line="360" w:lineRule="auto"/>
        <w:jc w:val="both"/>
      </w:pPr>
      <w:r w:rsidRPr="00464131">
        <w:rPr>
          <w:color w:val="000000"/>
        </w:rPr>
        <w:t>IRR = 15.19%</w:t>
      </w:r>
    </w:p>
    <w:p w:rsidR="008725B4" w:rsidRPr="008E6DB1" w:rsidRDefault="008725B4" w:rsidP="008725B4">
      <w:pPr>
        <w:pStyle w:val="NormalWeb"/>
        <w:spacing w:before="240" w:beforeAutospacing="0" w:after="240" w:afterAutospacing="0" w:line="360" w:lineRule="auto"/>
        <w:jc w:val="both"/>
        <w:rPr>
          <w:b/>
          <w:i/>
        </w:rPr>
      </w:pPr>
      <w:r w:rsidRPr="008E6DB1">
        <w:rPr>
          <w:b/>
          <w:i/>
          <w:color w:val="000000"/>
        </w:rPr>
        <w:t>Basics cash flows </w:t>
      </w:r>
    </w:p>
    <w:p w:rsidR="008725B4" w:rsidRPr="00464131" w:rsidRDefault="008725B4" w:rsidP="008725B4">
      <w:pPr>
        <w:pStyle w:val="NormalWeb"/>
        <w:spacing w:before="240" w:beforeAutospacing="0" w:after="240" w:afterAutospacing="0" w:line="360" w:lineRule="auto"/>
        <w:jc w:val="both"/>
      </w:pPr>
      <w:r w:rsidRPr="00464131">
        <w:rPr>
          <w:color w:val="000000"/>
        </w:rPr>
        <w:t>NPV = -£ 515,000 + (£ 125,000 / 1.1) + (£ 130,000 / 1.1^2) + (£ 140,000 / 1.1^3) + (£ 150,000 / 1.1^4) + (£ 160,000 / 1.1^5) + (£ 40,000 / 1.1^5) = £ 70,798.79</w:t>
      </w:r>
    </w:p>
    <w:p w:rsidR="008725B4" w:rsidRPr="00464131" w:rsidRDefault="008725B4" w:rsidP="008725B4">
      <w:pPr>
        <w:pStyle w:val="NormalWeb"/>
        <w:spacing w:before="240" w:beforeAutospacing="0" w:after="240" w:afterAutospacing="0" w:line="360" w:lineRule="auto"/>
        <w:jc w:val="both"/>
      </w:pPr>
      <w:r w:rsidRPr="00464131">
        <w:rPr>
          <w:color w:val="000000"/>
        </w:rPr>
        <w:t>IRR = 19.22%</w:t>
      </w:r>
    </w:p>
    <w:p w:rsidR="008725B4" w:rsidRPr="00464131" w:rsidRDefault="008725B4" w:rsidP="008725B4">
      <w:pPr>
        <w:pStyle w:val="NormalWeb"/>
        <w:spacing w:before="240" w:beforeAutospacing="0" w:after="240" w:afterAutospacing="0" w:line="360" w:lineRule="auto"/>
        <w:jc w:val="both"/>
      </w:pPr>
      <w:r w:rsidRPr="00464131">
        <w:rPr>
          <w:color w:val="000000"/>
        </w:rPr>
        <w:t>BUPA Group must select the Basics service offering for investment with higher NPV and IRR in comparison to the Premium service offering. This is because Basics Offering identifies more financially attractive to BUPA as it intends to acquire higher investment returns and develop more valuation for the firm</w:t>
      </w:r>
      <w:r>
        <w:rPr>
          <w:color w:val="000000"/>
        </w:rPr>
        <w:t xml:space="preserve"> (</w:t>
      </w:r>
      <w:proofErr w:type="spellStart"/>
      <w:r>
        <w:rPr>
          <w:color w:val="222222"/>
          <w:shd w:val="clear" w:color="auto" w:fill="FFFFFF"/>
        </w:rPr>
        <w:t>Gardi</w:t>
      </w:r>
      <w:proofErr w:type="spellEnd"/>
      <w:r>
        <w:rPr>
          <w:color w:val="222222"/>
          <w:shd w:val="clear" w:color="auto" w:fill="FFFFFF"/>
        </w:rPr>
        <w:t xml:space="preserve"> et al. </w:t>
      </w:r>
      <w:r w:rsidRPr="00F47EB3">
        <w:rPr>
          <w:color w:val="222222"/>
          <w:shd w:val="clear" w:color="auto" w:fill="FFFFFF"/>
        </w:rPr>
        <w:t>2021</w:t>
      </w:r>
      <w:r>
        <w:rPr>
          <w:color w:val="222222"/>
          <w:shd w:val="clear" w:color="auto" w:fill="FFFFFF"/>
        </w:rPr>
        <w:t>)</w:t>
      </w:r>
      <w:r w:rsidRPr="00464131">
        <w:rPr>
          <w:color w:val="000000"/>
        </w:rPr>
        <w:t>. </w:t>
      </w:r>
    </w:p>
    <w:p w:rsidR="008725B4" w:rsidRPr="00464131" w:rsidRDefault="008725B4" w:rsidP="008725B4">
      <w:pPr>
        <w:pStyle w:val="Heading1"/>
      </w:pPr>
      <w:bookmarkStart w:id="14" w:name="_Toc133677425"/>
      <w:r w:rsidRPr="00464131">
        <w:lastRenderedPageBreak/>
        <w:t>Task 3:</w:t>
      </w:r>
      <w:bookmarkEnd w:id="14"/>
      <w:r w:rsidRPr="00464131">
        <w:t xml:space="preserve"> </w:t>
      </w:r>
    </w:p>
    <w:p w:rsidR="008725B4" w:rsidRPr="00464131" w:rsidRDefault="008725B4" w:rsidP="008725B4">
      <w:pPr>
        <w:pStyle w:val="Heading2"/>
      </w:pPr>
      <w:bookmarkStart w:id="15" w:name="_Toc133677426"/>
      <w:r w:rsidRPr="00464131">
        <w:t>(a) Process to develop financial statement</w:t>
      </w:r>
      <w:bookmarkEnd w:id="15"/>
      <w:r w:rsidRPr="00464131">
        <w:t xml:space="preserve"> </w:t>
      </w:r>
    </w:p>
    <w:p w:rsidR="008725B4" w:rsidRPr="00DF3DA3" w:rsidRDefault="008725B4" w:rsidP="008725B4">
      <w:pPr>
        <w:spacing w:before="240" w:after="240" w:line="360" w:lineRule="auto"/>
        <w:jc w:val="both"/>
        <w:rPr>
          <w:rFonts w:ascii="Times New Roman" w:eastAsia="Times New Roman" w:hAnsi="Times New Roman" w:cs="Times New Roman"/>
          <w:sz w:val="24"/>
          <w:szCs w:val="24"/>
          <w:lang w:eastAsia="en-IN"/>
        </w:rPr>
      </w:pPr>
      <w:r w:rsidRPr="00DF3DA3">
        <w:rPr>
          <w:rFonts w:ascii="Times New Roman" w:eastAsia="Times New Roman" w:hAnsi="Times New Roman" w:cs="Times New Roman"/>
          <w:color w:val="000000"/>
          <w:sz w:val="24"/>
          <w:szCs w:val="24"/>
          <w:lang w:eastAsia="en-IN"/>
        </w:rPr>
        <w:t xml:space="preserve">Financial statements are referred to as crucial instruments that offer insightful information about the financial health of the business corporation. </w:t>
      </w:r>
      <w:r>
        <w:rPr>
          <w:rFonts w:ascii="Times New Roman" w:eastAsia="Times New Roman" w:hAnsi="Times New Roman" w:cs="Times New Roman"/>
          <w:color w:val="000000"/>
          <w:sz w:val="24"/>
          <w:szCs w:val="24"/>
          <w:lang w:eastAsia="en-IN"/>
        </w:rPr>
        <w:t xml:space="preserve">As opined by </w:t>
      </w:r>
      <w:proofErr w:type="spellStart"/>
      <w:r>
        <w:rPr>
          <w:rFonts w:ascii="Times New Roman" w:hAnsi="Times New Roman" w:cs="Times New Roman"/>
          <w:color w:val="222222"/>
          <w:sz w:val="24"/>
          <w:szCs w:val="24"/>
          <w:shd w:val="clear" w:color="auto" w:fill="FFFFFF"/>
        </w:rPr>
        <w:t>Fridson</w:t>
      </w:r>
      <w:proofErr w:type="spellEnd"/>
      <w:r>
        <w:rPr>
          <w:rFonts w:ascii="Times New Roman" w:hAnsi="Times New Roman" w:cs="Times New Roman"/>
          <w:color w:val="222222"/>
          <w:sz w:val="24"/>
          <w:szCs w:val="24"/>
          <w:shd w:val="clear" w:color="auto" w:fill="FFFFFF"/>
        </w:rPr>
        <w:t xml:space="preserve"> and Alvarez (</w:t>
      </w:r>
      <w:r w:rsidRPr="00F47EB3">
        <w:rPr>
          <w:rFonts w:ascii="Times New Roman" w:hAnsi="Times New Roman" w:cs="Times New Roman"/>
          <w:color w:val="222222"/>
          <w:sz w:val="24"/>
          <w:szCs w:val="24"/>
          <w:shd w:val="clear" w:color="auto" w:fill="FFFFFF"/>
        </w:rPr>
        <w:t>2022</w:t>
      </w:r>
      <w:r>
        <w:rPr>
          <w:rFonts w:ascii="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000000"/>
          <w:sz w:val="24"/>
          <w:szCs w:val="24"/>
          <w:lang w:eastAsia="en-IN"/>
        </w:rPr>
        <w:t>t</w:t>
      </w:r>
      <w:r w:rsidRPr="00DF3DA3">
        <w:rPr>
          <w:rFonts w:ascii="Times New Roman" w:eastAsia="Times New Roman" w:hAnsi="Times New Roman" w:cs="Times New Roman"/>
          <w:color w:val="000000"/>
          <w:sz w:val="24"/>
          <w:szCs w:val="24"/>
          <w:lang w:eastAsia="en-IN"/>
        </w:rPr>
        <w:t>hey are mainly prepared in terms to discuss the financial performance of the firm over a certain period. Business owners, investors, creditors, and other stakeholders can make effective decisions with the help of financial statements. The three major financial statements that companies specifically develop include the income statement, the cash flow statement, and the balance sheet. Evolving with these ideologies, the process of preparing each of the mentioned financial statements is illustrated below.</w:t>
      </w:r>
    </w:p>
    <w:p w:rsidR="008725B4" w:rsidRPr="00DF3DA3" w:rsidRDefault="008725B4" w:rsidP="008725B4">
      <w:pPr>
        <w:spacing w:before="240" w:after="240" w:line="360" w:lineRule="auto"/>
        <w:jc w:val="both"/>
        <w:rPr>
          <w:rFonts w:ascii="Times New Roman" w:eastAsia="Times New Roman" w:hAnsi="Times New Roman" w:cs="Times New Roman"/>
          <w:sz w:val="24"/>
          <w:szCs w:val="24"/>
          <w:lang w:eastAsia="en-IN"/>
        </w:rPr>
      </w:pPr>
      <w:r w:rsidRPr="00DF3DA3">
        <w:rPr>
          <w:rFonts w:ascii="Times New Roman" w:eastAsia="Times New Roman" w:hAnsi="Times New Roman" w:cs="Times New Roman"/>
          <w:b/>
          <w:bCs/>
          <w:i/>
          <w:iCs/>
          <w:color w:val="000000"/>
          <w:sz w:val="24"/>
          <w:szCs w:val="24"/>
          <w:lang w:eastAsia="en-IN"/>
        </w:rPr>
        <w:t>Income Statement</w:t>
      </w:r>
    </w:p>
    <w:p w:rsidR="008725B4" w:rsidRPr="00DF3DA3" w:rsidRDefault="008725B4" w:rsidP="008725B4">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As referred by </w:t>
      </w:r>
      <w:r>
        <w:rPr>
          <w:rFonts w:ascii="Times New Roman" w:hAnsi="Times New Roman" w:cs="Times New Roman"/>
          <w:color w:val="222222"/>
          <w:sz w:val="24"/>
          <w:szCs w:val="24"/>
          <w:shd w:val="clear" w:color="auto" w:fill="FFFFFF"/>
        </w:rPr>
        <w:t>Arya and Nagar (</w:t>
      </w:r>
      <w:r w:rsidRPr="00F47EB3">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000000"/>
          <w:sz w:val="24"/>
          <w:szCs w:val="24"/>
          <w:lang w:eastAsia="en-IN"/>
        </w:rPr>
        <w:t>a</w:t>
      </w:r>
      <w:r w:rsidRPr="00DF3DA3">
        <w:rPr>
          <w:rFonts w:ascii="Times New Roman" w:eastAsia="Times New Roman" w:hAnsi="Times New Roman" w:cs="Times New Roman"/>
          <w:color w:val="000000"/>
          <w:sz w:val="24"/>
          <w:szCs w:val="24"/>
          <w:lang w:eastAsia="en-IN"/>
        </w:rPr>
        <w:t>n income statement displays a company's earnings and outlays for a given time frame. The steps listed below are specifically used to prepare the income statement:</w:t>
      </w:r>
    </w:p>
    <w:p w:rsidR="008725B4" w:rsidRPr="00DF3DA3" w:rsidRDefault="008725B4" w:rsidP="008725B4">
      <w:pPr>
        <w:numPr>
          <w:ilvl w:val="0"/>
          <w:numId w:val="1"/>
        </w:numPr>
        <w:spacing w:before="240" w:line="360" w:lineRule="auto"/>
        <w:jc w:val="both"/>
        <w:textAlignment w:val="baseline"/>
        <w:rPr>
          <w:rFonts w:ascii="Times New Roman" w:eastAsia="Times New Roman" w:hAnsi="Times New Roman" w:cs="Times New Roman"/>
          <w:color w:val="000000"/>
          <w:sz w:val="24"/>
          <w:szCs w:val="24"/>
          <w:lang w:eastAsia="en-IN"/>
        </w:rPr>
      </w:pPr>
      <w:r w:rsidRPr="00DF3DA3">
        <w:rPr>
          <w:rFonts w:ascii="Times New Roman" w:eastAsia="Times New Roman" w:hAnsi="Times New Roman" w:cs="Times New Roman"/>
          <w:color w:val="000000"/>
          <w:sz w:val="24"/>
          <w:szCs w:val="24"/>
          <w:lang w:eastAsia="en-IN"/>
        </w:rPr>
        <w:t>Assemble all of the income earned during the time, and record it.</w:t>
      </w:r>
    </w:p>
    <w:p w:rsidR="008725B4" w:rsidRPr="00DF3DA3" w:rsidRDefault="008725B4" w:rsidP="008725B4">
      <w:pPr>
        <w:numPr>
          <w:ilvl w:val="0"/>
          <w:numId w:val="1"/>
        </w:numPr>
        <w:spacing w:line="360" w:lineRule="auto"/>
        <w:jc w:val="both"/>
        <w:textAlignment w:val="baseline"/>
        <w:rPr>
          <w:rFonts w:ascii="Times New Roman" w:eastAsia="Times New Roman" w:hAnsi="Times New Roman" w:cs="Times New Roman"/>
          <w:color w:val="000000"/>
          <w:sz w:val="24"/>
          <w:szCs w:val="24"/>
          <w:lang w:eastAsia="en-IN"/>
        </w:rPr>
      </w:pPr>
      <w:r w:rsidRPr="00DF3DA3">
        <w:rPr>
          <w:rFonts w:ascii="Times New Roman" w:eastAsia="Times New Roman" w:hAnsi="Times New Roman" w:cs="Times New Roman"/>
          <w:color w:val="000000"/>
          <w:sz w:val="24"/>
          <w:szCs w:val="24"/>
          <w:lang w:eastAsia="en-IN"/>
        </w:rPr>
        <w:t>Keep track of every expense the company made during that time.</w:t>
      </w:r>
    </w:p>
    <w:p w:rsidR="008725B4" w:rsidRPr="00DF3DA3" w:rsidRDefault="008725B4" w:rsidP="008725B4">
      <w:pPr>
        <w:numPr>
          <w:ilvl w:val="0"/>
          <w:numId w:val="1"/>
        </w:numPr>
        <w:spacing w:after="240" w:line="360" w:lineRule="auto"/>
        <w:jc w:val="both"/>
        <w:textAlignment w:val="baseline"/>
        <w:rPr>
          <w:rFonts w:ascii="Times New Roman" w:eastAsia="Times New Roman" w:hAnsi="Times New Roman" w:cs="Times New Roman"/>
          <w:color w:val="000000"/>
          <w:sz w:val="24"/>
          <w:szCs w:val="24"/>
          <w:lang w:eastAsia="en-IN"/>
        </w:rPr>
      </w:pPr>
      <w:r w:rsidRPr="00DF3DA3">
        <w:rPr>
          <w:rFonts w:ascii="Times New Roman" w:eastAsia="Times New Roman" w:hAnsi="Times New Roman" w:cs="Times New Roman"/>
          <w:color w:val="000000"/>
          <w:sz w:val="24"/>
          <w:szCs w:val="24"/>
          <w:lang w:eastAsia="en-IN"/>
        </w:rPr>
        <w:t>To calculate the net income or loss of the business, expenses are subtracted from that of the business's revenue structure.</w:t>
      </w:r>
    </w:p>
    <w:p w:rsidR="008725B4" w:rsidRPr="00DF3DA3" w:rsidRDefault="008725B4" w:rsidP="008725B4">
      <w:pPr>
        <w:spacing w:before="240" w:after="240" w:line="360" w:lineRule="auto"/>
        <w:jc w:val="both"/>
        <w:rPr>
          <w:rFonts w:ascii="Times New Roman" w:eastAsia="Times New Roman" w:hAnsi="Times New Roman" w:cs="Times New Roman"/>
          <w:sz w:val="24"/>
          <w:szCs w:val="24"/>
          <w:lang w:eastAsia="en-IN"/>
        </w:rPr>
      </w:pPr>
      <w:r w:rsidRPr="00DF3DA3">
        <w:rPr>
          <w:rFonts w:ascii="Times New Roman" w:eastAsia="Times New Roman" w:hAnsi="Times New Roman" w:cs="Times New Roman"/>
          <w:b/>
          <w:bCs/>
          <w:i/>
          <w:iCs/>
          <w:color w:val="000000"/>
          <w:sz w:val="24"/>
          <w:szCs w:val="24"/>
          <w:lang w:eastAsia="en-IN"/>
        </w:rPr>
        <w:t>Balance Sheet</w:t>
      </w:r>
    </w:p>
    <w:p w:rsidR="008725B4" w:rsidRPr="00DF3DA3" w:rsidRDefault="008725B4" w:rsidP="008725B4">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As considered by </w:t>
      </w:r>
      <w:proofErr w:type="spellStart"/>
      <w:r>
        <w:rPr>
          <w:rFonts w:ascii="Times New Roman" w:hAnsi="Times New Roman" w:cs="Times New Roman"/>
          <w:color w:val="222222"/>
          <w:sz w:val="24"/>
          <w:szCs w:val="24"/>
          <w:shd w:val="clear" w:color="auto" w:fill="FFFFFF"/>
        </w:rPr>
        <w:t>Jeenas</w:t>
      </w:r>
      <w:proofErr w:type="spellEnd"/>
      <w:r>
        <w:rPr>
          <w:rFonts w:ascii="Times New Roman" w:hAnsi="Times New Roman" w:cs="Times New Roman"/>
          <w:color w:val="222222"/>
          <w:sz w:val="24"/>
          <w:szCs w:val="24"/>
          <w:shd w:val="clear" w:color="auto" w:fill="FFFFFF"/>
        </w:rPr>
        <w:t xml:space="preserve"> (</w:t>
      </w:r>
      <w:r w:rsidRPr="00F47EB3">
        <w:rPr>
          <w:rFonts w:ascii="Times New Roman" w:hAnsi="Times New Roman" w:cs="Times New Roman"/>
          <w:color w:val="222222"/>
          <w:sz w:val="24"/>
          <w:szCs w:val="24"/>
          <w:shd w:val="clear" w:color="auto" w:fill="FFFFFF"/>
        </w:rPr>
        <w:t>2019</w:t>
      </w:r>
      <w:r>
        <w:rPr>
          <w:rFonts w:ascii="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000000"/>
          <w:sz w:val="24"/>
          <w:szCs w:val="24"/>
          <w:lang w:eastAsia="en-IN"/>
        </w:rPr>
        <w:t>a</w:t>
      </w:r>
      <w:r w:rsidRPr="00DF3DA3">
        <w:rPr>
          <w:rFonts w:ascii="Times New Roman" w:eastAsia="Times New Roman" w:hAnsi="Times New Roman" w:cs="Times New Roman"/>
          <w:color w:val="000000"/>
          <w:sz w:val="24"/>
          <w:szCs w:val="24"/>
          <w:lang w:eastAsia="en-IN"/>
        </w:rPr>
        <w:t xml:space="preserve"> balance sheet is a statement that lists a company's assets, liabilities, and equity at a certain time. The steps listed below are used to prepare the balance sheet:</w:t>
      </w:r>
    </w:p>
    <w:p w:rsidR="008725B4" w:rsidRPr="00DF3DA3" w:rsidRDefault="008725B4" w:rsidP="008725B4">
      <w:pPr>
        <w:numPr>
          <w:ilvl w:val="0"/>
          <w:numId w:val="2"/>
        </w:numPr>
        <w:spacing w:before="240" w:line="360" w:lineRule="auto"/>
        <w:jc w:val="both"/>
        <w:textAlignment w:val="baseline"/>
        <w:rPr>
          <w:rFonts w:ascii="Times New Roman" w:eastAsia="Times New Roman" w:hAnsi="Times New Roman" w:cs="Times New Roman"/>
          <w:color w:val="000000"/>
          <w:sz w:val="24"/>
          <w:szCs w:val="24"/>
          <w:lang w:eastAsia="en-IN"/>
        </w:rPr>
      </w:pPr>
      <w:r w:rsidRPr="00DF3DA3">
        <w:rPr>
          <w:rFonts w:ascii="Times New Roman" w:eastAsia="Times New Roman" w:hAnsi="Times New Roman" w:cs="Times New Roman"/>
          <w:color w:val="000000"/>
          <w:sz w:val="24"/>
          <w:szCs w:val="24"/>
          <w:lang w:eastAsia="en-IN"/>
        </w:rPr>
        <w:t>List each of the company's assets along with their corresponding values.</w:t>
      </w:r>
    </w:p>
    <w:p w:rsidR="008725B4" w:rsidRPr="00DF3DA3" w:rsidRDefault="008725B4" w:rsidP="008725B4">
      <w:pPr>
        <w:numPr>
          <w:ilvl w:val="0"/>
          <w:numId w:val="2"/>
        </w:numPr>
        <w:spacing w:line="360" w:lineRule="auto"/>
        <w:jc w:val="both"/>
        <w:textAlignment w:val="baseline"/>
        <w:rPr>
          <w:rFonts w:ascii="Times New Roman" w:eastAsia="Times New Roman" w:hAnsi="Times New Roman" w:cs="Times New Roman"/>
          <w:color w:val="000000"/>
          <w:sz w:val="24"/>
          <w:szCs w:val="24"/>
          <w:lang w:eastAsia="en-IN"/>
        </w:rPr>
      </w:pPr>
      <w:r w:rsidRPr="00DF3DA3">
        <w:rPr>
          <w:rFonts w:ascii="Times New Roman" w:eastAsia="Times New Roman" w:hAnsi="Times New Roman" w:cs="Times New Roman"/>
          <w:color w:val="000000"/>
          <w:sz w:val="24"/>
          <w:szCs w:val="24"/>
          <w:lang w:eastAsia="en-IN"/>
        </w:rPr>
        <w:t>List each of the company's debt obligations or liabilities along with their relative values.</w:t>
      </w:r>
    </w:p>
    <w:p w:rsidR="008725B4" w:rsidRPr="00DF3DA3" w:rsidRDefault="008725B4" w:rsidP="008725B4">
      <w:pPr>
        <w:numPr>
          <w:ilvl w:val="0"/>
          <w:numId w:val="2"/>
        </w:numPr>
        <w:spacing w:after="240" w:line="360" w:lineRule="auto"/>
        <w:jc w:val="both"/>
        <w:textAlignment w:val="baseline"/>
        <w:rPr>
          <w:rFonts w:ascii="Times New Roman" w:eastAsia="Times New Roman" w:hAnsi="Times New Roman" w:cs="Times New Roman"/>
          <w:color w:val="000000"/>
          <w:sz w:val="24"/>
          <w:szCs w:val="24"/>
          <w:lang w:eastAsia="en-IN"/>
        </w:rPr>
      </w:pPr>
      <w:r w:rsidRPr="00DF3DA3">
        <w:rPr>
          <w:rFonts w:ascii="Times New Roman" w:eastAsia="Times New Roman" w:hAnsi="Times New Roman" w:cs="Times New Roman"/>
          <w:color w:val="000000"/>
          <w:sz w:val="24"/>
          <w:szCs w:val="24"/>
          <w:lang w:eastAsia="en-IN"/>
        </w:rPr>
        <w:t>Subtract the entire liabilities from the total assets to determine the company's equity structure.</w:t>
      </w:r>
    </w:p>
    <w:p w:rsidR="008725B4" w:rsidRPr="00DF3DA3" w:rsidRDefault="008725B4" w:rsidP="008725B4">
      <w:pPr>
        <w:spacing w:before="240" w:after="240" w:line="360" w:lineRule="auto"/>
        <w:jc w:val="both"/>
        <w:rPr>
          <w:rFonts w:ascii="Times New Roman" w:eastAsia="Times New Roman" w:hAnsi="Times New Roman" w:cs="Times New Roman"/>
          <w:sz w:val="24"/>
          <w:szCs w:val="24"/>
          <w:lang w:eastAsia="en-IN"/>
        </w:rPr>
      </w:pPr>
      <w:r w:rsidRPr="00DF3DA3">
        <w:rPr>
          <w:rFonts w:ascii="Times New Roman" w:eastAsia="Times New Roman" w:hAnsi="Times New Roman" w:cs="Times New Roman"/>
          <w:b/>
          <w:bCs/>
          <w:i/>
          <w:iCs/>
          <w:color w:val="000000"/>
          <w:sz w:val="24"/>
          <w:szCs w:val="24"/>
          <w:lang w:eastAsia="en-IN"/>
        </w:rPr>
        <w:t>Cash Flow Statement</w:t>
      </w:r>
    </w:p>
    <w:p w:rsidR="008725B4" w:rsidRPr="00DF3DA3" w:rsidRDefault="008725B4" w:rsidP="008725B4">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lastRenderedPageBreak/>
        <w:t xml:space="preserve">As understood by </w:t>
      </w:r>
      <w:proofErr w:type="spellStart"/>
      <w:r>
        <w:rPr>
          <w:rFonts w:ascii="Times New Roman" w:hAnsi="Times New Roman" w:cs="Times New Roman"/>
          <w:color w:val="222222"/>
          <w:sz w:val="24"/>
          <w:szCs w:val="24"/>
          <w:shd w:val="clear" w:color="auto" w:fill="FFFFFF"/>
        </w:rPr>
        <w:t>Setiany</w:t>
      </w:r>
      <w:proofErr w:type="spellEnd"/>
      <w:r>
        <w:rPr>
          <w:rFonts w:ascii="Times New Roman" w:hAnsi="Times New Roman" w:cs="Times New Roman"/>
          <w:color w:val="222222"/>
          <w:sz w:val="24"/>
          <w:szCs w:val="24"/>
          <w:shd w:val="clear" w:color="auto" w:fill="FFFFFF"/>
        </w:rPr>
        <w:t xml:space="preserve"> (</w:t>
      </w:r>
      <w:r w:rsidRPr="00F47EB3">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000000"/>
          <w:sz w:val="24"/>
          <w:szCs w:val="24"/>
          <w:lang w:eastAsia="en-IN"/>
        </w:rPr>
        <w:t>a</w:t>
      </w:r>
      <w:r w:rsidRPr="00DF3DA3">
        <w:rPr>
          <w:rFonts w:ascii="Times New Roman" w:eastAsia="Times New Roman" w:hAnsi="Times New Roman" w:cs="Times New Roman"/>
          <w:color w:val="000000"/>
          <w:sz w:val="24"/>
          <w:szCs w:val="24"/>
          <w:lang w:eastAsia="en-IN"/>
        </w:rPr>
        <w:t xml:space="preserve">n </w:t>
      </w:r>
      <w:proofErr w:type="spellStart"/>
      <w:r w:rsidRPr="00DF3DA3">
        <w:rPr>
          <w:rFonts w:ascii="Times New Roman" w:eastAsia="Times New Roman" w:hAnsi="Times New Roman" w:cs="Times New Roman"/>
          <w:color w:val="000000"/>
          <w:sz w:val="24"/>
          <w:szCs w:val="24"/>
          <w:lang w:eastAsia="en-IN"/>
        </w:rPr>
        <w:t>organisation's</w:t>
      </w:r>
      <w:proofErr w:type="spellEnd"/>
      <w:r w:rsidRPr="00DF3DA3">
        <w:rPr>
          <w:rFonts w:ascii="Times New Roman" w:eastAsia="Times New Roman" w:hAnsi="Times New Roman" w:cs="Times New Roman"/>
          <w:color w:val="000000"/>
          <w:sz w:val="24"/>
          <w:szCs w:val="24"/>
          <w:lang w:eastAsia="en-IN"/>
        </w:rPr>
        <w:t xml:space="preserve"> both inflow and outflow structure of cash over a given period are displayed on a cash flow statement. The steps listed below are used to prepare the cash flow statement:</w:t>
      </w:r>
    </w:p>
    <w:p w:rsidR="008725B4" w:rsidRPr="00DF3DA3" w:rsidRDefault="008725B4" w:rsidP="008725B4">
      <w:pPr>
        <w:numPr>
          <w:ilvl w:val="0"/>
          <w:numId w:val="3"/>
        </w:numPr>
        <w:spacing w:before="240" w:line="360" w:lineRule="auto"/>
        <w:jc w:val="both"/>
        <w:textAlignment w:val="baseline"/>
        <w:rPr>
          <w:rFonts w:ascii="Times New Roman" w:eastAsia="Times New Roman" w:hAnsi="Times New Roman" w:cs="Times New Roman"/>
          <w:color w:val="000000"/>
          <w:sz w:val="24"/>
          <w:szCs w:val="24"/>
          <w:lang w:eastAsia="en-IN"/>
        </w:rPr>
      </w:pPr>
      <w:r w:rsidRPr="00DF3DA3">
        <w:rPr>
          <w:rFonts w:ascii="Times New Roman" w:eastAsia="Times New Roman" w:hAnsi="Times New Roman" w:cs="Times New Roman"/>
          <w:color w:val="000000"/>
          <w:sz w:val="24"/>
          <w:szCs w:val="24"/>
          <w:lang w:eastAsia="en-IN"/>
        </w:rPr>
        <w:t>Recording every monetary inflow of the business within a particular period.</w:t>
      </w:r>
    </w:p>
    <w:p w:rsidR="008725B4" w:rsidRPr="00DF3DA3" w:rsidRDefault="008725B4" w:rsidP="008725B4">
      <w:pPr>
        <w:numPr>
          <w:ilvl w:val="0"/>
          <w:numId w:val="3"/>
        </w:numPr>
        <w:spacing w:line="360" w:lineRule="auto"/>
        <w:jc w:val="both"/>
        <w:textAlignment w:val="baseline"/>
        <w:rPr>
          <w:rFonts w:ascii="Times New Roman" w:eastAsia="Times New Roman" w:hAnsi="Times New Roman" w:cs="Times New Roman"/>
          <w:color w:val="000000"/>
          <w:sz w:val="24"/>
          <w:szCs w:val="24"/>
          <w:lang w:eastAsia="en-IN"/>
        </w:rPr>
      </w:pPr>
      <w:r w:rsidRPr="00DF3DA3">
        <w:rPr>
          <w:rFonts w:ascii="Times New Roman" w:eastAsia="Times New Roman" w:hAnsi="Times New Roman" w:cs="Times New Roman"/>
          <w:color w:val="000000"/>
          <w:sz w:val="24"/>
          <w:szCs w:val="24"/>
          <w:lang w:eastAsia="en-IN"/>
        </w:rPr>
        <w:t>Recording all cash outflows of the business during the specific year.</w:t>
      </w:r>
    </w:p>
    <w:p w:rsidR="008725B4" w:rsidRPr="00DF3DA3" w:rsidRDefault="008725B4" w:rsidP="008725B4">
      <w:pPr>
        <w:numPr>
          <w:ilvl w:val="0"/>
          <w:numId w:val="3"/>
        </w:numPr>
        <w:spacing w:after="240" w:line="360" w:lineRule="auto"/>
        <w:jc w:val="both"/>
        <w:textAlignment w:val="baseline"/>
        <w:rPr>
          <w:rFonts w:ascii="Times New Roman" w:eastAsia="Times New Roman" w:hAnsi="Times New Roman" w:cs="Times New Roman"/>
          <w:color w:val="000000"/>
          <w:sz w:val="24"/>
          <w:szCs w:val="24"/>
          <w:lang w:eastAsia="en-IN"/>
        </w:rPr>
      </w:pPr>
      <w:r w:rsidRPr="00DF3DA3">
        <w:rPr>
          <w:rFonts w:ascii="Times New Roman" w:eastAsia="Times New Roman" w:hAnsi="Times New Roman" w:cs="Times New Roman"/>
          <w:color w:val="000000"/>
          <w:sz w:val="24"/>
          <w:szCs w:val="24"/>
          <w:lang w:eastAsia="en-IN"/>
        </w:rPr>
        <w:t>Subtract the cash outflows from the cash inflows to determine the net cash flow.</w:t>
      </w:r>
    </w:p>
    <w:p w:rsidR="008725B4" w:rsidRPr="00DF3DA3" w:rsidRDefault="008725B4" w:rsidP="008725B4">
      <w:pPr>
        <w:spacing w:before="240" w:after="240" w:line="360" w:lineRule="auto"/>
        <w:jc w:val="both"/>
        <w:rPr>
          <w:rFonts w:ascii="Times New Roman" w:eastAsia="Times New Roman" w:hAnsi="Times New Roman" w:cs="Times New Roman"/>
          <w:sz w:val="24"/>
          <w:szCs w:val="24"/>
          <w:lang w:eastAsia="en-IN"/>
        </w:rPr>
      </w:pPr>
      <w:r w:rsidRPr="00DF3DA3">
        <w:rPr>
          <w:rFonts w:ascii="Times New Roman" w:eastAsia="Times New Roman" w:hAnsi="Times New Roman" w:cs="Times New Roman"/>
          <w:color w:val="000000"/>
          <w:sz w:val="24"/>
          <w:szCs w:val="24"/>
          <w:lang w:eastAsia="en-IN"/>
        </w:rPr>
        <w:t xml:space="preserve">Once the primary financial statements are created, they should be reviewed for consistency and accuracy purposes. A comparison of the financial statements to earlier periods should be done, and any major differences or discrepancies should be looked into. </w:t>
      </w:r>
      <w:r>
        <w:rPr>
          <w:rFonts w:ascii="Times New Roman" w:eastAsia="Times New Roman" w:hAnsi="Times New Roman" w:cs="Times New Roman"/>
          <w:color w:val="000000"/>
          <w:sz w:val="24"/>
          <w:szCs w:val="24"/>
          <w:lang w:eastAsia="en-IN"/>
        </w:rPr>
        <w:t xml:space="preserve">As indicated by </w:t>
      </w:r>
      <w:proofErr w:type="spellStart"/>
      <w:r>
        <w:rPr>
          <w:rFonts w:ascii="Times New Roman" w:hAnsi="Times New Roman" w:cs="Times New Roman"/>
          <w:color w:val="222222"/>
          <w:sz w:val="24"/>
          <w:szCs w:val="24"/>
          <w:shd w:val="clear" w:color="auto" w:fill="FFFFFF"/>
        </w:rPr>
        <w:t>Alijonovich</w:t>
      </w:r>
      <w:proofErr w:type="spellEnd"/>
      <w:r>
        <w:rPr>
          <w:rFonts w:ascii="Times New Roman" w:hAnsi="Times New Roman" w:cs="Times New Roman"/>
          <w:color w:val="222222"/>
          <w:sz w:val="24"/>
          <w:szCs w:val="24"/>
          <w:shd w:val="clear" w:color="auto" w:fill="FFFFFF"/>
        </w:rPr>
        <w:t xml:space="preserve"> </w:t>
      </w:r>
      <w:r w:rsidRPr="00F47EB3">
        <w:rPr>
          <w:rFonts w:ascii="Times New Roman" w:hAnsi="Times New Roman" w:cs="Times New Roman"/>
          <w:color w:val="222222"/>
          <w:sz w:val="24"/>
          <w:szCs w:val="24"/>
          <w:shd w:val="clear" w:color="auto" w:fill="FFFFFF"/>
        </w:rPr>
        <w:t>and</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Akhmadjonovich</w:t>
      </w:r>
      <w:proofErr w:type="spellEnd"/>
      <w:r>
        <w:rPr>
          <w:rFonts w:ascii="Times New Roman" w:hAnsi="Times New Roman" w:cs="Times New Roman"/>
          <w:color w:val="222222"/>
          <w:sz w:val="24"/>
          <w:szCs w:val="24"/>
          <w:shd w:val="clear" w:color="auto" w:fill="FFFFFF"/>
        </w:rPr>
        <w:t xml:space="preserve"> (</w:t>
      </w:r>
      <w:r w:rsidRPr="00F47EB3">
        <w:rPr>
          <w:rFonts w:ascii="Times New Roman" w:hAnsi="Times New Roman" w:cs="Times New Roman"/>
          <w:color w:val="222222"/>
          <w:sz w:val="24"/>
          <w:szCs w:val="24"/>
          <w:shd w:val="clear" w:color="auto" w:fill="FFFFFF"/>
        </w:rPr>
        <w:t>2022</w:t>
      </w:r>
      <w:r>
        <w:rPr>
          <w:rFonts w:ascii="Times New Roman" w:hAnsi="Times New Roman" w:cs="Times New Roman"/>
          <w:color w:val="222222"/>
          <w:sz w:val="24"/>
          <w:szCs w:val="24"/>
          <w:shd w:val="clear" w:color="auto" w:fill="FFFFFF"/>
        </w:rPr>
        <w:t xml:space="preserve">), </w:t>
      </w:r>
      <w:r w:rsidRPr="00DF3DA3">
        <w:rPr>
          <w:rFonts w:ascii="Times New Roman" w:eastAsia="Times New Roman" w:hAnsi="Times New Roman" w:cs="Times New Roman"/>
          <w:color w:val="000000"/>
          <w:sz w:val="24"/>
          <w:szCs w:val="24"/>
          <w:lang w:eastAsia="en-IN"/>
        </w:rPr>
        <w:t>financial statements should also follow all regulations and standards governing accounting. To enable stakeholders to make effective judgments, the financial accounts must be presented clearly and straightforwardly.</w:t>
      </w:r>
    </w:p>
    <w:p w:rsidR="008725B4" w:rsidRPr="00DF3DA3" w:rsidRDefault="008725B4" w:rsidP="008725B4">
      <w:pPr>
        <w:spacing w:before="240" w:after="240" w:line="360" w:lineRule="auto"/>
        <w:jc w:val="both"/>
        <w:rPr>
          <w:rFonts w:ascii="Times New Roman" w:eastAsia="Times New Roman" w:hAnsi="Times New Roman" w:cs="Times New Roman"/>
          <w:sz w:val="24"/>
          <w:szCs w:val="24"/>
          <w:lang w:eastAsia="en-IN"/>
        </w:rPr>
      </w:pPr>
      <w:r w:rsidRPr="00DF3DA3">
        <w:rPr>
          <w:rFonts w:ascii="Times New Roman" w:eastAsia="Times New Roman" w:hAnsi="Times New Roman" w:cs="Times New Roman"/>
          <w:color w:val="000000"/>
          <w:sz w:val="24"/>
          <w:szCs w:val="24"/>
          <w:lang w:eastAsia="en-IN"/>
        </w:rPr>
        <w:t xml:space="preserve">Hence, it can be ultimately said that creating financial statements is implied as a crucial duty for any firm. Furthermore, financial data must be gathered, precisely recorded, and presented clearly and straightforwardly to create relevant financial statements for the firm. </w:t>
      </w:r>
    </w:p>
    <w:p w:rsidR="008725B4" w:rsidRPr="00464131" w:rsidRDefault="008725B4" w:rsidP="008725B4">
      <w:pPr>
        <w:pStyle w:val="Heading2"/>
      </w:pPr>
      <w:bookmarkStart w:id="16" w:name="_Toc133677427"/>
      <w:r w:rsidRPr="00464131">
        <w:t>(b) Calculation of debt ratio and comprise company’s solvency position statement</w:t>
      </w:r>
      <w:bookmarkEnd w:id="16"/>
      <w:r w:rsidRPr="00464131">
        <w:t xml:space="preserve"> </w:t>
      </w:r>
    </w:p>
    <w:p w:rsidR="008725B4" w:rsidRPr="00464131" w:rsidRDefault="008725B4" w:rsidP="008725B4">
      <w:pPr>
        <w:spacing w:line="360" w:lineRule="auto"/>
        <w:jc w:val="both"/>
        <w:rPr>
          <w:rFonts w:ascii="Times New Roman" w:hAnsi="Times New Roman" w:cs="Times New Roman"/>
          <w:sz w:val="24"/>
          <w:szCs w:val="24"/>
        </w:rPr>
      </w:pPr>
      <w:r w:rsidRPr="00464131">
        <w:rPr>
          <w:rFonts w:ascii="Times New Roman" w:hAnsi="Times New Roman" w:cs="Times New Roman"/>
          <w:sz w:val="24"/>
          <w:szCs w:val="24"/>
        </w:rPr>
        <w:t xml:space="preserve">A debt ratio implies the financial indicator considers assessing how much of an </w:t>
      </w:r>
      <w:proofErr w:type="spellStart"/>
      <w:r w:rsidRPr="00464131">
        <w:rPr>
          <w:rFonts w:ascii="Times New Roman" w:hAnsi="Times New Roman" w:cs="Times New Roman"/>
          <w:sz w:val="24"/>
          <w:szCs w:val="24"/>
        </w:rPr>
        <w:t>organisation’s</w:t>
      </w:r>
      <w:proofErr w:type="spellEnd"/>
      <w:r w:rsidRPr="00464131">
        <w:rPr>
          <w:rFonts w:ascii="Times New Roman" w:hAnsi="Times New Roman" w:cs="Times New Roman"/>
          <w:sz w:val="24"/>
          <w:szCs w:val="24"/>
        </w:rPr>
        <w:t xml:space="preserve"> assets are financed by its debt structure. </w:t>
      </w:r>
      <w:r>
        <w:rPr>
          <w:rFonts w:ascii="Times New Roman" w:hAnsi="Times New Roman" w:cs="Times New Roman"/>
          <w:sz w:val="24"/>
          <w:szCs w:val="24"/>
        </w:rPr>
        <w:t xml:space="preserve">As highlighted by </w:t>
      </w:r>
      <w:proofErr w:type="spellStart"/>
      <w:r>
        <w:rPr>
          <w:rFonts w:ascii="Times New Roman" w:hAnsi="Times New Roman" w:cs="Times New Roman"/>
          <w:color w:val="222222"/>
          <w:sz w:val="24"/>
          <w:szCs w:val="24"/>
          <w:shd w:val="clear" w:color="auto" w:fill="FFFFFF"/>
        </w:rPr>
        <w:t>Husna</w:t>
      </w:r>
      <w:proofErr w:type="spellEnd"/>
      <w:r>
        <w:rPr>
          <w:rFonts w:ascii="Times New Roman" w:hAnsi="Times New Roman" w:cs="Times New Roman"/>
          <w:color w:val="222222"/>
          <w:sz w:val="24"/>
          <w:szCs w:val="24"/>
          <w:shd w:val="clear" w:color="auto" w:fill="FFFFFF"/>
        </w:rPr>
        <w:t xml:space="preserve"> and </w:t>
      </w:r>
      <w:proofErr w:type="spellStart"/>
      <w:r>
        <w:rPr>
          <w:rFonts w:ascii="Times New Roman" w:hAnsi="Times New Roman" w:cs="Times New Roman"/>
          <w:color w:val="222222"/>
          <w:sz w:val="24"/>
          <w:szCs w:val="24"/>
          <w:shd w:val="clear" w:color="auto" w:fill="FFFFFF"/>
        </w:rPr>
        <w:t>Satria</w:t>
      </w:r>
      <w:proofErr w:type="spellEnd"/>
      <w:r>
        <w:rPr>
          <w:rFonts w:ascii="Times New Roman" w:hAnsi="Times New Roman" w:cs="Times New Roman"/>
          <w:color w:val="222222"/>
          <w:sz w:val="24"/>
          <w:szCs w:val="24"/>
          <w:shd w:val="clear" w:color="auto" w:fill="FFFFFF"/>
        </w:rPr>
        <w:t xml:space="preserve"> (</w:t>
      </w:r>
      <w:r w:rsidRPr="00F47EB3">
        <w:rPr>
          <w:rFonts w:ascii="Times New Roman" w:hAnsi="Times New Roman" w:cs="Times New Roman"/>
          <w:color w:val="222222"/>
          <w:sz w:val="24"/>
          <w:szCs w:val="24"/>
          <w:shd w:val="clear" w:color="auto" w:fill="FFFFFF"/>
        </w:rPr>
        <w:t>2019</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b</w:t>
      </w:r>
      <w:r w:rsidRPr="00464131">
        <w:rPr>
          <w:rFonts w:ascii="Times New Roman" w:hAnsi="Times New Roman" w:cs="Times New Roman"/>
          <w:sz w:val="24"/>
          <w:szCs w:val="24"/>
        </w:rPr>
        <w:t>y dividing the total debt of the business by its total assets, the debt ratio is determined. The resulting ratio shows how much a business depends on debt financing to finance its operations. Referring to the provided case circumstance and data associated with financial statements, the debt ratio of BUPA Group for the years 2020 and 2021 is calculated as follows.</w:t>
      </w:r>
    </w:p>
    <w:tbl>
      <w:tblPr>
        <w:tblW w:w="6064" w:type="dxa"/>
        <w:tblInd w:w="1136" w:type="dxa"/>
        <w:tblLook w:val="04A0" w:firstRow="1" w:lastRow="0" w:firstColumn="1" w:lastColumn="0" w:noHBand="0" w:noVBand="1"/>
      </w:tblPr>
      <w:tblGrid>
        <w:gridCol w:w="2964"/>
        <w:gridCol w:w="1618"/>
        <w:gridCol w:w="1482"/>
      </w:tblGrid>
      <w:tr w:rsidR="008725B4" w:rsidTr="004A124C">
        <w:trPr>
          <w:trHeight w:val="332"/>
        </w:trPr>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5B4" w:rsidRPr="004D4225" w:rsidRDefault="008725B4" w:rsidP="004A124C">
            <w:pPr>
              <w:spacing w:line="360" w:lineRule="auto"/>
              <w:rPr>
                <w:rFonts w:ascii="Times New Roman" w:eastAsia="Times New Roman" w:hAnsi="Times New Roman" w:cs="Times New Roman"/>
                <w:b/>
                <w:bCs/>
                <w:color w:val="000000"/>
                <w:sz w:val="24"/>
                <w:szCs w:val="24"/>
                <w:lang w:eastAsia="en-IN"/>
              </w:rPr>
            </w:pPr>
            <w:r w:rsidRPr="004D4225">
              <w:rPr>
                <w:rFonts w:ascii="Times New Roman" w:eastAsia="Times New Roman" w:hAnsi="Times New Roman" w:cs="Times New Roman"/>
                <w:b/>
                <w:bCs/>
                <w:color w:val="000000"/>
                <w:sz w:val="24"/>
                <w:szCs w:val="24"/>
                <w:lang w:eastAsia="en-IN"/>
              </w:rPr>
              <w:t xml:space="preserve">Particulars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rsidR="008725B4" w:rsidRPr="004D4225" w:rsidRDefault="008725B4" w:rsidP="004A124C">
            <w:pPr>
              <w:spacing w:line="360" w:lineRule="auto"/>
              <w:jc w:val="center"/>
              <w:rPr>
                <w:rFonts w:ascii="Times New Roman" w:eastAsia="Times New Roman" w:hAnsi="Times New Roman" w:cs="Times New Roman"/>
                <w:b/>
                <w:bCs/>
                <w:color w:val="000000"/>
                <w:sz w:val="24"/>
                <w:szCs w:val="24"/>
                <w:lang w:eastAsia="en-IN"/>
              </w:rPr>
            </w:pPr>
            <w:r w:rsidRPr="004D4225">
              <w:rPr>
                <w:rFonts w:ascii="Times New Roman" w:eastAsia="Times New Roman" w:hAnsi="Times New Roman" w:cs="Times New Roman"/>
                <w:b/>
                <w:bCs/>
                <w:color w:val="000000"/>
                <w:sz w:val="24"/>
                <w:szCs w:val="24"/>
                <w:lang w:eastAsia="en-IN"/>
              </w:rPr>
              <w:t>2021 (£ M)</w:t>
            </w:r>
          </w:p>
        </w:tc>
        <w:tc>
          <w:tcPr>
            <w:tcW w:w="1482" w:type="dxa"/>
            <w:tcBorders>
              <w:top w:val="single" w:sz="4" w:space="0" w:color="auto"/>
              <w:left w:val="nil"/>
              <w:bottom w:val="single" w:sz="4" w:space="0" w:color="auto"/>
              <w:right w:val="single" w:sz="4" w:space="0" w:color="auto"/>
            </w:tcBorders>
            <w:shd w:val="clear" w:color="auto" w:fill="auto"/>
            <w:noWrap/>
            <w:vAlign w:val="bottom"/>
            <w:hideMark/>
          </w:tcPr>
          <w:p w:rsidR="008725B4" w:rsidRPr="004D4225" w:rsidRDefault="008725B4" w:rsidP="004A124C">
            <w:pPr>
              <w:spacing w:line="360" w:lineRule="auto"/>
              <w:jc w:val="center"/>
              <w:rPr>
                <w:rFonts w:ascii="Times New Roman" w:eastAsia="Times New Roman" w:hAnsi="Times New Roman" w:cs="Times New Roman"/>
                <w:b/>
                <w:bCs/>
                <w:color w:val="000000"/>
                <w:sz w:val="24"/>
                <w:szCs w:val="24"/>
                <w:lang w:eastAsia="en-IN"/>
              </w:rPr>
            </w:pPr>
            <w:r w:rsidRPr="004D4225">
              <w:rPr>
                <w:rFonts w:ascii="Times New Roman" w:eastAsia="Times New Roman" w:hAnsi="Times New Roman" w:cs="Times New Roman"/>
                <w:b/>
                <w:bCs/>
                <w:color w:val="000000"/>
                <w:sz w:val="24"/>
                <w:szCs w:val="24"/>
                <w:lang w:eastAsia="en-IN"/>
              </w:rPr>
              <w:t>2020 (£ M)</w:t>
            </w:r>
          </w:p>
        </w:tc>
      </w:tr>
      <w:tr w:rsidR="008725B4" w:rsidTr="004A124C">
        <w:trPr>
          <w:trHeight w:val="332"/>
        </w:trPr>
        <w:tc>
          <w:tcPr>
            <w:tcW w:w="2964" w:type="dxa"/>
            <w:tcBorders>
              <w:top w:val="nil"/>
              <w:left w:val="single" w:sz="4" w:space="0" w:color="auto"/>
              <w:bottom w:val="single" w:sz="4" w:space="0" w:color="auto"/>
              <w:right w:val="single" w:sz="4" w:space="0" w:color="auto"/>
            </w:tcBorders>
            <w:shd w:val="clear" w:color="auto" w:fill="auto"/>
            <w:noWrap/>
            <w:vAlign w:val="bottom"/>
            <w:hideMark/>
          </w:tcPr>
          <w:p w:rsidR="008725B4" w:rsidRPr="004D4225" w:rsidRDefault="008725B4" w:rsidP="004A124C">
            <w:pPr>
              <w:spacing w:line="360" w:lineRule="auto"/>
              <w:rPr>
                <w:rFonts w:ascii="Times New Roman" w:eastAsia="Times New Roman" w:hAnsi="Times New Roman" w:cs="Times New Roman"/>
                <w:color w:val="000000"/>
                <w:sz w:val="24"/>
                <w:szCs w:val="24"/>
                <w:lang w:eastAsia="en-IN"/>
              </w:rPr>
            </w:pPr>
            <w:r w:rsidRPr="004D4225">
              <w:rPr>
                <w:rFonts w:ascii="Times New Roman" w:eastAsia="Times New Roman" w:hAnsi="Times New Roman" w:cs="Times New Roman"/>
                <w:color w:val="000000"/>
                <w:sz w:val="24"/>
                <w:szCs w:val="24"/>
                <w:lang w:eastAsia="en-IN"/>
              </w:rPr>
              <w:t xml:space="preserve">Total debt </w:t>
            </w:r>
          </w:p>
        </w:tc>
        <w:tc>
          <w:tcPr>
            <w:tcW w:w="1618" w:type="dxa"/>
            <w:tcBorders>
              <w:top w:val="nil"/>
              <w:left w:val="nil"/>
              <w:bottom w:val="single" w:sz="4" w:space="0" w:color="auto"/>
              <w:right w:val="single" w:sz="4" w:space="0" w:color="auto"/>
            </w:tcBorders>
            <w:shd w:val="clear" w:color="auto" w:fill="auto"/>
            <w:noWrap/>
            <w:vAlign w:val="bottom"/>
            <w:hideMark/>
          </w:tcPr>
          <w:p w:rsidR="008725B4" w:rsidRPr="004D4225" w:rsidRDefault="008725B4" w:rsidP="004A124C">
            <w:pPr>
              <w:spacing w:line="360" w:lineRule="auto"/>
              <w:jc w:val="center"/>
              <w:rPr>
                <w:rFonts w:ascii="Times New Roman" w:eastAsia="Times New Roman" w:hAnsi="Times New Roman" w:cs="Times New Roman"/>
                <w:color w:val="000000"/>
                <w:sz w:val="24"/>
                <w:szCs w:val="24"/>
                <w:lang w:eastAsia="en-IN"/>
              </w:rPr>
            </w:pPr>
            <w:r w:rsidRPr="004D4225">
              <w:rPr>
                <w:rFonts w:ascii="Times New Roman" w:eastAsia="Times New Roman" w:hAnsi="Times New Roman" w:cs="Times New Roman"/>
                <w:color w:val="000000"/>
                <w:sz w:val="24"/>
                <w:szCs w:val="24"/>
                <w:lang w:eastAsia="en-IN"/>
              </w:rPr>
              <w:t>9139</w:t>
            </w:r>
          </w:p>
        </w:tc>
        <w:tc>
          <w:tcPr>
            <w:tcW w:w="1482" w:type="dxa"/>
            <w:tcBorders>
              <w:top w:val="nil"/>
              <w:left w:val="nil"/>
              <w:bottom w:val="single" w:sz="4" w:space="0" w:color="auto"/>
              <w:right w:val="single" w:sz="4" w:space="0" w:color="auto"/>
            </w:tcBorders>
            <w:shd w:val="clear" w:color="auto" w:fill="auto"/>
            <w:noWrap/>
            <w:vAlign w:val="bottom"/>
            <w:hideMark/>
          </w:tcPr>
          <w:p w:rsidR="008725B4" w:rsidRPr="004D4225" w:rsidRDefault="008725B4" w:rsidP="004A124C">
            <w:pPr>
              <w:spacing w:line="360" w:lineRule="auto"/>
              <w:jc w:val="center"/>
              <w:rPr>
                <w:rFonts w:ascii="Times New Roman" w:eastAsia="Times New Roman" w:hAnsi="Times New Roman" w:cs="Times New Roman"/>
                <w:color w:val="000000"/>
                <w:sz w:val="24"/>
                <w:szCs w:val="24"/>
                <w:lang w:eastAsia="en-IN"/>
              </w:rPr>
            </w:pPr>
            <w:r w:rsidRPr="004D4225">
              <w:rPr>
                <w:rFonts w:ascii="Times New Roman" w:eastAsia="Times New Roman" w:hAnsi="Times New Roman" w:cs="Times New Roman"/>
                <w:color w:val="000000"/>
                <w:sz w:val="24"/>
                <w:szCs w:val="24"/>
                <w:lang w:eastAsia="en-IN"/>
              </w:rPr>
              <w:t>9862</w:t>
            </w:r>
          </w:p>
        </w:tc>
      </w:tr>
      <w:tr w:rsidR="008725B4" w:rsidTr="004A124C">
        <w:trPr>
          <w:trHeight w:val="332"/>
        </w:trPr>
        <w:tc>
          <w:tcPr>
            <w:tcW w:w="2964" w:type="dxa"/>
            <w:tcBorders>
              <w:top w:val="nil"/>
              <w:left w:val="single" w:sz="4" w:space="0" w:color="auto"/>
              <w:bottom w:val="single" w:sz="4" w:space="0" w:color="auto"/>
              <w:right w:val="single" w:sz="4" w:space="0" w:color="auto"/>
            </w:tcBorders>
            <w:shd w:val="clear" w:color="auto" w:fill="auto"/>
            <w:noWrap/>
            <w:vAlign w:val="bottom"/>
            <w:hideMark/>
          </w:tcPr>
          <w:p w:rsidR="008725B4" w:rsidRPr="004D4225" w:rsidRDefault="008725B4" w:rsidP="004A124C">
            <w:pPr>
              <w:spacing w:line="360" w:lineRule="auto"/>
              <w:rPr>
                <w:rFonts w:ascii="Times New Roman" w:eastAsia="Times New Roman" w:hAnsi="Times New Roman" w:cs="Times New Roman"/>
                <w:color w:val="000000"/>
                <w:sz w:val="24"/>
                <w:szCs w:val="24"/>
                <w:lang w:eastAsia="en-IN"/>
              </w:rPr>
            </w:pPr>
            <w:r w:rsidRPr="004D4225">
              <w:rPr>
                <w:rFonts w:ascii="Times New Roman" w:eastAsia="Times New Roman" w:hAnsi="Times New Roman" w:cs="Times New Roman"/>
                <w:color w:val="000000"/>
                <w:sz w:val="24"/>
                <w:szCs w:val="24"/>
                <w:lang w:eastAsia="en-IN"/>
              </w:rPr>
              <w:t xml:space="preserve">(/): Total assets </w:t>
            </w:r>
          </w:p>
        </w:tc>
        <w:tc>
          <w:tcPr>
            <w:tcW w:w="1618" w:type="dxa"/>
            <w:tcBorders>
              <w:top w:val="nil"/>
              <w:left w:val="nil"/>
              <w:bottom w:val="single" w:sz="4" w:space="0" w:color="auto"/>
              <w:right w:val="single" w:sz="4" w:space="0" w:color="auto"/>
            </w:tcBorders>
            <w:shd w:val="clear" w:color="auto" w:fill="auto"/>
            <w:noWrap/>
            <w:vAlign w:val="bottom"/>
            <w:hideMark/>
          </w:tcPr>
          <w:p w:rsidR="008725B4" w:rsidRPr="004D4225" w:rsidRDefault="008725B4" w:rsidP="004A124C">
            <w:pPr>
              <w:spacing w:line="360" w:lineRule="auto"/>
              <w:jc w:val="center"/>
              <w:rPr>
                <w:rFonts w:ascii="Times New Roman" w:eastAsia="Times New Roman" w:hAnsi="Times New Roman" w:cs="Times New Roman"/>
                <w:color w:val="000000"/>
                <w:sz w:val="24"/>
                <w:szCs w:val="24"/>
                <w:lang w:eastAsia="en-IN"/>
              </w:rPr>
            </w:pPr>
            <w:r w:rsidRPr="004D4225">
              <w:rPr>
                <w:rFonts w:ascii="Times New Roman" w:eastAsia="Times New Roman" w:hAnsi="Times New Roman" w:cs="Times New Roman"/>
                <w:color w:val="000000"/>
                <w:sz w:val="24"/>
                <w:szCs w:val="24"/>
                <w:lang w:eastAsia="en-IN"/>
              </w:rPr>
              <w:t>16597</w:t>
            </w:r>
          </w:p>
        </w:tc>
        <w:tc>
          <w:tcPr>
            <w:tcW w:w="1482" w:type="dxa"/>
            <w:tcBorders>
              <w:top w:val="nil"/>
              <w:left w:val="nil"/>
              <w:bottom w:val="single" w:sz="4" w:space="0" w:color="auto"/>
              <w:right w:val="single" w:sz="4" w:space="0" w:color="auto"/>
            </w:tcBorders>
            <w:shd w:val="clear" w:color="auto" w:fill="auto"/>
            <w:noWrap/>
            <w:vAlign w:val="bottom"/>
            <w:hideMark/>
          </w:tcPr>
          <w:p w:rsidR="008725B4" w:rsidRPr="004D4225" w:rsidRDefault="008725B4" w:rsidP="004A124C">
            <w:pPr>
              <w:spacing w:line="360" w:lineRule="auto"/>
              <w:jc w:val="center"/>
              <w:rPr>
                <w:rFonts w:ascii="Times New Roman" w:eastAsia="Times New Roman" w:hAnsi="Times New Roman" w:cs="Times New Roman"/>
                <w:color w:val="000000"/>
                <w:sz w:val="24"/>
                <w:szCs w:val="24"/>
                <w:lang w:eastAsia="en-IN"/>
              </w:rPr>
            </w:pPr>
            <w:r w:rsidRPr="004D4225">
              <w:rPr>
                <w:rFonts w:ascii="Times New Roman" w:eastAsia="Times New Roman" w:hAnsi="Times New Roman" w:cs="Times New Roman"/>
                <w:color w:val="000000"/>
                <w:sz w:val="24"/>
                <w:szCs w:val="24"/>
                <w:lang w:eastAsia="en-IN"/>
              </w:rPr>
              <w:t>17010</w:t>
            </w:r>
          </w:p>
        </w:tc>
      </w:tr>
      <w:tr w:rsidR="008725B4" w:rsidTr="004A124C">
        <w:trPr>
          <w:trHeight w:val="332"/>
        </w:trPr>
        <w:tc>
          <w:tcPr>
            <w:tcW w:w="2964" w:type="dxa"/>
            <w:tcBorders>
              <w:top w:val="nil"/>
              <w:left w:val="single" w:sz="4" w:space="0" w:color="auto"/>
              <w:bottom w:val="single" w:sz="4" w:space="0" w:color="auto"/>
              <w:right w:val="single" w:sz="4" w:space="0" w:color="auto"/>
            </w:tcBorders>
            <w:shd w:val="clear" w:color="auto" w:fill="auto"/>
            <w:noWrap/>
            <w:vAlign w:val="bottom"/>
            <w:hideMark/>
          </w:tcPr>
          <w:p w:rsidR="008725B4" w:rsidRPr="004D4225" w:rsidRDefault="008725B4" w:rsidP="004A124C">
            <w:pPr>
              <w:spacing w:line="360" w:lineRule="auto"/>
              <w:rPr>
                <w:rFonts w:ascii="Times New Roman" w:eastAsia="Times New Roman" w:hAnsi="Times New Roman" w:cs="Times New Roman"/>
                <w:b/>
                <w:bCs/>
                <w:color w:val="000000"/>
                <w:sz w:val="24"/>
                <w:szCs w:val="24"/>
                <w:lang w:eastAsia="en-IN"/>
              </w:rPr>
            </w:pPr>
            <w:r w:rsidRPr="004D4225">
              <w:rPr>
                <w:rFonts w:ascii="Times New Roman" w:eastAsia="Times New Roman" w:hAnsi="Times New Roman" w:cs="Times New Roman"/>
                <w:b/>
                <w:bCs/>
                <w:color w:val="000000"/>
                <w:sz w:val="24"/>
                <w:szCs w:val="24"/>
                <w:lang w:eastAsia="en-IN"/>
              </w:rPr>
              <w:t xml:space="preserve">Debt ratio </w:t>
            </w:r>
          </w:p>
        </w:tc>
        <w:tc>
          <w:tcPr>
            <w:tcW w:w="1618" w:type="dxa"/>
            <w:tcBorders>
              <w:top w:val="nil"/>
              <w:left w:val="nil"/>
              <w:bottom w:val="single" w:sz="4" w:space="0" w:color="auto"/>
              <w:right w:val="single" w:sz="4" w:space="0" w:color="auto"/>
            </w:tcBorders>
            <w:shd w:val="clear" w:color="auto" w:fill="auto"/>
            <w:noWrap/>
            <w:vAlign w:val="bottom"/>
            <w:hideMark/>
          </w:tcPr>
          <w:p w:rsidR="008725B4" w:rsidRPr="004D4225" w:rsidRDefault="008725B4" w:rsidP="004A124C">
            <w:pPr>
              <w:spacing w:line="360" w:lineRule="auto"/>
              <w:jc w:val="center"/>
              <w:rPr>
                <w:rFonts w:ascii="Times New Roman" w:eastAsia="Times New Roman" w:hAnsi="Times New Roman" w:cs="Times New Roman"/>
                <w:b/>
                <w:bCs/>
                <w:color w:val="000000"/>
                <w:sz w:val="24"/>
                <w:szCs w:val="24"/>
                <w:lang w:eastAsia="en-IN"/>
              </w:rPr>
            </w:pPr>
            <w:r w:rsidRPr="004D4225">
              <w:rPr>
                <w:rFonts w:ascii="Times New Roman" w:eastAsia="Times New Roman" w:hAnsi="Times New Roman" w:cs="Times New Roman"/>
                <w:b/>
                <w:bCs/>
                <w:color w:val="000000"/>
                <w:sz w:val="24"/>
                <w:szCs w:val="24"/>
                <w:lang w:eastAsia="en-IN"/>
              </w:rPr>
              <w:t>0.55</w:t>
            </w:r>
          </w:p>
        </w:tc>
        <w:tc>
          <w:tcPr>
            <w:tcW w:w="1482" w:type="dxa"/>
            <w:tcBorders>
              <w:top w:val="nil"/>
              <w:left w:val="nil"/>
              <w:bottom w:val="single" w:sz="4" w:space="0" w:color="auto"/>
              <w:right w:val="single" w:sz="4" w:space="0" w:color="auto"/>
            </w:tcBorders>
            <w:shd w:val="clear" w:color="auto" w:fill="auto"/>
            <w:noWrap/>
            <w:vAlign w:val="bottom"/>
            <w:hideMark/>
          </w:tcPr>
          <w:p w:rsidR="008725B4" w:rsidRPr="004D4225" w:rsidRDefault="008725B4" w:rsidP="004A124C">
            <w:pPr>
              <w:spacing w:line="360" w:lineRule="auto"/>
              <w:jc w:val="center"/>
              <w:rPr>
                <w:rFonts w:ascii="Times New Roman" w:eastAsia="Times New Roman" w:hAnsi="Times New Roman" w:cs="Times New Roman"/>
                <w:b/>
                <w:bCs/>
                <w:color w:val="000000"/>
                <w:sz w:val="24"/>
                <w:szCs w:val="24"/>
                <w:lang w:eastAsia="en-IN"/>
              </w:rPr>
            </w:pPr>
            <w:r w:rsidRPr="004D4225">
              <w:rPr>
                <w:rFonts w:ascii="Times New Roman" w:eastAsia="Times New Roman" w:hAnsi="Times New Roman" w:cs="Times New Roman"/>
                <w:b/>
                <w:bCs/>
                <w:color w:val="000000"/>
                <w:sz w:val="24"/>
                <w:szCs w:val="24"/>
                <w:lang w:eastAsia="en-IN"/>
              </w:rPr>
              <w:t>0.58</w:t>
            </w:r>
          </w:p>
        </w:tc>
      </w:tr>
    </w:tbl>
    <w:p w:rsidR="008725B4" w:rsidRPr="00464131" w:rsidRDefault="008725B4" w:rsidP="008725B4">
      <w:pPr>
        <w:spacing w:line="360" w:lineRule="auto"/>
        <w:jc w:val="both"/>
        <w:rPr>
          <w:rFonts w:ascii="Times New Roman" w:hAnsi="Times New Roman" w:cs="Times New Roman"/>
          <w:sz w:val="24"/>
          <w:szCs w:val="24"/>
        </w:rPr>
      </w:pPr>
    </w:p>
    <w:p w:rsidR="008725B4" w:rsidRPr="00464131" w:rsidRDefault="008725B4" w:rsidP="008725B4">
      <w:pPr>
        <w:spacing w:before="240" w:after="240" w:line="360" w:lineRule="auto"/>
        <w:jc w:val="both"/>
        <w:rPr>
          <w:rFonts w:ascii="Times New Roman" w:eastAsia="Times New Roman" w:hAnsi="Times New Roman" w:cs="Times New Roman"/>
          <w:sz w:val="24"/>
          <w:szCs w:val="24"/>
          <w:lang w:eastAsia="en-IN"/>
        </w:rPr>
      </w:pPr>
      <w:r w:rsidRPr="00464131">
        <w:rPr>
          <w:rFonts w:ascii="Times New Roman" w:eastAsia="Times New Roman" w:hAnsi="Times New Roman" w:cs="Times New Roman"/>
          <w:b/>
          <w:bCs/>
          <w:i/>
          <w:iCs/>
          <w:color w:val="000000"/>
          <w:sz w:val="24"/>
          <w:szCs w:val="24"/>
          <w:lang w:eastAsia="en-IN"/>
        </w:rPr>
        <w:lastRenderedPageBreak/>
        <w:t>Analysis:</w:t>
      </w:r>
      <w:r w:rsidRPr="00464131">
        <w:rPr>
          <w:rFonts w:ascii="Times New Roman" w:eastAsia="Times New Roman" w:hAnsi="Times New Roman" w:cs="Times New Roman"/>
          <w:color w:val="000000"/>
          <w:sz w:val="24"/>
          <w:szCs w:val="24"/>
          <w:lang w:eastAsia="en-IN"/>
        </w:rPr>
        <w:t xml:space="preserve"> From the above-provided calculation, it can be appropriately said that the debt-to-equity ratio of BUPA Group in 2021 is explored as 0.55, which indicates that debt accounts for 55% of the company's assets. </w:t>
      </w:r>
      <w:r>
        <w:rPr>
          <w:rFonts w:ascii="Times New Roman" w:eastAsia="Times New Roman" w:hAnsi="Times New Roman" w:cs="Times New Roman"/>
          <w:color w:val="000000"/>
          <w:sz w:val="24"/>
          <w:szCs w:val="24"/>
          <w:lang w:eastAsia="en-IN"/>
        </w:rPr>
        <w:t xml:space="preserve">As considered by </w:t>
      </w:r>
      <w:proofErr w:type="spellStart"/>
      <w:r>
        <w:rPr>
          <w:rFonts w:ascii="Times New Roman" w:hAnsi="Times New Roman" w:cs="Times New Roman"/>
          <w:color w:val="222222"/>
          <w:sz w:val="24"/>
          <w:szCs w:val="24"/>
          <w:shd w:val="clear" w:color="auto" w:fill="FFFFFF"/>
        </w:rPr>
        <w:t>Ayoush</w:t>
      </w:r>
      <w:proofErr w:type="spellEnd"/>
      <w:r>
        <w:rPr>
          <w:rFonts w:ascii="Times New Roman" w:hAnsi="Times New Roman" w:cs="Times New Roman"/>
          <w:color w:val="222222"/>
          <w:sz w:val="24"/>
          <w:szCs w:val="24"/>
          <w:shd w:val="clear" w:color="auto" w:fill="FFFFFF"/>
        </w:rPr>
        <w:t xml:space="preserve"> et al. (</w:t>
      </w:r>
      <w:r w:rsidRPr="00F47EB3">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 xml:space="preserve">), </w:t>
      </w:r>
      <w:r>
        <w:rPr>
          <w:rFonts w:ascii="Times New Roman" w:eastAsia="Times New Roman" w:hAnsi="Times New Roman" w:cs="Times New Roman"/>
          <w:color w:val="000000"/>
          <w:sz w:val="24"/>
          <w:szCs w:val="24"/>
          <w:lang w:eastAsia="en-IN"/>
        </w:rPr>
        <w:t>t</w:t>
      </w:r>
      <w:r w:rsidRPr="00464131">
        <w:rPr>
          <w:rFonts w:ascii="Times New Roman" w:eastAsia="Times New Roman" w:hAnsi="Times New Roman" w:cs="Times New Roman"/>
          <w:color w:val="000000"/>
          <w:sz w:val="24"/>
          <w:szCs w:val="24"/>
          <w:lang w:eastAsia="en-IN"/>
        </w:rPr>
        <w:t xml:space="preserve">his shows that the company has lessened its reliance on debt financing over the previous year as it is somewhat lower than the company's debt ratio of 0.58 in 2020. Irrespective of this, the structure of the company is </w:t>
      </w:r>
      <w:proofErr w:type="spellStart"/>
      <w:r w:rsidRPr="00464131">
        <w:rPr>
          <w:rFonts w:ascii="Times New Roman" w:eastAsia="Times New Roman" w:hAnsi="Times New Roman" w:cs="Times New Roman"/>
          <w:color w:val="000000"/>
          <w:sz w:val="24"/>
          <w:szCs w:val="24"/>
          <w:lang w:eastAsia="en-IN"/>
        </w:rPr>
        <w:t>recognised</w:t>
      </w:r>
      <w:proofErr w:type="spellEnd"/>
      <w:r w:rsidRPr="00464131">
        <w:rPr>
          <w:rFonts w:ascii="Times New Roman" w:eastAsia="Times New Roman" w:hAnsi="Times New Roman" w:cs="Times New Roman"/>
          <w:color w:val="000000"/>
          <w:sz w:val="24"/>
          <w:szCs w:val="24"/>
          <w:lang w:eastAsia="en-IN"/>
        </w:rPr>
        <w:t xml:space="preserve"> as still much higher than the 35% industry average for the healthcare sector, indicating that the company faces greater financial risk than its competitors.</w:t>
      </w:r>
    </w:p>
    <w:p w:rsidR="008725B4" w:rsidRPr="00464131" w:rsidRDefault="008725B4" w:rsidP="008725B4">
      <w:pPr>
        <w:spacing w:before="240" w:after="240" w:line="360" w:lineRule="auto"/>
        <w:jc w:val="both"/>
        <w:rPr>
          <w:rFonts w:ascii="Times New Roman" w:eastAsia="Times New Roman" w:hAnsi="Times New Roman" w:cs="Times New Roman"/>
          <w:sz w:val="24"/>
          <w:szCs w:val="24"/>
          <w:lang w:eastAsia="en-IN"/>
        </w:rPr>
      </w:pPr>
      <w:r w:rsidRPr="00464131">
        <w:rPr>
          <w:rFonts w:ascii="Times New Roman" w:eastAsia="Times New Roman" w:hAnsi="Times New Roman" w:cs="Times New Roman"/>
          <w:color w:val="000000"/>
          <w:sz w:val="24"/>
          <w:szCs w:val="24"/>
          <w:lang w:eastAsia="en-IN"/>
        </w:rPr>
        <w:t>Irrespective of this, it can be referred to that BUPA Group poses a total debt structure worth £ 9,862 in 2020 and £ 9,139 in 2021. Besides, the company also acquires total asset valuation amounts to £ 17,010 in 2020 and 16,597 in 2021. Over the years, it is identified that the company deteriorates both its debt and assets structure in 2021 in comparison to its previous year of 2020. However, it is important to keep in mind that a high debt ratio can raise the financial risk of BUPA Group and even result in insolvency if it is unable to produce enough cash flows to pay its debts</w:t>
      </w:r>
      <w:r>
        <w:rPr>
          <w:rFonts w:ascii="Times New Roman" w:eastAsia="Times New Roman" w:hAnsi="Times New Roman" w:cs="Times New Roman"/>
          <w:color w:val="000000"/>
          <w:sz w:val="24"/>
          <w:szCs w:val="24"/>
          <w:lang w:eastAsia="en-IN"/>
        </w:rPr>
        <w:t xml:space="preserve"> (</w:t>
      </w:r>
      <w:r>
        <w:rPr>
          <w:rFonts w:ascii="Times New Roman" w:hAnsi="Times New Roman" w:cs="Times New Roman"/>
          <w:color w:val="222222"/>
          <w:sz w:val="24"/>
          <w:szCs w:val="24"/>
          <w:shd w:val="clear" w:color="auto" w:fill="FFFFFF"/>
        </w:rPr>
        <w:t>Fang, 2021)</w:t>
      </w:r>
      <w:r w:rsidRPr="00464131">
        <w:rPr>
          <w:rFonts w:ascii="Times New Roman" w:eastAsia="Times New Roman" w:hAnsi="Times New Roman" w:cs="Times New Roman"/>
          <w:color w:val="000000"/>
          <w:sz w:val="24"/>
          <w:szCs w:val="24"/>
          <w:lang w:eastAsia="en-IN"/>
        </w:rPr>
        <w:t>. Concerning this, investors and stakeholders should actively monitor the BUPA Group’s capacity to generate cash flows and also to satisfy its debt commitments to maintain the company's solvency condition in the upcoming years also.</w:t>
      </w:r>
    </w:p>
    <w:p w:rsidR="0062655D" w:rsidRPr="008725B4" w:rsidRDefault="008725B4" w:rsidP="008725B4">
      <w:pPr>
        <w:pStyle w:val="Heading2"/>
        <w:rPr>
          <w:rFonts w:cs="Times New Roman"/>
          <w:szCs w:val="24"/>
        </w:rPr>
      </w:pPr>
      <w:bookmarkStart w:id="17" w:name="_Toc133665038"/>
      <w:bookmarkStart w:id="18" w:name="_Toc133677428"/>
      <w:r>
        <w:rPr>
          <w:lang w:val="en-GB"/>
        </w:rPr>
        <w:t>(</w:t>
      </w:r>
      <w:r w:rsidR="00437EBC" w:rsidRPr="003D47ED">
        <w:rPr>
          <w:lang w:val="en-GB"/>
        </w:rPr>
        <w:t>c) Appraising the role of the traditional finance function</w:t>
      </w:r>
      <w:r w:rsidR="00C445FE">
        <w:rPr>
          <w:lang w:val="en-GB"/>
        </w:rPr>
        <w:t xml:space="preserve"> in healthcare </w:t>
      </w:r>
      <w:proofErr w:type="spellStart"/>
      <w:r w:rsidR="00C445FE" w:rsidRPr="00C445FE">
        <w:t>Organisations</w:t>
      </w:r>
      <w:bookmarkEnd w:id="17"/>
      <w:bookmarkEnd w:id="18"/>
      <w:proofErr w:type="spellEnd"/>
      <w:r w:rsidR="00C445FE">
        <w:rPr>
          <w:lang w:val="en-GB"/>
        </w:rPr>
        <w:t xml:space="preserve"> </w:t>
      </w:r>
    </w:p>
    <w:p w:rsidR="0062655D" w:rsidRPr="003D47ED" w:rsidRDefault="00437EBC">
      <w:pPr>
        <w:pStyle w:val="Normal1"/>
        <w:spacing w:line="360" w:lineRule="auto"/>
        <w:jc w:val="both"/>
        <w:rPr>
          <w:rFonts w:ascii="Times New Roman" w:eastAsia="Times New Roman" w:hAnsi="Times New Roman" w:cs="Times New Roman"/>
          <w:sz w:val="24"/>
          <w:szCs w:val="24"/>
          <w:lang w:val="en-GB"/>
        </w:rPr>
      </w:pPr>
      <w:r w:rsidRPr="003D47ED">
        <w:rPr>
          <w:rFonts w:ascii="Times New Roman" w:eastAsia="Times New Roman" w:hAnsi="Times New Roman" w:cs="Times New Roman"/>
          <w:sz w:val="24"/>
          <w:szCs w:val="24"/>
          <w:lang w:val="en-GB"/>
        </w:rPr>
        <w:t xml:space="preserve">Traditional finance refers to the process of managing finance and assets through paper-based solutions. As per the view of </w:t>
      </w:r>
      <w:proofErr w:type="spellStart"/>
      <w:r w:rsidRPr="003D47ED">
        <w:rPr>
          <w:rFonts w:ascii="Times New Roman" w:eastAsia="Times New Roman" w:hAnsi="Times New Roman" w:cs="Times New Roman"/>
          <w:sz w:val="24"/>
          <w:szCs w:val="24"/>
          <w:lang w:val="en-GB"/>
        </w:rPr>
        <w:t>Haralayya</w:t>
      </w:r>
      <w:proofErr w:type="spellEnd"/>
      <w:r w:rsidRPr="003D47ED">
        <w:rPr>
          <w:rFonts w:ascii="Times New Roman" w:eastAsia="Times New Roman" w:hAnsi="Times New Roman" w:cs="Times New Roman"/>
          <w:sz w:val="24"/>
          <w:szCs w:val="24"/>
          <w:lang w:val="en-GB"/>
        </w:rPr>
        <w:t xml:space="preserve"> (2021), traditional finance helps investors in accessing financial information from banks and institutions. The paper-based process of traditional finance provides insight into the transactions and all alliances to the investors. In this context, the traditional finance process relies on the fact that the market and people are rational. Accordingly, investors are able to access huge data and information regarding the financial expenses of the banks through reports and spreadsheets. Similarly, healthcare institutions use the traditional finance method to manage financial assets and liabilities. On the other hand, the traditional finance process helps healthcare institutions minimise financial risks through cost measurement activities (</w:t>
      </w:r>
      <w:proofErr w:type="spellStart"/>
      <w:r w:rsidRPr="003D47ED">
        <w:rPr>
          <w:rFonts w:ascii="Times New Roman" w:eastAsia="Times New Roman" w:hAnsi="Times New Roman" w:cs="Times New Roman"/>
          <w:sz w:val="24"/>
          <w:szCs w:val="24"/>
          <w:lang w:val="en-GB"/>
        </w:rPr>
        <w:t>Noy</w:t>
      </w:r>
      <w:proofErr w:type="spellEnd"/>
      <w:r w:rsidRPr="003D47ED">
        <w:rPr>
          <w:rFonts w:ascii="Times New Roman" w:eastAsia="Times New Roman" w:hAnsi="Times New Roman" w:cs="Times New Roman"/>
          <w:sz w:val="24"/>
          <w:szCs w:val="24"/>
          <w:lang w:val="en-GB"/>
        </w:rPr>
        <w:t xml:space="preserve"> </w:t>
      </w:r>
      <w:r w:rsidRPr="003D47ED">
        <w:rPr>
          <w:rFonts w:ascii="Times New Roman" w:eastAsia="Times New Roman" w:hAnsi="Times New Roman" w:cs="Times New Roman"/>
          <w:i/>
          <w:sz w:val="24"/>
          <w:szCs w:val="24"/>
          <w:lang w:val="en-GB"/>
        </w:rPr>
        <w:t>et al.,</w:t>
      </w:r>
      <w:r w:rsidRPr="003D47ED">
        <w:rPr>
          <w:rFonts w:ascii="Times New Roman" w:eastAsia="Times New Roman" w:hAnsi="Times New Roman" w:cs="Times New Roman"/>
          <w:sz w:val="24"/>
          <w:szCs w:val="24"/>
          <w:lang w:val="en-GB"/>
        </w:rPr>
        <w:t xml:space="preserve"> 2020). In turn, the cash management programme of healthcare institutions is dependent on the traditional finance process due to its paper-based solution. Moreover, the audit members of the healthcare institutions can gather information on all the financial expenses due to the paper-based solution of traditional finance (</w:t>
      </w:r>
      <w:proofErr w:type="spellStart"/>
      <w:r w:rsidRPr="003D47ED">
        <w:rPr>
          <w:rFonts w:ascii="Times New Roman" w:eastAsia="Times New Roman" w:hAnsi="Times New Roman" w:cs="Times New Roman"/>
          <w:sz w:val="24"/>
          <w:szCs w:val="24"/>
          <w:lang w:val="en-GB"/>
        </w:rPr>
        <w:t>Laroiya</w:t>
      </w:r>
      <w:proofErr w:type="spellEnd"/>
      <w:r w:rsidRPr="003D47ED">
        <w:rPr>
          <w:rFonts w:ascii="Times New Roman" w:eastAsia="Times New Roman" w:hAnsi="Times New Roman" w:cs="Times New Roman"/>
          <w:sz w:val="24"/>
          <w:szCs w:val="24"/>
          <w:lang w:val="en-GB"/>
        </w:rPr>
        <w:t xml:space="preserve"> </w:t>
      </w:r>
      <w:r w:rsidRPr="003D47ED">
        <w:rPr>
          <w:rFonts w:ascii="Times New Roman" w:eastAsia="Times New Roman" w:hAnsi="Times New Roman" w:cs="Times New Roman"/>
          <w:i/>
          <w:sz w:val="24"/>
          <w:szCs w:val="24"/>
          <w:lang w:val="en-GB"/>
        </w:rPr>
        <w:t>et al.,</w:t>
      </w:r>
      <w:r w:rsidRPr="003D47ED">
        <w:rPr>
          <w:rFonts w:ascii="Times New Roman" w:eastAsia="Times New Roman" w:hAnsi="Times New Roman" w:cs="Times New Roman"/>
          <w:sz w:val="24"/>
          <w:szCs w:val="24"/>
          <w:lang w:val="en-GB"/>
        </w:rPr>
        <w:t xml:space="preserve"> 2020). In addition, healthcare institutions are </w:t>
      </w:r>
      <w:r w:rsidRPr="003D47ED">
        <w:rPr>
          <w:rFonts w:ascii="Times New Roman" w:eastAsia="Times New Roman" w:hAnsi="Times New Roman" w:cs="Times New Roman"/>
          <w:sz w:val="24"/>
          <w:szCs w:val="24"/>
          <w:lang w:val="en-GB"/>
        </w:rPr>
        <w:lastRenderedPageBreak/>
        <w:t>able to disclose their financial reporting through the traditional financial process. Therefore</w:t>
      </w:r>
      <w:r w:rsidR="008725B4" w:rsidRPr="003D47ED">
        <w:rPr>
          <w:rFonts w:ascii="Times New Roman" w:eastAsia="Times New Roman" w:hAnsi="Times New Roman" w:cs="Times New Roman"/>
          <w:sz w:val="24"/>
          <w:szCs w:val="24"/>
          <w:lang w:val="en-GB"/>
        </w:rPr>
        <w:t>, it</w:t>
      </w:r>
      <w:r w:rsidRPr="003D47ED">
        <w:rPr>
          <w:rFonts w:ascii="Times New Roman" w:eastAsia="Times New Roman" w:hAnsi="Times New Roman" w:cs="Times New Roman"/>
          <w:sz w:val="24"/>
          <w:szCs w:val="24"/>
          <w:lang w:val="en-GB"/>
        </w:rPr>
        <w:t xml:space="preserve"> can be said that the role of traditional finance is prominent in order to manage the cash measurement and management activities in healthcare institutions.</w:t>
      </w:r>
    </w:p>
    <w:p w:rsidR="0062655D" w:rsidRPr="003D47ED" w:rsidRDefault="00437EBC">
      <w:pPr>
        <w:pStyle w:val="Normal1"/>
        <w:spacing w:line="360" w:lineRule="auto"/>
        <w:jc w:val="both"/>
        <w:rPr>
          <w:rFonts w:ascii="Times New Roman" w:eastAsia="Times New Roman" w:hAnsi="Times New Roman" w:cs="Times New Roman"/>
          <w:sz w:val="24"/>
          <w:szCs w:val="24"/>
          <w:lang w:val="en-GB"/>
        </w:rPr>
      </w:pPr>
      <w:r w:rsidRPr="003D47ED">
        <w:rPr>
          <w:rFonts w:ascii="Times New Roman" w:eastAsia="Times New Roman" w:hAnsi="Times New Roman" w:cs="Times New Roman"/>
          <w:sz w:val="24"/>
          <w:szCs w:val="24"/>
          <w:lang w:val="en-GB"/>
        </w:rPr>
        <w:t xml:space="preserve">Traditional finance helps healthcare institutions in making their annual budget by analysing the expenses and potential risks. As per </w:t>
      </w:r>
      <w:r w:rsidR="00956F9E">
        <w:rPr>
          <w:rFonts w:ascii="Times New Roman" w:eastAsia="Times New Roman" w:hAnsi="Times New Roman" w:cs="Times New Roman"/>
          <w:sz w:val="24"/>
          <w:szCs w:val="24"/>
          <w:lang w:val="en-GB"/>
        </w:rPr>
        <w:t xml:space="preserve">the findings of </w:t>
      </w:r>
      <w:r w:rsidRPr="003D47ED">
        <w:rPr>
          <w:rFonts w:ascii="Times New Roman" w:eastAsia="Times New Roman" w:hAnsi="Times New Roman" w:cs="Times New Roman"/>
          <w:sz w:val="24"/>
          <w:szCs w:val="24"/>
          <w:lang w:val="en-GB"/>
        </w:rPr>
        <w:t xml:space="preserve">Chang </w:t>
      </w:r>
      <w:r w:rsidRPr="003D47ED">
        <w:rPr>
          <w:rFonts w:ascii="Times New Roman" w:eastAsia="Times New Roman" w:hAnsi="Times New Roman" w:cs="Times New Roman"/>
          <w:i/>
          <w:sz w:val="24"/>
          <w:szCs w:val="24"/>
          <w:lang w:val="en-GB"/>
        </w:rPr>
        <w:t>et al.,</w:t>
      </w:r>
      <w:r w:rsidRPr="003D47ED">
        <w:rPr>
          <w:rFonts w:ascii="Times New Roman" w:eastAsia="Times New Roman" w:hAnsi="Times New Roman" w:cs="Times New Roman"/>
          <w:sz w:val="24"/>
          <w:szCs w:val="24"/>
          <w:lang w:val="en-GB"/>
        </w:rPr>
        <w:t xml:space="preserve"> (2019), traditional finance provides insight into the previous risk and </w:t>
      </w:r>
      <w:r w:rsidR="00C445FE" w:rsidRPr="003D47ED">
        <w:rPr>
          <w:rFonts w:ascii="Times New Roman" w:eastAsia="Times New Roman" w:hAnsi="Times New Roman" w:cs="Times New Roman"/>
          <w:sz w:val="24"/>
          <w:szCs w:val="24"/>
          <w:lang w:val="en-GB"/>
        </w:rPr>
        <w:t>coverage's</w:t>
      </w:r>
      <w:r w:rsidRPr="003D47ED">
        <w:rPr>
          <w:rFonts w:ascii="Times New Roman" w:eastAsia="Times New Roman" w:hAnsi="Times New Roman" w:cs="Times New Roman"/>
          <w:sz w:val="24"/>
          <w:szCs w:val="24"/>
          <w:lang w:val="en-GB"/>
        </w:rPr>
        <w:t xml:space="preserve"> through the paper-based solution. In this context, the paper-based solution of traditional finance is effective to store financial records for healthcare institutions in terms of making budgets. Accordingly, the allocation of financial resources based on the budget can be possible through the traditional finance programme that helps the healthcare institutions in managing the resource allocation to the employees.  On a contradictory note, healthcare institutions make sheets of employee salaries through the traditional finance process (</w:t>
      </w:r>
      <w:proofErr w:type="spellStart"/>
      <w:r w:rsidRPr="003D47ED">
        <w:rPr>
          <w:rFonts w:ascii="Times New Roman" w:eastAsia="Times New Roman" w:hAnsi="Times New Roman" w:cs="Times New Roman"/>
          <w:sz w:val="24"/>
          <w:szCs w:val="24"/>
          <w:lang w:val="en-GB"/>
        </w:rPr>
        <w:t>AlHamad</w:t>
      </w:r>
      <w:proofErr w:type="spellEnd"/>
      <w:r w:rsidRPr="003D47ED">
        <w:rPr>
          <w:rFonts w:ascii="Times New Roman" w:eastAsia="Times New Roman" w:hAnsi="Times New Roman" w:cs="Times New Roman"/>
          <w:sz w:val="24"/>
          <w:szCs w:val="24"/>
          <w:lang w:val="en-GB"/>
        </w:rPr>
        <w:t xml:space="preserve"> </w:t>
      </w:r>
      <w:r w:rsidRPr="003D47ED">
        <w:rPr>
          <w:rFonts w:ascii="Times New Roman" w:eastAsia="Times New Roman" w:hAnsi="Times New Roman" w:cs="Times New Roman"/>
          <w:i/>
          <w:sz w:val="24"/>
          <w:szCs w:val="24"/>
          <w:lang w:val="en-GB"/>
        </w:rPr>
        <w:t>et al.,</w:t>
      </w:r>
      <w:r w:rsidRPr="003D47ED">
        <w:rPr>
          <w:rFonts w:ascii="Times New Roman" w:eastAsia="Times New Roman" w:hAnsi="Times New Roman" w:cs="Times New Roman"/>
          <w:sz w:val="24"/>
          <w:szCs w:val="24"/>
          <w:lang w:val="en-GB"/>
        </w:rPr>
        <w:t xml:space="preserve"> 2022). In turn, the paper-based solution process helps the health sectors to recognise the risk coverage and health benefits of the employees through traditional finance methods. Moreover, healthcare institutions use traditional finance for interpreting historical and projected economic data to manage financial risk </w:t>
      </w:r>
      <w:r w:rsidR="00C445FE" w:rsidRPr="003D47ED">
        <w:rPr>
          <w:rFonts w:ascii="Times New Roman" w:eastAsia="Times New Roman" w:hAnsi="Times New Roman" w:cs="Times New Roman"/>
          <w:sz w:val="24"/>
          <w:szCs w:val="24"/>
          <w:lang w:val="en-GB"/>
        </w:rPr>
        <w:t>coverage's</w:t>
      </w:r>
      <w:r w:rsidRPr="003D47ED">
        <w:rPr>
          <w:rFonts w:ascii="Times New Roman" w:eastAsia="Times New Roman" w:hAnsi="Times New Roman" w:cs="Times New Roman"/>
          <w:sz w:val="24"/>
          <w:szCs w:val="24"/>
          <w:lang w:val="en-GB"/>
        </w:rPr>
        <w:t xml:space="preserve"> effectively. The paper-based solution of traditional finance helps financial sectors in dealin</w:t>
      </w:r>
      <w:r w:rsidR="009473E4">
        <w:rPr>
          <w:rFonts w:ascii="Times New Roman" w:eastAsia="Times New Roman" w:hAnsi="Times New Roman" w:cs="Times New Roman"/>
          <w:sz w:val="24"/>
          <w:szCs w:val="24"/>
          <w:lang w:val="en-GB"/>
        </w:rPr>
        <w:t>g with legal matters properly.</w:t>
      </w:r>
      <w:r w:rsidRPr="003D47ED">
        <w:rPr>
          <w:rFonts w:ascii="Times New Roman" w:eastAsia="Times New Roman" w:hAnsi="Times New Roman" w:cs="Times New Roman"/>
          <w:sz w:val="24"/>
          <w:szCs w:val="24"/>
          <w:lang w:val="en-GB"/>
        </w:rPr>
        <w:t xml:space="preserve"> However, the audit team of healthcare institutions need to make the papers and sheets effectively to manage the risks in the traditional finance process. Thus, the utilisation of traditional finance programmes is an important factor for healthcare services. </w:t>
      </w:r>
      <w:proofErr w:type="gramStart"/>
      <w:r w:rsidRPr="003D47ED">
        <w:rPr>
          <w:rFonts w:ascii="Times New Roman" w:eastAsia="Times New Roman" w:hAnsi="Times New Roman" w:cs="Times New Roman"/>
          <w:sz w:val="24"/>
          <w:szCs w:val="24"/>
          <w:lang w:val="en-GB"/>
        </w:rPr>
        <w:t>it</w:t>
      </w:r>
      <w:proofErr w:type="gramEnd"/>
      <w:r w:rsidRPr="003D47ED">
        <w:rPr>
          <w:rFonts w:ascii="Times New Roman" w:eastAsia="Times New Roman" w:hAnsi="Times New Roman" w:cs="Times New Roman"/>
          <w:sz w:val="24"/>
          <w:szCs w:val="24"/>
          <w:lang w:val="en-GB"/>
        </w:rPr>
        <w:t xml:space="preserve"> helps in making financial reports and statements properly. </w:t>
      </w:r>
    </w:p>
    <w:p w:rsidR="0062655D" w:rsidRPr="003D47ED" w:rsidRDefault="00437EBC" w:rsidP="00C445FE">
      <w:pPr>
        <w:pStyle w:val="Heading1"/>
        <w:rPr>
          <w:lang w:val="en-GB"/>
        </w:rPr>
      </w:pPr>
      <w:bookmarkStart w:id="19" w:name="_Toc133665039"/>
      <w:bookmarkStart w:id="20" w:name="_Toc133677429"/>
      <w:r w:rsidRPr="003D47ED">
        <w:rPr>
          <w:lang w:val="en-GB"/>
        </w:rPr>
        <w:t>Conclusion</w:t>
      </w:r>
      <w:bookmarkEnd w:id="19"/>
      <w:bookmarkEnd w:id="20"/>
      <w:r w:rsidRPr="003D47ED">
        <w:rPr>
          <w:lang w:val="en-GB"/>
        </w:rPr>
        <w:t xml:space="preserve"> </w:t>
      </w:r>
    </w:p>
    <w:p w:rsidR="0062655D" w:rsidRPr="003D47ED" w:rsidRDefault="00437EBC">
      <w:pPr>
        <w:pStyle w:val="Normal1"/>
        <w:spacing w:line="360" w:lineRule="auto"/>
        <w:jc w:val="both"/>
        <w:rPr>
          <w:rFonts w:ascii="Times New Roman" w:eastAsia="Times New Roman" w:hAnsi="Times New Roman" w:cs="Times New Roman"/>
          <w:sz w:val="24"/>
          <w:szCs w:val="24"/>
          <w:lang w:val="en-GB"/>
        </w:rPr>
      </w:pPr>
      <w:r w:rsidRPr="003D47ED">
        <w:rPr>
          <w:rFonts w:ascii="Times New Roman" w:eastAsia="Times New Roman" w:hAnsi="Times New Roman" w:cs="Times New Roman"/>
          <w:sz w:val="24"/>
          <w:szCs w:val="24"/>
          <w:lang w:val="en-GB"/>
        </w:rPr>
        <w:t xml:space="preserve">On a concluding note, it can be said that the healthcare sector needs to use regulatory and financial changes effectively in healthcare services. The audit team of healthcare institutions needs to manage the traditional finance system effectively. Therefore, it can be concluded that the financial process is prominent for health and social care institutions in terms of developing economic conditions. </w:t>
      </w:r>
    </w:p>
    <w:p w:rsidR="0062655D" w:rsidRPr="003D47ED" w:rsidRDefault="00437EBC">
      <w:pPr>
        <w:pStyle w:val="Normal1"/>
        <w:spacing w:line="360" w:lineRule="auto"/>
        <w:jc w:val="both"/>
        <w:rPr>
          <w:rFonts w:ascii="Times New Roman" w:eastAsia="Times New Roman" w:hAnsi="Times New Roman" w:cs="Times New Roman"/>
          <w:sz w:val="24"/>
          <w:szCs w:val="24"/>
          <w:lang w:val="en-GB"/>
        </w:rPr>
      </w:pPr>
      <w:r w:rsidRPr="003D47ED">
        <w:rPr>
          <w:lang w:val="en-GB"/>
        </w:rPr>
        <w:br w:type="page"/>
      </w:r>
    </w:p>
    <w:p w:rsidR="0062655D" w:rsidRPr="003D47ED" w:rsidRDefault="00437EBC" w:rsidP="00C445FE">
      <w:pPr>
        <w:pStyle w:val="Heading1"/>
        <w:rPr>
          <w:lang w:val="en-GB"/>
        </w:rPr>
      </w:pPr>
      <w:bookmarkStart w:id="21" w:name="_Toc133665040"/>
      <w:bookmarkStart w:id="22" w:name="_Toc133677430"/>
      <w:r w:rsidRPr="003D47ED">
        <w:rPr>
          <w:lang w:val="en-GB"/>
        </w:rPr>
        <w:lastRenderedPageBreak/>
        <w:t>References</w:t>
      </w:r>
      <w:bookmarkEnd w:id="21"/>
      <w:bookmarkEnd w:id="22"/>
      <w:r w:rsidRPr="003D47ED">
        <w:rPr>
          <w:lang w:val="en-GB"/>
        </w:rPr>
        <w:t xml:space="preserve"> </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8725B4">
        <w:rPr>
          <w:rFonts w:ascii="Times New Roman" w:eastAsia="Times New Roman" w:hAnsi="Times New Roman" w:cs="Times New Roman"/>
          <w:sz w:val="24"/>
          <w:szCs w:val="24"/>
          <w:lang w:val="en-GB"/>
        </w:rPr>
        <w:t>AlHamad</w:t>
      </w:r>
      <w:proofErr w:type="spellEnd"/>
      <w:r w:rsidRPr="008725B4">
        <w:rPr>
          <w:rFonts w:ascii="Times New Roman" w:eastAsia="Times New Roman" w:hAnsi="Times New Roman" w:cs="Times New Roman"/>
          <w:sz w:val="24"/>
          <w:szCs w:val="24"/>
          <w:lang w:val="en-GB"/>
        </w:rPr>
        <w:t xml:space="preserve">, A., </w:t>
      </w:r>
      <w:proofErr w:type="spellStart"/>
      <w:r w:rsidRPr="008725B4">
        <w:rPr>
          <w:rFonts w:ascii="Times New Roman" w:eastAsia="Times New Roman" w:hAnsi="Times New Roman" w:cs="Times New Roman"/>
          <w:sz w:val="24"/>
          <w:szCs w:val="24"/>
          <w:lang w:val="en-GB"/>
        </w:rPr>
        <w:t>Alshurideh</w:t>
      </w:r>
      <w:proofErr w:type="spellEnd"/>
      <w:r w:rsidRPr="008725B4">
        <w:rPr>
          <w:rFonts w:ascii="Times New Roman" w:eastAsia="Times New Roman" w:hAnsi="Times New Roman" w:cs="Times New Roman"/>
          <w:sz w:val="24"/>
          <w:szCs w:val="24"/>
          <w:lang w:val="en-GB"/>
        </w:rPr>
        <w:t xml:space="preserve">, M., </w:t>
      </w:r>
      <w:proofErr w:type="spellStart"/>
      <w:r w:rsidRPr="008725B4">
        <w:rPr>
          <w:rFonts w:ascii="Times New Roman" w:eastAsia="Times New Roman" w:hAnsi="Times New Roman" w:cs="Times New Roman"/>
          <w:sz w:val="24"/>
          <w:szCs w:val="24"/>
          <w:lang w:val="en-GB"/>
        </w:rPr>
        <w:t>Alomari</w:t>
      </w:r>
      <w:proofErr w:type="spellEnd"/>
      <w:r w:rsidRPr="008725B4">
        <w:rPr>
          <w:rFonts w:ascii="Times New Roman" w:eastAsia="Times New Roman" w:hAnsi="Times New Roman" w:cs="Times New Roman"/>
          <w:sz w:val="24"/>
          <w:szCs w:val="24"/>
          <w:lang w:val="en-GB"/>
        </w:rPr>
        <w:t xml:space="preserve">, K., </w:t>
      </w:r>
      <w:proofErr w:type="spellStart"/>
      <w:r w:rsidRPr="008725B4">
        <w:rPr>
          <w:rFonts w:ascii="Times New Roman" w:eastAsia="Times New Roman" w:hAnsi="Times New Roman" w:cs="Times New Roman"/>
          <w:sz w:val="24"/>
          <w:szCs w:val="24"/>
          <w:lang w:val="en-GB"/>
        </w:rPr>
        <w:t>Kurdi</w:t>
      </w:r>
      <w:proofErr w:type="spellEnd"/>
      <w:r w:rsidRPr="008725B4">
        <w:rPr>
          <w:rFonts w:ascii="Times New Roman" w:eastAsia="Times New Roman" w:hAnsi="Times New Roman" w:cs="Times New Roman"/>
          <w:sz w:val="24"/>
          <w:szCs w:val="24"/>
          <w:lang w:val="en-GB"/>
        </w:rPr>
        <w:t xml:space="preserve">, B., </w:t>
      </w:r>
      <w:proofErr w:type="spellStart"/>
      <w:r w:rsidRPr="008725B4">
        <w:rPr>
          <w:rFonts w:ascii="Times New Roman" w:eastAsia="Times New Roman" w:hAnsi="Times New Roman" w:cs="Times New Roman"/>
          <w:sz w:val="24"/>
          <w:szCs w:val="24"/>
          <w:lang w:val="en-GB"/>
        </w:rPr>
        <w:t>Alzoubi</w:t>
      </w:r>
      <w:proofErr w:type="spellEnd"/>
      <w:r w:rsidRPr="008725B4">
        <w:rPr>
          <w:rFonts w:ascii="Times New Roman" w:eastAsia="Times New Roman" w:hAnsi="Times New Roman" w:cs="Times New Roman"/>
          <w:sz w:val="24"/>
          <w:szCs w:val="24"/>
          <w:lang w:val="en-GB"/>
        </w:rPr>
        <w:t xml:space="preserve">, H., </w:t>
      </w:r>
      <w:proofErr w:type="spellStart"/>
      <w:r w:rsidRPr="008725B4">
        <w:rPr>
          <w:rFonts w:ascii="Times New Roman" w:eastAsia="Times New Roman" w:hAnsi="Times New Roman" w:cs="Times New Roman"/>
          <w:sz w:val="24"/>
          <w:szCs w:val="24"/>
          <w:lang w:val="en-GB"/>
        </w:rPr>
        <w:t>Hamouche</w:t>
      </w:r>
      <w:proofErr w:type="spellEnd"/>
      <w:r w:rsidRPr="008725B4">
        <w:rPr>
          <w:rFonts w:ascii="Times New Roman" w:eastAsia="Times New Roman" w:hAnsi="Times New Roman" w:cs="Times New Roman"/>
          <w:sz w:val="24"/>
          <w:szCs w:val="24"/>
          <w:lang w:val="en-GB"/>
        </w:rPr>
        <w:t>, S. and Al-</w:t>
      </w:r>
      <w:proofErr w:type="spellStart"/>
      <w:r w:rsidRPr="008725B4">
        <w:rPr>
          <w:rFonts w:ascii="Times New Roman" w:eastAsia="Times New Roman" w:hAnsi="Times New Roman" w:cs="Times New Roman"/>
          <w:sz w:val="24"/>
          <w:szCs w:val="24"/>
          <w:lang w:val="en-GB"/>
        </w:rPr>
        <w:t>Hawary</w:t>
      </w:r>
      <w:proofErr w:type="spellEnd"/>
      <w:r w:rsidRPr="008725B4">
        <w:rPr>
          <w:rFonts w:ascii="Times New Roman" w:eastAsia="Times New Roman" w:hAnsi="Times New Roman" w:cs="Times New Roman"/>
          <w:sz w:val="24"/>
          <w:szCs w:val="24"/>
          <w:lang w:val="en-GB"/>
        </w:rPr>
        <w:t xml:space="preserve">, S., (2022). The effect of electronic human resources management on organizational health of </w:t>
      </w:r>
      <w:proofErr w:type="spellStart"/>
      <w:r w:rsidRPr="008725B4">
        <w:rPr>
          <w:rFonts w:ascii="Times New Roman" w:eastAsia="Times New Roman" w:hAnsi="Times New Roman" w:cs="Times New Roman"/>
          <w:sz w:val="24"/>
          <w:szCs w:val="24"/>
          <w:lang w:val="en-GB"/>
        </w:rPr>
        <w:t>telecommuni-cations</w:t>
      </w:r>
      <w:proofErr w:type="spellEnd"/>
      <w:r w:rsidRPr="008725B4">
        <w:rPr>
          <w:rFonts w:ascii="Times New Roman" w:eastAsia="Times New Roman" w:hAnsi="Times New Roman" w:cs="Times New Roman"/>
          <w:sz w:val="24"/>
          <w:szCs w:val="24"/>
          <w:lang w:val="en-GB"/>
        </w:rPr>
        <w:t xml:space="preserve"> companies in Jordan. </w:t>
      </w:r>
      <w:r w:rsidRPr="008725B4">
        <w:rPr>
          <w:rFonts w:ascii="Times New Roman" w:eastAsia="Times New Roman" w:hAnsi="Times New Roman" w:cs="Times New Roman"/>
          <w:i/>
          <w:sz w:val="24"/>
          <w:szCs w:val="24"/>
          <w:lang w:val="en-GB"/>
        </w:rPr>
        <w:t>International Journal of Data and Network Science</w:t>
      </w:r>
      <w:r w:rsidRPr="008725B4">
        <w:rPr>
          <w:rFonts w:ascii="Times New Roman" w:eastAsia="Times New Roman" w:hAnsi="Times New Roman" w:cs="Times New Roman"/>
          <w:sz w:val="24"/>
          <w:szCs w:val="24"/>
          <w:lang w:val="en-GB"/>
        </w:rPr>
        <w:t xml:space="preserve">, </w:t>
      </w:r>
      <w:r w:rsidRPr="008725B4">
        <w:rPr>
          <w:rFonts w:ascii="Times New Roman" w:eastAsia="Times New Roman" w:hAnsi="Times New Roman" w:cs="Times New Roman"/>
          <w:i/>
          <w:sz w:val="24"/>
          <w:szCs w:val="24"/>
          <w:lang w:val="en-GB"/>
        </w:rPr>
        <w:t>6</w:t>
      </w:r>
      <w:r w:rsidRPr="008725B4">
        <w:rPr>
          <w:rFonts w:ascii="Times New Roman" w:eastAsia="Times New Roman" w:hAnsi="Times New Roman" w:cs="Times New Roman"/>
          <w:sz w:val="24"/>
          <w:szCs w:val="24"/>
          <w:lang w:val="en-GB"/>
        </w:rPr>
        <w:t>(2), pp.429-438.</w:t>
      </w:r>
    </w:p>
    <w:p w:rsidR="008725B4" w:rsidRPr="008725B4" w:rsidRDefault="008725B4" w:rsidP="008725B4">
      <w:pPr>
        <w:spacing w:before="240" w:after="240" w:line="360" w:lineRule="auto"/>
        <w:jc w:val="both"/>
        <w:rPr>
          <w:rFonts w:ascii="Times New Roman" w:eastAsia="Times New Roman" w:hAnsi="Times New Roman" w:cs="Times New Roman"/>
          <w:sz w:val="24"/>
          <w:szCs w:val="24"/>
          <w:lang w:val="en-IN" w:eastAsia="en-IN"/>
        </w:rPr>
      </w:pPr>
      <w:proofErr w:type="spellStart"/>
      <w:r w:rsidRPr="008725B4">
        <w:rPr>
          <w:rFonts w:ascii="Times New Roman" w:eastAsia="Times New Roman" w:hAnsi="Times New Roman" w:cs="Times New Roman"/>
          <w:color w:val="222222"/>
          <w:sz w:val="24"/>
          <w:szCs w:val="24"/>
          <w:shd w:val="clear" w:color="auto" w:fill="FFFFFF"/>
          <w:lang w:val="en-IN" w:eastAsia="en-IN"/>
        </w:rPr>
        <w:t>Alijonovich</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M.F. and </w:t>
      </w:r>
      <w:proofErr w:type="spellStart"/>
      <w:r w:rsidRPr="008725B4">
        <w:rPr>
          <w:rFonts w:ascii="Times New Roman" w:eastAsia="Times New Roman" w:hAnsi="Times New Roman" w:cs="Times New Roman"/>
          <w:color w:val="222222"/>
          <w:sz w:val="24"/>
          <w:szCs w:val="24"/>
          <w:shd w:val="clear" w:color="auto" w:fill="FFFFFF"/>
          <w:lang w:val="en-IN" w:eastAsia="en-IN"/>
        </w:rPr>
        <w:t>Akhmadjonovich</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N.A., (2022). Importance of Cash Flow Statement in Transition to International Standards of Financial Reporting. </w:t>
      </w:r>
      <w:r w:rsidRPr="008725B4">
        <w:rPr>
          <w:rFonts w:ascii="Times New Roman" w:eastAsia="Times New Roman" w:hAnsi="Times New Roman" w:cs="Times New Roman"/>
          <w:i/>
          <w:iCs/>
          <w:color w:val="000000"/>
          <w:sz w:val="24"/>
          <w:szCs w:val="24"/>
          <w:lang w:val="en-IN" w:eastAsia="en-IN"/>
        </w:rPr>
        <w:t>Central Asian Journal of Innovations on Tourism Management and Finance</w:t>
      </w:r>
      <w:r w:rsidRPr="008725B4">
        <w:rPr>
          <w:rFonts w:ascii="Times New Roman" w:eastAsia="Times New Roman" w:hAnsi="Times New Roman" w:cs="Times New Roman"/>
          <w:color w:val="000000"/>
          <w:sz w:val="24"/>
          <w:szCs w:val="24"/>
          <w:lang w:val="en-IN" w:eastAsia="en-IN"/>
        </w:rPr>
        <w:t xml:space="preserve">, </w:t>
      </w:r>
      <w:r w:rsidRPr="008725B4">
        <w:rPr>
          <w:rFonts w:ascii="Times New Roman" w:eastAsia="Times New Roman" w:hAnsi="Times New Roman" w:cs="Times New Roman"/>
          <w:i/>
          <w:iCs/>
          <w:color w:val="000000"/>
          <w:sz w:val="24"/>
          <w:szCs w:val="24"/>
          <w:lang w:val="en-IN" w:eastAsia="en-IN"/>
        </w:rPr>
        <w:t>3</w:t>
      </w:r>
      <w:r w:rsidRPr="008725B4">
        <w:rPr>
          <w:rFonts w:ascii="Times New Roman" w:eastAsia="Times New Roman" w:hAnsi="Times New Roman" w:cs="Times New Roman"/>
          <w:color w:val="000000"/>
          <w:sz w:val="24"/>
          <w:szCs w:val="24"/>
          <w:lang w:val="en-IN" w:eastAsia="en-IN"/>
        </w:rPr>
        <w:t>(11), pp.103-107.</w:t>
      </w:r>
    </w:p>
    <w:p w:rsidR="008725B4" w:rsidRPr="008725B4" w:rsidRDefault="008725B4" w:rsidP="008725B4">
      <w:pPr>
        <w:spacing w:before="240" w:after="240" w:line="360" w:lineRule="auto"/>
        <w:jc w:val="both"/>
        <w:rPr>
          <w:rFonts w:ascii="Times New Roman" w:eastAsia="Times New Roman" w:hAnsi="Times New Roman" w:cs="Times New Roman"/>
          <w:sz w:val="24"/>
          <w:szCs w:val="24"/>
          <w:lang w:val="en-IN" w:eastAsia="en-IN"/>
        </w:rPr>
      </w:pPr>
      <w:r w:rsidRPr="008725B4">
        <w:rPr>
          <w:rFonts w:ascii="Times New Roman" w:eastAsia="Times New Roman" w:hAnsi="Times New Roman" w:cs="Times New Roman"/>
          <w:color w:val="222222"/>
          <w:sz w:val="24"/>
          <w:szCs w:val="24"/>
          <w:shd w:val="clear" w:color="auto" w:fill="FFFFFF"/>
          <w:lang w:val="en-IN" w:eastAsia="en-IN"/>
        </w:rPr>
        <w:t xml:space="preserve">Arya, A. and Nagar, N., (2021). Stewardship value of income statement classifications: An empirical examination. </w:t>
      </w:r>
      <w:r w:rsidRPr="008725B4">
        <w:rPr>
          <w:rFonts w:ascii="Times New Roman" w:eastAsia="Times New Roman" w:hAnsi="Times New Roman" w:cs="Times New Roman"/>
          <w:i/>
          <w:iCs/>
          <w:color w:val="000000"/>
          <w:sz w:val="24"/>
          <w:szCs w:val="24"/>
          <w:lang w:val="en-IN" w:eastAsia="en-IN"/>
        </w:rPr>
        <w:t>Journal of Accounting, Auditing &amp; Finance</w:t>
      </w:r>
      <w:r w:rsidRPr="008725B4">
        <w:rPr>
          <w:rFonts w:ascii="Times New Roman" w:eastAsia="Times New Roman" w:hAnsi="Times New Roman" w:cs="Times New Roman"/>
          <w:color w:val="000000"/>
          <w:sz w:val="24"/>
          <w:szCs w:val="24"/>
          <w:lang w:val="en-IN" w:eastAsia="en-IN"/>
        </w:rPr>
        <w:t xml:space="preserve">, </w:t>
      </w:r>
      <w:r w:rsidRPr="008725B4">
        <w:rPr>
          <w:rFonts w:ascii="Times New Roman" w:eastAsia="Times New Roman" w:hAnsi="Times New Roman" w:cs="Times New Roman"/>
          <w:i/>
          <w:iCs/>
          <w:color w:val="000000"/>
          <w:sz w:val="24"/>
          <w:szCs w:val="24"/>
          <w:lang w:val="en-IN" w:eastAsia="en-IN"/>
        </w:rPr>
        <w:t>36</w:t>
      </w:r>
      <w:r w:rsidRPr="008725B4">
        <w:rPr>
          <w:rFonts w:ascii="Times New Roman" w:eastAsia="Times New Roman" w:hAnsi="Times New Roman" w:cs="Times New Roman"/>
          <w:color w:val="000000"/>
          <w:sz w:val="24"/>
          <w:szCs w:val="24"/>
          <w:lang w:val="en-IN" w:eastAsia="en-IN"/>
        </w:rPr>
        <w:t>(1), pp.56-80.</w:t>
      </w:r>
    </w:p>
    <w:p w:rsidR="008725B4" w:rsidRPr="008725B4" w:rsidRDefault="008725B4" w:rsidP="008725B4">
      <w:pPr>
        <w:spacing w:before="240" w:after="240" w:line="360" w:lineRule="auto"/>
        <w:jc w:val="both"/>
        <w:rPr>
          <w:rFonts w:ascii="Times New Roman" w:eastAsia="Times New Roman" w:hAnsi="Times New Roman" w:cs="Times New Roman"/>
          <w:sz w:val="24"/>
          <w:szCs w:val="24"/>
          <w:lang w:val="en-IN" w:eastAsia="en-IN"/>
        </w:rPr>
      </w:pPr>
      <w:proofErr w:type="spellStart"/>
      <w:r w:rsidRPr="008725B4">
        <w:rPr>
          <w:rFonts w:ascii="Times New Roman" w:eastAsia="Times New Roman" w:hAnsi="Times New Roman" w:cs="Times New Roman"/>
          <w:color w:val="222222"/>
          <w:sz w:val="24"/>
          <w:szCs w:val="24"/>
          <w:shd w:val="clear" w:color="auto" w:fill="FFFFFF"/>
          <w:lang w:val="en-IN" w:eastAsia="en-IN"/>
        </w:rPr>
        <w:t>Ayoush</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M.D., </w:t>
      </w:r>
      <w:proofErr w:type="spellStart"/>
      <w:r w:rsidRPr="008725B4">
        <w:rPr>
          <w:rFonts w:ascii="Times New Roman" w:eastAsia="Times New Roman" w:hAnsi="Times New Roman" w:cs="Times New Roman"/>
          <w:color w:val="222222"/>
          <w:sz w:val="24"/>
          <w:szCs w:val="24"/>
          <w:shd w:val="clear" w:color="auto" w:fill="FFFFFF"/>
          <w:lang w:val="en-IN" w:eastAsia="en-IN"/>
        </w:rPr>
        <w:t>Toumeh</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A.A. and </w:t>
      </w:r>
      <w:proofErr w:type="spellStart"/>
      <w:r w:rsidRPr="008725B4">
        <w:rPr>
          <w:rFonts w:ascii="Times New Roman" w:eastAsia="Times New Roman" w:hAnsi="Times New Roman" w:cs="Times New Roman"/>
          <w:color w:val="222222"/>
          <w:sz w:val="24"/>
          <w:szCs w:val="24"/>
          <w:shd w:val="clear" w:color="auto" w:fill="FFFFFF"/>
          <w:lang w:val="en-IN" w:eastAsia="en-IN"/>
        </w:rPr>
        <w:t>Shabaneh</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K.I., (2021). Liquidity, leverage, and solvency: What affects profitability of industrial enterprises the </w:t>
      </w:r>
      <w:proofErr w:type="gramStart"/>
      <w:r w:rsidRPr="008725B4">
        <w:rPr>
          <w:rFonts w:ascii="Times New Roman" w:eastAsia="Times New Roman" w:hAnsi="Times New Roman" w:cs="Times New Roman"/>
          <w:color w:val="222222"/>
          <w:sz w:val="24"/>
          <w:szCs w:val="24"/>
          <w:shd w:val="clear" w:color="auto" w:fill="FFFFFF"/>
          <w:lang w:val="en-IN" w:eastAsia="en-IN"/>
        </w:rPr>
        <w:t>most.</w:t>
      </w:r>
      <w:proofErr w:type="gramEnd"/>
      <w:r w:rsidRPr="008725B4">
        <w:rPr>
          <w:rFonts w:ascii="Times New Roman" w:eastAsia="Times New Roman" w:hAnsi="Times New Roman" w:cs="Times New Roman"/>
          <w:color w:val="222222"/>
          <w:sz w:val="24"/>
          <w:szCs w:val="24"/>
          <w:shd w:val="clear" w:color="auto" w:fill="FFFFFF"/>
          <w:lang w:val="en-IN" w:eastAsia="en-IN"/>
        </w:rPr>
        <w:t xml:space="preserve"> </w:t>
      </w:r>
      <w:r w:rsidRPr="008725B4">
        <w:rPr>
          <w:rFonts w:ascii="Times New Roman" w:eastAsia="Times New Roman" w:hAnsi="Times New Roman" w:cs="Times New Roman"/>
          <w:i/>
          <w:iCs/>
          <w:color w:val="000000"/>
          <w:sz w:val="24"/>
          <w:szCs w:val="24"/>
          <w:lang w:val="en-IN" w:eastAsia="en-IN"/>
        </w:rPr>
        <w:t>Investment Management and Financial Innovations</w:t>
      </w:r>
      <w:r w:rsidRPr="008725B4">
        <w:rPr>
          <w:rFonts w:ascii="Times New Roman" w:eastAsia="Times New Roman" w:hAnsi="Times New Roman" w:cs="Times New Roman"/>
          <w:color w:val="000000"/>
          <w:sz w:val="24"/>
          <w:szCs w:val="24"/>
          <w:lang w:val="en-IN" w:eastAsia="en-IN"/>
        </w:rPr>
        <w:t xml:space="preserve">, </w:t>
      </w:r>
      <w:r w:rsidRPr="008725B4">
        <w:rPr>
          <w:rFonts w:ascii="Times New Roman" w:eastAsia="Times New Roman" w:hAnsi="Times New Roman" w:cs="Times New Roman"/>
          <w:i/>
          <w:iCs/>
          <w:color w:val="000000"/>
          <w:sz w:val="24"/>
          <w:szCs w:val="24"/>
          <w:lang w:val="en-IN" w:eastAsia="en-IN"/>
        </w:rPr>
        <w:t>18</w:t>
      </w:r>
      <w:r w:rsidRPr="008725B4">
        <w:rPr>
          <w:rFonts w:ascii="Times New Roman" w:eastAsia="Times New Roman" w:hAnsi="Times New Roman" w:cs="Times New Roman"/>
          <w:color w:val="000000"/>
          <w:sz w:val="24"/>
          <w:szCs w:val="24"/>
          <w:lang w:val="en-IN" w:eastAsia="en-IN"/>
        </w:rPr>
        <w:t>(3), pp.249-259.</w:t>
      </w:r>
    </w:p>
    <w:p w:rsidR="008725B4" w:rsidRPr="008725B4" w:rsidRDefault="008725B4" w:rsidP="008725B4">
      <w:pPr>
        <w:spacing w:before="240" w:after="240" w:line="360" w:lineRule="auto"/>
        <w:jc w:val="both"/>
        <w:rPr>
          <w:rFonts w:ascii="Times New Roman" w:eastAsia="Times New Roman" w:hAnsi="Times New Roman" w:cs="Times New Roman"/>
          <w:sz w:val="24"/>
          <w:szCs w:val="24"/>
          <w:lang w:val="en-IN" w:eastAsia="en-IN"/>
        </w:rPr>
      </w:pPr>
      <w:proofErr w:type="spellStart"/>
      <w:r w:rsidRPr="008725B4">
        <w:rPr>
          <w:rFonts w:ascii="Times New Roman" w:eastAsia="Times New Roman" w:hAnsi="Times New Roman" w:cs="Times New Roman"/>
          <w:color w:val="222222"/>
          <w:sz w:val="24"/>
          <w:szCs w:val="24"/>
          <w:shd w:val="clear" w:color="auto" w:fill="FFFFFF"/>
          <w:lang w:val="en-IN" w:eastAsia="en-IN"/>
        </w:rPr>
        <w:t>Bhagyalakshmi</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K. and </w:t>
      </w:r>
      <w:proofErr w:type="spellStart"/>
      <w:r w:rsidRPr="008725B4">
        <w:rPr>
          <w:rFonts w:ascii="Times New Roman" w:eastAsia="Times New Roman" w:hAnsi="Times New Roman" w:cs="Times New Roman"/>
          <w:color w:val="222222"/>
          <w:sz w:val="24"/>
          <w:szCs w:val="24"/>
          <w:shd w:val="clear" w:color="auto" w:fill="FFFFFF"/>
          <w:lang w:val="en-IN" w:eastAsia="en-IN"/>
        </w:rPr>
        <w:t>Saraswathi</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S., (2019). A study on financial performance evaluation using DuPont analysis in select automobile companies. </w:t>
      </w:r>
      <w:r w:rsidRPr="008725B4">
        <w:rPr>
          <w:rFonts w:ascii="Times New Roman" w:eastAsia="Times New Roman" w:hAnsi="Times New Roman" w:cs="Times New Roman"/>
          <w:i/>
          <w:iCs/>
          <w:color w:val="000000"/>
          <w:sz w:val="24"/>
          <w:szCs w:val="24"/>
          <w:lang w:val="en-IN" w:eastAsia="en-IN"/>
        </w:rPr>
        <w:t>International Journal of Management, Technology and Engineering</w:t>
      </w:r>
      <w:r w:rsidRPr="008725B4">
        <w:rPr>
          <w:rFonts w:ascii="Times New Roman" w:eastAsia="Times New Roman" w:hAnsi="Times New Roman" w:cs="Times New Roman"/>
          <w:color w:val="000000"/>
          <w:sz w:val="24"/>
          <w:szCs w:val="24"/>
          <w:lang w:val="en-IN" w:eastAsia="en-IN"/>
        </w:rPr>
        <w:t xml:space="preserve">, </w:t>
      </w:r>
      <w:r w:rsidRPr="008725B4">
        <w:rPr>
          <w:rFonts w:ascii="Times New Roman" w:eastAsia="Times New Roman" w:hAnsi="Times New Roman" w:cs="Times New Roman"/>
          <w:i/>
          <w:iCs/>
          <w:color w:val="000000"/>
          <w:sz w:val="24"/>
          <w:szCs w:val="24"/>
          <w:lang w:val="en-IN" w:eastAsia="en-IN"/>
        </w:rPr>
        <w:t>9</w:t>
      </w:r>
      <w:r w:rsidRPr="008725B4">
        <w:rPr>
          <w:rFonts w:ascii="Times New Roman" w:eastAsia="Times New Roman" w:hAnsi="Times New Roman" w:cs="Times New Roman"/>
          <w:color w:val="000000"/>
          <w:sz w:val="24"/>
          <w:szCs w:val="24"/>
          <w:lang w:val="en-IN" w:eastAsia="en-IN"/>
        </w:rPr>
        <w:t>(1), pp.354-362.</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r w:rsidRPr="008725B4">
        <w:rPr>
          <w:rFonts w:ascii="Times New Roman" w:eastAsia="Times New Roman" w:hAnsi="Times New Roman" w:cs="Times New Roman"/>
          <w:sz w:val="24"/>
          <w:szCs w:val="24"/>
          <w:lang w:val="en-GB"/>
        </w:rPr>
        <w:t xml:space="preserve">Campos, P.A. and Reich, M.R., (2019). Political analysis for health policy implementation. </w:t>
      </w:r>
      <w:r w:rsidRPr="008725B4">
        <w:rPr>
          <w:rFonts w:ascii="Times New Roman" w:eastAsia="Times New Roman" w:hAnsi="Times New Roman" w:cs="Times New Roman"/>
          <w:i/>
          <w:sz w:val="24"/>
          <w:szCs w:val="24"/>
          <w:lang w:val="en-GB"/>
        </w:rPr>
        <w:t>Health Systems &amp; Reform</w:t>
      </w:r>
      <w:r w:rsidRPr="008725B4">
        <w:rPr>
          <w:rFonts w:ascii="Times New Roman" w:eastAsia="Times New Roman" w:hAnsi="Times New Roman" w:cs="Times New Roman"/>
          <w:sz w:val="24"/>
          <w:szCs w:val="24"/>
          <w:lang w:val="en-GB"/>
        </w:rPr>
        <w:t xml:space="preserve">, </w:t>
      </w:r>
      <w:r w:rsidRPr="008725B4">
        <w:rPr>
          <w:rFonts w:ascii="Times New Roman" w:eastAsia="Times New Roman" w:hAnsi="Times New Roman" w:cs="Times New Roman"/>
          <w:i/>
          <w:sz w:val="24"/>
          <w:szCs w:val="24"/>
          <w:lang w:val="en-GB"/>
        </w:rPr>
        <w:t>5</w:t>
      </w:r>
      <w:r w:rsidRPr="008725B4">
        <w:rPr>
          <w:rFonts w:ascii="Times New Roman" w:eastAsia="Times New Roman" w:hAnsi="Times New Roman" w:cs="Times New Roman"/>
          <w:sz w:val="24"/>
          <w:szCs w:val="24"/>
          <w:lang w:val="en-GB"/>
        </w:rPr>
        <w:t>(3), pp.224-235.</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r w:rsidRPr="008725B4">
        <w:rPr>
          <w:rFonts w:ascii="Times New Roman" w:eastAsia="Times New Roman" w:hAnsi="Times New Roman" w:cs="Times New Roman"/>
          <w:sz w:val="24"/>
          <w:szCs w:val="24"/>
          <w:lang w:val="en-GB"/>
        </w:rPr>
        <w:t xml:space="preserve">Chang, S.E., </w:t>
      </w:r>
      <w:proofErr w:type="spellStart"/>
      <w:r w:rsidRPr="008725B4">
        <w:rPr>
          <w:rFonts w:ascii="Times New Roman" w:eastAsia="Times New Roman" w:hAnsi="Times New Roman" w:cs="Times New Roman"/>
          <w:sz w:val="24"/>
          <w:szCs w:val="24"/>
          <w:lang w:val="en-GB"/>
        </w:rPr>
        <w:t>Luo</w:t>
      </w:r>
      <w:proofErr w:type="spellEnd"/>
      <w:r w:rsidRPr="008725B4">
        <w:rPr>
          <w:rFonts w:ascii="Times New Roman" w:eastAsia="Times New Roman" w:hAnsi="Times New Roman" w:cs="Times New Roman"/>
          <w:sz w:val="24"/>
          <w:szCs w:val="24"/>
          <w:lang w:val="en-GB"/>
        </w:rPr>
        <w:t xml:space="preserve">, H.L. and Chen, Y., (2019). </w:t>
      </w:r>
      <w:proofErr w:type="spellStart"/>
      <w:r w:rsidRPr="008725B4">
        <w:rPr>
          <w:rFonts w:ascii="Times New Roman" w:eastAsia="Times New Roman" w:hAnsi="Times New Roman" w:cs="Times New Roman"/>
          <w:sz w:val="24"/>
          <w:szCs w:val="24"/>
          <w:lang w:val="en-GB"/>
        </w:rPr>
        <w:t>Blockchain</w:t>
      </w:r>
      <w:proofErr w:type="spellEnd"/>
      <w:r w:rsidRPr="008725B4">
        <w:rPr>
          <w:rFonts w:ascii="Times New Roman" w:eastAsia="Times New Roman" w:hAnsi="Times New Roman" w:cs="Times New Roman"/>
          <w:sz w:val="24"/>
          <w:szCs w:val="24"/>
          <w:lang w:val="en-GB"/>
        </w:rPr>
        <w:t xml:space="preserve">-enabled trade finance innovation: A potential paradigm shift on using letter of credit. </w:t>
      </w:r>
      <w:r w:rsidRPr="008725B4">
        <w:rPr>
          <w:rFonts w:ascii="Times New Roman" w:eastAsia="Times New Roman" w:hAnsi="Times New Roman" w:cs="Times New Roman"/>
          <w:i/>
          <w:sz w:val="24"/>
          <w:szCs w:val="24"/>
          <w:lang w:val="en-GB"/>
        </w:rPr>
        <w:t>Sustainability</w:t>
      </w:r>
      <w:r w:rsidRPr="008725B4">
        <w:rPr>
          <w:rFonts w:ascii="Times New Roman" w:eastAsia="Times New Roman" w:hAnsi="Times New Roman" w:cs="Times New Roman"/>
          <w:sz w:val="24"/>
          <w:szCs w:val="24"/>
          <w:lang w:val="en-GB"/>
        </w:rPr>
        <w:t xml:space="preserve">, </w:t>
      </w:r>
      <w:r w:rsidRPr="008725B4">
        <w:rPr>
          <w:rFonts w:ascii="Times New Roman" w:eastAsia="Times New Roman" w:hAnsi="Times New Roman" w:cs="Times New Roman"/>
          <w:i/>
          <w:sz w:val="24"/>
          <w:szCs w:val="24"/>
          <w:lang w:val="en-GB"/>
        </w:rPr>
        <w:t>12</w:t>
      </w:r>
      <w:r w:rsidRPr="008725B4">
        <w:rPr>
          <w:rFonts w:ascii="Times New Roman" w:eastAsia="Times New Roman" w:hAnsi="Times New Roman" w:cs="Times New Roman"/>
          <w:sz w:val="24"/>
          <w:szCs w:val="24"/>
          <w:lang w:val="en-GB"/>
        </w:rPr>
        <w:t>(1), p.188.</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8725B4">
        <w:rPr>
          <w:rFonts w:ascii="Times New Roman" w:eastAsia="Times New Roman" w:hAnsi="Times New Roman" w:cs="Times New Roman"/>
          <w:sz w:val="24"/>
          <w:szCs w:val="24"/>
          <w:lang w:val="en-GB"/>
        </w:rPr>
        <w:t>Evstafyeva</w:t>
      </w:r>
      <w:proofErr w:type="spellEnd"/>
      <w:r w:rsidRPr="008725B4">
        <w:rPr>
          <w:rFonts w:ascii="Times New Roman" w:eastAsia="Times New Roman" w:hAnsi="Times New Roman" w:cs="Times New Roman"/>
          <w:sz w:val="24"/>
          <w:szCs w:val="24"/>
          <w:lang w:val="en-GB"/>
        </w:rPr>
        <w:t xml:space="preserve">, E., </w:t>
      </w:r>
      <w:proofErr w:type="spellStart"/>
      <w:r w:rsidRPr="008725B4">
        <w:rPr>
          <w:rFonts w:ascii="Times New Roman" w:eastAsia="Times New Roman" w:hAnsi="Times New Roman" w:cs="Times New Roman"/>
          <w:sz w:val="24"/>
          <w:szCs w:val="24"/>
          <w:lang w:val="en-GB"/>
        </w:rPr>
        <w:t>Kislaya</w:t>
      </w:r>
      <w:proofErr w:type="spellEnd"/>
      <w:r w:rsidRPr="008725B4">
        <w:rPr>
          <w:rFonts w:ascii="Times New Roman" w:eastAsia="Times New Roman" w:hAnsi="Times New Roman" w:cs="Times New Roman"/>
          <w:sz w:val="24"/>
          <w:szCs w:val="24"/>
          <w:lang w:val="en-GB"/>
        </w:rPr>
        <w:t xml:space="preserve">, I. and </w:t>
      </w:r>
      <w:proofErr w:type="spellStart"/>
      <w:r w:rsidRPr="008725B4">
        <w:rPr>
          <w:rFonts w:ascii="Times New Roman" w:eastAsia="Times New Roman" w:hAnsi="Times New Roman" w:cs="Times New Roman"/>
          <w:sz w:val="24"/>
          <w:szCs w:val="24"/>
          <w:lang w:val="en-GB"/>
        </w:rPr>
        <w:t>Kruchanova</w:t>
      </w:r>
      <w:proofErr w:type="spellEnd"/>
      <w:r w:rsidRPr="008725B4">
        <w:rPr>
          <w:rFonts w:ascii="Times New Roman" w:eastAsia="Times New Roman" w:hAnsi="Times New Roman" w:cs="Times New Roman"/>
          <w:sz w:val="24"/>
          <w:szCs w:val="24"/>
          <w:lang w:val="en-GB"/>
        </w:rPr>
        <w:t xml:space="preserve">, I., (2019), October. Advanced accounting perspectives in the light of leading economic digitalisation processes. In </w:t>
      </w:r>
      <w:r w:rsidRPr="008725B4">
        <w:rPr>
          <w:rFonts w:ascii="Times New Roman" w:eastAsia="Times New Roman" w:hAnsi="Times New Roman" w:cs="Times New Roman"/>
          <w:i/>
          <w:sz w:val="24"/>
          <w:szCs w:val="24"/>
          <w:lang w:val="en-GB"/>
        </w:rPr>
        <w:t>4th International Conference on Social, Business, and Academic Leadership (ICSBAL 2019)</w:t>
      </w:r>
      <w:r w:rsidRPr="008725B4">
        <w:rPr>
          <w:rFonts w:ascii="Times New Roman" w:eastAsia="Times New Roman" w:hAnsi="Times New Roman" w:cs="Times New Roman"/>
          <w:sz w:val="24"/>
          <w:szCs w:val="24"/>
          <w:lang w:val="en-GB"/>
        </w:rPr>
        <w:t xml:space="preserve"> (pp. 146-152). Atlantis Press.</w:t>
      </w:r>
    </w:p>
    <w:p w:rsidR="008725B4" w:rsidRPr="008725B4" w:rsidRDefault="008725B4" w:rsidP="008725B4">
      <w:pPr>
        <w:spacing w:before="240" w:after="240" w:line="360" w:lineRule="auto"/>
        <w:jc w:val="both"/>
        <w:rPr>
          <w:rFonts w:ascii="Times New Roman" w:eastAsia="Times New Roman" w:hAnsi="Times New Roman" w:cs="Times New Roman"/>
          <w:sz w:val="24"/>
          <w:szCs w:val="24"/>
          <w:lang w:val="en-IN" w:eastAsia="en-IN"/>
        </w:rPr>
      </w:pPr>
      <w:r w:rsidRPr="008725B4">
        <w:rPr>
          <w:rFonts w:ascii="Times New Roman" w:eastAsia="Times New Roman" w:hAnsi="Times New Roman" w:cs="Times New Roman"/>
          <w:color w:val="222222"/>
          <w:sz w:val="24"/>
          <w:szCs w:val="24"/>
          <w:shd w:val="clear" w:color="auto" w:fill="FFFFFF"/>
          <w:lang w:val="en-IN" w:eastAsia="en-IN"/>
        </w:rPr>
        <w:t>Fang, J., (2021). A Study on School's Solvency and Investment Mechanism Based on Finance.</w:t>
      </w:r>
    </w:p>
    <w:p w:rsidR="008725B4" w:rsidRPr="008725B4" w:rsidRDefault="008725B4" w:rsidP="008725B4">
      <w:pPr>
        <w:spacing w:before="240" w:after="240" w:line="360" w:lineRule="auto"/>
        <w:jc w:val="both"/>
        <w:rPr>
          <w:rFonts w:ascii="Times New Roman" w:eastAsia="Times New Roman" w:hAnsi="Times New Roman" w:cs="Times New Roman"/>
          <w:sz w:val="24"/>
          <w:szCs w:val="24"/>
          <w:lang w:val="en-IN" w:eastAsia="en-IN"/>
        </w:rPr>
      </w:pPr>
      <w:proofErr w:type="spellStart"/>
      <w:r w:rsidRPr="008725B4">
        <w:rPr>
          <w:rFonts w:ascii="Times New Roman" w:eastAsia="Times New Roman" w:hAnsi="Times New Roman" w:cs="Times New Roman"/>
          <w:color w:val="222222"/>
          <w:sz w:val="24"/>
          <w:szCs w:val="24"/>
          <w:shd w:val="clear" w:color="auto" w:fill="FFFFFF"/>
          <w:lang w:val="en-IN" w:eastAsia="en-IN"/>
        </w:rPr>
        <w:t>Fridson</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M.S. and Alvarez, F., (2022). </w:t>
      </w:r>
      <w:r w:rsidRPr="008725B4">
        <w:rPr>
          <w:rFonts w:ascii="Times New Roman" w:eastAsia="Times New Roman" w:hAnsi="Times New Roman" w:cs="Times New Roman"/>
          <w:i/>
          <w:iCs/>
          <w:color w:val="000000"/>
          <w:sz w:val="24"/>
          <w:szCs w:val="24"/>
          <w:lang w:val="en-IN" w:eastAsia="en-IN"/>
        </w:rPr>
        <w:t>Financial statement analysis: a practitioner's guide</w:t>
      </w:r>
      <w:r w:rsidRPr="008725B4">
        <w:rPr>
          <w:rFonts w:ascii="Times New Roman" w:eastAsia="Times New Roman" w:hAnsi="Times New Roman" w:cs="Times New Roman"/>
          <w:color w:val="000000"/>
          <w:sz w:val="24"/>
          <w:szCs w:val="24"/>
          <w:lang w:val="en-IN" w:eastAsia="en-IN"/>
        </w:rPr>
        <w:t>. John Wiley &amp; Sons.</w:t>
      </w:r>
    </w:p>
    <w:p w:rsidR="008725B4" w:rsidRPr="008725B4" w:rsidRDefault="008725B4" w:rsidP="008725B4">
      <w:pPr>
        <w:spacing w:before="240" w:after="240" w:line="360" w:lineRule="auto"/>
        <w:jc w:val="both"/>
        <w:rPr>
          <w:rFonts w:ascii="Times New Roman" w:eastAsia="Times New Roman" w:hAnsi="Times New Roman" w:cs="Times New Roman"/>
          <w:sz w:val="24"/>
          <w:szCs w:val="24"/>
          <w:lang w:val="en-IN" w:eastAsia="en-IN"/>
        </w:rPr>
      </w:pPr>
      <w:proofErr w:type="spellStart"/>
      <w:r w:rsidRPr="008725B4">
        <w:rPr>
          <w:rFonts w:ascii="Times New Roman" w:eastAsia="Times New Roman" w:hAnsi="Times New Roman" w:cs="Times New Roman"/>
          <w:color w:val="222222"/>
          <w:sz w:val="24"/>
          <w:szCs w:val="24"/>
          <w:shd w:val="clear" w:color="auto" w:fill="FFFFFF"/>
          <w:lang w:val="en-IN" w:eastAsia="en-IN"/>
        </w:rPr>
        <w:lastRenderedPageBreak/>
        <w:t>Gardi</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B., Hamza, P.A., </w:t>
      </w:r>
      <w:proofErr w:type="spellStart"/>
      <w:r w:rsidRPr="008725B4">
        <w:rPr>
          <w:rFonts w:ascii="Times New Roman" w:eastAsia="Times New Roman" w:hAnsi="Times New Roman" w:cs="Times New Roman"/>
          <w:color w:val="222222"/>
          <w:sz w:val="24"/>
          <w:szCs w:val="24"/>
          <w:shd w:val="clear" w:color="auto" w:fill="FFFFFF"/>
          <w:lang w:val="en-IN" w:eastAsia="en-IN"/>
        </w:rPr>
        <w:t>Qader</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K.S., Anwar, H., </w:t>
      </w:r>
      <w:proofErr w:type="spellStart"/>
      <w:r w:rsidRPr="008725B4">
        <w:rPr>
          <w:rFonts w:ascii="Times New Roman" w:eastAsia="Times New Roman" w:hAnsi="Times New Roman" w:cs="Times New Roman"/>
          <w:color w:val="222222"/>
          <w:sz w:val="24"/>
          <w:szCs w:val="24"/>
          <w:shd w:val="clear" w:color="auto" w:fill="FFFFFF"/>
          <w:lang w:val="en-IN" w:eastAsia="en-IN"/>
        </w:rPr>
        <w:t>Hamad</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D. and Anwar, G., (2021). Factors affecting the quality of financial statements on investment decision making. </w:t>
      </w:r>
      <w:r w:rsidRPr="008725B4">
        <w:rPr>
          <w:rFonts w:ascii="Times New Roman" w:eastAsia="Times New Roman" w:hAnsi="Times New Roman" w:cs="Times New Roman"/>
          <w:i/>
          <w:iCs/>
          <w:color w:val="000000"/>
          <w:sz w:val="24"/>
          <w:szCs w:val="24"/>
          <w:lang w:val="en-IN" w:eastAsia="en-IN"/>
        </w:rPr>
        <w:t>International Journal of English Literature and Social Sciences</w:t>
      </w:r>
      <w:r w:rsidRPr="008725B4">
        <w:rPr>
          <w:rFonts w:ascii="Times New Roman" w:eastAsia="Times New Roman" w:hAnsi="Times New Roman" w:cs="Times New Roman"/>
          <w:color w:val="000000"/>
          <w:sz w:val="24"/>
          <w:szCs w:val="24"/>
          <w:lang w:val="en-IN" w:eastAsia="en-IN"/>
        </w:rPr>
        <w:t xml:space="preserve">, </w:t>
      </w:r>
      <w:r w:rsidRPr="008725B4">
        <w:rPr>
          <w:rFonts w:ascii="Times New Roman" w:eastAsia="Times New Roman" w:hAnsi="Times New Roman" w:cs="Times New Roman"/>
          <w:i/>
          <w:iCs/>
          <w:color w:val="000000"/>
          <w:sz w:val="24"/>
          <w:szCs w:val="24"/>
          <w:lang w:val="en-IN" w:eastAsia="en-IN"/>
        </w:rPr>
        <w:t>6</w:t>
      </w:r>
      <w:r w:rsidRPr="008725B4">
        <w:rPr>
          <w:rFonts w:ascii="Times New Roman" w:eastAsia="Times New Roman" w:hAnsi="Times New Roman" w:cs="Times New Roman"/>
          <w:color w:val="000000"/>
          <w:sz w:val="24"/>
          <w:szCs w:val="24"/>
          <w:lang w:val="en-IN" w:eastAsia="en-IN"/>
        </w:rPr>
        <w:t>(5), pp.224-235.</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r w:rsidRPr="008725B4">
        <w:rPr>
          <w:rFonts w:ascii="Times New Roman" w:eastAsia="Times New Roman" w:hAnsi="Times New Roman" w:cs="Times New Roman"/>
          <w:sz w:val="24"/>
          <w:szCs w:val="24"/>
          <w:lang w:val="en-GB"/>
        </w:rPr>
        <w:t xml:space="preserve">Goodyear-Smith, F. and Ashton, T., (2019). New Zealand health system: universalism struggles with persisting inequities. </w:t>
      </w:r>
      <w:r w:rsidRPr="008725B4">
        <w:rPr>
          <w:rFonts w:ascii="Times New Roman" w:eastAsia="Times New Roman" w:hAnsi="Times New Roman" w:cs="Times New Roman"/>
          <w:i/>
          <w:sz w:val="24"/>
          <w:szCs w:val="24"/>
          <w:lang w:val="en-GB"/>
        </w:rPr>
        <w:t>The Lancet</w:t>
      </w:r>
      <w:r w:rsidRPr="008725B4">
        <w:rPr>
          <w:rFonts w:ascii="Times New Roman" w:eastAsia="Times New Roman" w:hAnsi="Times New Roman" w:cs="Times New Roman"/>
          <w:sz w:val="24"/>
          <w:szCs w:val="24"/>
          <w:lang w:val="en-GB"/>
        </w:rPr>
        <w:t xml:space="preserve">, </w:t>
      </w:r>
      <w:r w:rsidRPr="008725B4">
        <w:rPr>
          <w:rFonts w:ascii="Times New Roman" w:eastAsia="Times New Roman" w:hAnsi="Times New Roman" w:cs="Times New Roman"/>
          <w:i/>
          <w:sz w:val="24"/>
          <w:szCs w:val="24"/>
          <w:lang w:val="en-GB"/>
        </w:rPr>
        <w:t>394</w:t>
      </w:r>
      <w:r w:rsidRPr="008725B4">
        <w:rPr>
          <w:rFonts w:ascii="Times New Roman" w:eastAsia="Times New Roman" w:hAnsi="Times New Roman" w:cs="Times New Roman"/>
          <w:sz w:val="24"/>
          <w:szCs w:val="24"/>
          <w:lang w:val="en-GB"/>
        </w:rPr>
        <w:t>(10196), pp.432-442.</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8725B4">
        <w:rPr>
          <w:rFonts w:ascii="Times New Roman" w:eastAsia="Times New Roman" w:hAnsi="Times New Roman" w:cs="Times New Roman"/>
          <w:sz w:val="24"/>
          <w:szCs w:val="24"/>
          <w:lang w:val="en-GB"/>
        </w:rPr>
        <w:t>Grilli</w:t>
      </w:r>
      <w:proofErr w:type="spellEnd"/>
      <w:r w:rsidRPr="008725B4">
        <w:rPr>
          <w:rFonts w:ascii="Times New Roman" w:eastAsia="Times New Roman" w:hAnsi="Times New Roman" w:cs="Times New Roman"/>
          <w:sz w:val="24"/>
          <w:szCs w:val="24"/>
          <w:lang w:val="en-GB"/>
        </w:rPr>
        <w:t xml:space="preserve">, L., </w:t>
      </w:r>
      <w:proofErr w:type="spellStart"/>
      <w:r w:rsidRPr="008725B4">
        <w:rPr>
          <w:rFonts w:ascii="Times New Roman" w:eastAsia="Times New Roman" w:hAnsi="Times New Roman" w:cs="Times New Roman"/>
          <w:sz w:val="24"/>
          <w:szCs w:val="24"/>
          <w:lang w:val="en-GB"/>
        </w:rPr>
        <w:t>Latifi</w:t>
      </w:r>
      <w:proofErr w:type="spellEnd"/>
      <w:r w:rsidRPr="008725B4">
        <w:rPr>
          <w:rFonts w:ascii="Times New Roman" w:eastAsia="Times New Roman" w:hAnsi="Times New Roman" w:cs="Times New Roman"/>
          <w:sz w:val="24"/>
          <w:szCs w:val="24"/>
          <w:lang w:val="en-GB"/>
        </w:rPr>
        <w:t xml:space="preserve">, G. and </w:t>
      </w:r>
      <w:proofErr w:type="spellStart"/>
      <w:r w:rsidRPr="008725B4">
        <w:rPr>
          <w:rFonts w:ascii="Times New Roman" w:eastAsia="Times New Roman" w:hAnsi="Times New Roman" w:cs="Times New Roman"/>
          <w:sz w:val="24"/>
          <w:szCs w:val="24"/>
          <w:lang w:val="en-GB"/>
        </w:rPr>
        <w:t>Mrkajic</w:t>
      </w:r>
      <w:proofErr w:type="spellEnd"/>
      <w:r w:rsidRPr="008725B4">
        <w:rPr>
          <w:rFonts w:ascii="Times New Roman" w:eastAsia="Times New Roman" w:hAnsi="Times New Roman" w:cs="Times New Roman"/>
          <w:sz w:val="24"/>
          <w:szCs w:val="24"/>
          <w:lang w:val="en-GB"/>
        </w:rPr>
        <w:t xml:space="preserve">, B., (2019). Institutional determinants of venture capital activity: an empirically driven literature review and a research agenda. </w:t>
      </w:r>
      <w:r w:rsidRPr="008725B4">
        <w:rPr>
          <w:rFonts w:ascii="Times New Roman" w:eastAsia="Times New Roman" w:hAnsi="Times New Roman" w:cs="Times New Roman"/>
          <w:i/>
          <w:sz w:val="24"/>
          <w:szCs w:val="24"/>
          <w:lang w:val="en-GB"/>
        </w:rPr>
        <w:t>Journal of Economic Surveys</w:t>
      </w:r>
      <w:r w:rsidRPr="008725B4">
        <w:rPr>
          <w:rFonts w:ascii="Times New Roman" w:eastAsia="Times New Roman" w:hAnsi="Times New Roman" w:cs="Times New Roman"/>
          <w:sz w:val="24"/>
          <w:szCs w:val="24"/>
          <w:lang w:val="en-GB"/>
        </w:rPr>
        <w:t xml:space="preserve">, </w:t>
      </w:r>
      <w:r w:rsidRPr="008725B4">
        <w:rPr>
          <w:rFonts w:ascii="Times New Roman" w:eastAsia="Times New Roman" w:hAnsi="Times New Roman" w:cs="Times New Roman"/>
          <w:i/>
          <w:sz w:val="24"/>
          <w:szCs w:val="24"/>
          <w:lang w:val="en-GB"/>
        </w:rPr>
        <w:t>33</w:t>
      </w:r>
      <w:r w:rsidRPr="008725B4">
        <w:rPr>
          <w:rFonts w:ascii="Times New Roman" w:eastAsia="Times New Roman" w:hAnsi="Times New Roman" w:cs="Times New Roman"/>
          <w:sz w:val="24"/>
          <w:szCs w:val="24"/>
          <w:lang w:val="en-GB"/>
        </w:rPr>
        <w:t>(4), pp.1094-1122.</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8725B4">
        <w:rPr>
          <w:rFonts w:ascii="Times New Roman" w:eastAsia="Times New Roman" w:hAnsi="Times New Roman" w:cs="Times New Roman"/>
          <w:sz w:val="24"/>
          <w:szCs w:val="24"/>
          <w:lang w:val="en-GB"/>
        </w:rPr>
        <w:t>Haralayya</w:t>
      </w:r>
      <w:proofErr w:type="spellEnd"/>
      <w:r w:rsidRPr="008725B4">
        <w:rPr>
          <w:rFonts w:ascii="Times New Roman" w:eastAsia="Times New Roman" w:hAnsi="Times New Roman" w:cs="Times New Roman"/>
          <w:sz w:val="24"/>
          <w:szCs w:val="24"/>
          <w:lang w:val="en-GB"/>
        </w:rPr>
        <w:t xml:space="preserve">, B., (2021). Financial statement analysis of </w:t>
      </w:r>
      <w:proofErr w:type="spellStart"/>
      <w:r w:rsidRPr="008725B4">
        <w:rPr>
          <w:rFonts w:ascii="Times New Roman" w:eastAsia="Times New Roman" w:hAnsi="Times New Roman" w:cs="Times New Roman"/>
          <w:sz w:val="24"/>
          <w:szCs w:val="24"/>
          <w:lang w:val="en-GB"/>
        </w:rPr>
        <w:t>shri</w:t>
      </w:r>
      <w:proofErr w:type="spellEnd"/>
      <w:r w:rsidRPr="008725B4">
        <w:rPr>
          <w:rFonts w:ascii="Times New Roman" w:eastAsia="Times New Roman" w:hAnsi="Times New Roman" w:cs="Times New Roman"/>
          <w:sz w:val="24"/>
          <w:szCs w:val="24"/>
          <w:lang w:val="en-GB"/>
        </w:rPr>
        <w:t xml:space="preserve"> ram city union finance. </w:t>
      </w:r>
      <w:r w:rsidRPr="008725B4">
        <w:rPr>
          <w:rFonts w:ascii="Times New Roman" w:eastAsia="Times New Roman" w:hAnsi="Times New Roman" w:cs="Times New Roman"/>
          <w:i/>
          <w:sz w:val="24"/>
          <w:szCs w:val="24"/>
          <w:lang w:val="en-GB"/>
        </w:rPr>
        <w:t xml:space="preserve">Iconic Research </w:t>
      </w:r>
      <w:proofErr w:type="gramStart"/>
      <w:r w:rsidRPr="008725B4">
        <w:rPr>
          <w:rFonts w:ascii="Times New Roman" w:eastAsia="Times New Roman" w:hAnsi="Times New Roman" w:cs="Times New Roman"/>
          <w:i/>
          <w:sz w:val="24"/>
          <w:szCs w:val="24"/>
          <w:lang w:val="en-GB"/>
        </w:rPr>
        <w:t>And</w:t>
      </w:r>
      <w:proofErr w:type="gramEnd"/>
      <w:r w:rsidRPr="008725B4">
        <w:rPr>
          <w:rFonts w:ascii="Times New Roman" w:eastAsia="Times New Roman" w:hAnsi="Times New Roman" w:cs="Times New Roman"/>
          <w:i/>
          <w:sz w:val="24"/>
          <w:szCs w:val="24"/>
          <w:lang w:val="en-GB"/>
        </w:rPr>
        <w:t xml:space="preserve"> Engineering Journals</w:t>
      </w:r>
      <w:r w:rsidRPr="008725B4">
        <w:rPr>
          <w:rFonts w:ascii="Times New Roman" w:eastAsia="Times New Roman" w:hAnsi="Times New Roman" w:cs="Times New Roman"/>
          <w:sz w:val="24"/>
          <w:szCs w:val="24"/>
          <w:lang w:val="en-GB"/>
        </w:rPr>
        <w:t xml:space="preserve">, </w:t>
      </w:r>
      <w:r w:rsidRPr="008725B4">
        <w:rPr>
          <w:rFonts w:ascii="Times New Roman" w:eastAsia="Times New Roman" w:hAnsi="Times New Roman" w:cs="Times New Roman"/>
          <w:i/>
          <w:sz w:val="24"/>
          <w:szCs w:val="24"/>
          <w:lang w:val="en-GB"/>
        </w:rPr>
        <w:t>4</w:t>
      </w:r>
      <w:r w:rsidRPr="008725B4">
        <w:rPr>
          <w:rFonts w:ascii="Times New Roman" w:eastAsia="Times New Roman" w:hAnsi="Times New Roman" w:cs="Times New Roman"/>
          <w:sz w:val="24"/>
          <w:szCs w:val="24"/>
          <w:lang w:val="en-GB"/>
        </w:rPr>
        <w:t>(12), pp.183-196.</w:t>
      </w:r>
    </w:p>
    <w:p w:rsidR="008725B4" w:rsidRPr="008725B4" w:rsidRDefault="008725B4" w:rsidP="008725B4">
      <w:pPr>
        <w:spacing w:before="240" w:after="240" w:line="360" w:lineRule="auto"/>
        <w:jc w:val="both"/>
        <w:rPr>
          <w:rFonts w:ascii="Times New Roman" w:eastAsia="Times New Roman" w:hAnsi="Times New Roman" w:cs="Times New Roman"/>
          <w:sz w:val="24"/>
          <w:szCs w:val="24"/>
          <w:lang w:val="en-IN" w:eastAsia="en-IN"/>
        </w:rPr>
      </w:pPr>
      <w:proofErr w:type="spellStart"/>
      <w:r w:rsidRPr="008725B4">
        <w:rPr>
          <w:rFonts w:ascii="Times New Roman" w:eastAsia="Times New Roman" w:hAnsi="Times New Roman" w:cs="Times New Roman"/>
          <w:color w:val="222222"/>
          <w:sz w:val="24"/>
          <w:szCs w:val="24"/>
          <w:shd w:val="clear" w:color="auto" w:fill="FFFFFF"/>
          <w:lang w:val="en-IN" w:eastAsia="en-IN"/>
        </w:rPr>
        <w:t>Husna</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A. and </w:t>
      </w:r>
      <w:proofErr w:type="spellStart"/>
      <w:r w:rsidRPr="008725B4">
        <w:rPr>
          <w:rFonts w:ascii="Times New Roman" w:eastAsia="Times New Roman" w:hAnsi="Times New Roman" w:cs="Times New Roman"/>
          <w:color w:val="222222"/>
          <w:sz w:val="24"/>
          <w:szCs w:val="24"/>
          <w:shd w:val="clear" w:color="auto" w:fill="FFFFFF"/>
          <w:lang w:val="en-IN" w:eastAsia="en-IN"/>
        </w:rPr>
        <w:t>Satria</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I., (2019). Effects of return on asset, debt to asset ratio, current ratio, firm size, and dividend </w:t>
      </w:r>
      <w:proofErr w:type="spellStart"/>
      <w:r w:rsidRPr="008725B4">
        <w:rPr>
          <w:rFonts w:ascii="Times New Roman" w:eastAsia="Times New Roman" w:hAnsi="Times New Roman" w:cs="Times New Roman"/>
          <w:color w:val="222222"/>
          <w:sz w:val="24"/>
          <w:szCs w:val="24"/>
          <w:shd w:val="clear" w:color="auto" w:fill="FFFFFF"/>
          <w:lang w:val="en-IN" w:eastAsia="en-IN"/>
        </w:rPr>
        <w:t>payout</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ratio on firm value. </w:t>
      </w:r>
      <w:r w:rsidRPr="008725B4">
        <w:rPr>
          <w:rFonts w:ascii="Times New Roman" w:eastAsia="Times New Roman" w:hAnsi="Times New Roman" w:cs="Times New Roman"/>
          <w:i/>
          <w:iCs/>
          <w:color w:val="000000"/>
          <w:sz w:val="24"/>
          <w:szCs w:val="24"/>
          <w:lang w:val="en-IN" w:eastAsia="en-IN"/>
        </w:rPr>
        <w:t>International Journal of Economics and Financial Issues</w:t>
      </w:r>
      <w:r w:rsidRPr="008725B4">
        <w:rPr>
          <w:rFonts w:ascii="Times New Roman" w:eastAsia="Times New Roman" w:hAnsi="Times New Roman" w:cs="Times New Roman"/>
          <w:color w:val="000000"/>
          <w:sz w:val="24"/>
          <w:szCs w:val="24"/>
          <w:lang w:val="en-IN" w:eastAsia="en-IN"/>
        </w:rPr>
        <w:t xml:space="preserve">, </w:t>
      </w:r>
      <w:r w:rsidRPr="008725B4">
        <w:rPr>
          <w:rFonts w:ascii="Times New Roman" w:eastAsia="Times New Roman" w:hAnsi="Times New Roman" w:cs="Times New Roman"/>
          <w:i/>
          <w:iCs/>
          <w:color w:val="000000"/>
          <w:sz w:val="24"/>
          <w:szCs w:val="24"/>
          <w:lang w:val="en-IN" w:eastAsia="en-IN"/>
        </w:rPr>
        <w:t>9</w:t>
      </w:r>
      <w:r w:rsidRPr="008725B4">
        <w:rPr>
          <w:rFonts w:ascii="Times New Roman" w:eastAsia="Times New Roman" w:hAnsi="Times New Roman" w:cs="Times New Roman"/>
          <w:color w:val="000000"/>
          <w:sz w:val="24"/>
          <w:szCs w:val="24"/>
          <w:lang w:val="en-IN" w:eastAsia="en-IN"/>
        </w:rPr>
        <w:t>(5), pp.50-54.</w:t>
      </w:r>
    </w:p>
    <w:p w:rsidR="008725B4" w:rsidRPr="008725B4" w:rsidRDefault="008725B4" w:rsidP="008725B4">
      <w:pPr>
        <w:spacing w:before="240" w:after="240" w:line="360" w:lineRule="auto"/>
        <w:jc w:val="both"/>
        <w:rPr>
          <w:rFonts w:ascii="Times New Roman" w:eastAsia="Times New Roman" w:hAnsi="Times New Roman" w:cs="Times New Roman"/>
          <w:sz w:val="24"/>
          <w:szCs w:val="24"/>
          <w:lang w:val="en-IN" w:eastAsia="en-IN"/>
        </w:rPr>
      </w:pPr>
      <w:proofErr w:type="spellStart"/>
      <w:r w:rsidRPr="008725B4">
        <w:rPr>
          <w:rFonts w:ascii="Times New Roman" w:eastAsia="Times New Roman" w:hAnsi="Times New Roman" w:cs="Times New Roman"/>
          <w:color w:val="222222"/>
          <w:sz w:val="24"/>
          <w:szCs w:val="24"/>
          <w:shd w:val="clear" w:color="auto" w:fill="FFFFFF"/>
          <w:lang w:val="en-IN" w:eastAsia="en-IN"/>
        </w:rPr>
        <w:t>Jeenas</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P., (2019). Firm balance sheet liquidity, monetary policy shocks, and investment dynamics. </w:t>
      </w:r>
      <w:r w:rsidRPr="008725B4">
        <w:rPr>
          <w:rFonts w:ascii="Times New Roman" w:eastAsia="Times New Roman" w:hAnsi="Times New Roman" w:cs="Times New Roman"/>
          <w:i/>
          <w:iCs/>
          <w:color w:val="000000"/>
          <w:sz w:val="24"/>
          <w:szCs w:val="24"/>
          <w:lang w:val="en-IN" w:eastAsia="en-IN"/>
        </w:rPr>
        <w:t>Work</w:t>
      </w:r>
      <w:r w:rsidRPr="008725B4">
        <w:rPr>
          <w:rFonts w:ascii="Times New Roman" w:eastAsia="Times New Roman" w:hAnsi="Times New Roman" w:cs="Times New Roman"/>
          <w:color w:val="000000"/>
          <w:sz w:val="24"/>
          <w:szCs w:val="24"/>
          <w:lang w:val="en-IN" w:eastAsia="en-IN"/>
        </w:rPr>
        <w:t xml:space="preserve">, </w:t>
      </w:r>
      <w:r w:rsidRPr="008725B4">
        <w:rPr>
          <w:rFonts w:ascii="Times New Roman" w:eastAsia="Times New Roman" w:hAnsi="Times New Roman" w:cs="Times New Roman"/>
          <w:i/>
          <w:iCs/>
          <w:color w:val="000000"/>
          <w:sz w:val="24"/>
          <w:szCs w:val="24"/>
          <w:lang w:val="en-IN" w:eastAsia="en-IN"/>
        </w:rPr>
        <w:t>5</w:t>
      </w:r>
      <w:r w:rsidRPr="008725B4">
        <w:rPr>
          <w:rFonts w:ascii="Times New Roman" w:eastAsia="Times New Roman" w:hAnsi="Times New Roman" w:cs="Times New Roman"/>
          <w:color w:val="000000"/>
          <w:sz w:val="24"/>
          <w:szCs w:val="24"/>
          <w:lang w:val="en-IN" w:eastAsia="en-IN"/>
        </w:rPr>
        <w:t>.</w:t>
      </w:r>
    </w:p>
    <w:p w:rsidR="008725B4" w:rsidRPr="008725B4" w:rsidRDefault="008725B4" w:rsidP="008725B4">
      <w:pPr>
        <w:spacing w:before="240" w:after="240" w:line="360" w:lineRule="auto"/>
        <w:jc w:val="both"/>
        <w:rPr>
          <w:rFonts w:ascii="Times New Roman" w:eastAsia="Times New Roman" w:hAnsi="Times New Roman" w:cs="Times New Roman"/>
          <w:sz w:val="24"/>
          <w:szCs w:val="24"/>
          <w:lang w:val="en-IN" w:eastAsia="en-IN"/>
        </w:rPr>
      </w:pPr>
      <w:proofErr w:type="spellStart"/>
      <w:r w:rsidRPr="008725B4">
        <w:rPr>
          <w:rFonts w:ascii="Times New Roman" w:eastAsia="Times New Roman" w:hAnsi="Times New Roman" w:cs="Times New Roman"/>
          <w:color w:val="222222"/>
          <w:sz w:val="24"/>
          <w:szCs w:val="24"/>
          <w:shd w:val="clear" w:color="auto" w:fill="FFFFFF"/>
          <w:lang w:val="en-IN" w:eastAsia="en-IN"/>
        </w:rPr>
        <w:t>Kasik</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J. and </w:t>
      </w:r>
      <w:proofErr w:type="spellStart"/>
      <w:r w:rsidRPr="008725B4">
        <w:rPr>
          <w:rFonts w:ascii="Times New Roman" w:eastAsia="Times New Roman" w:hAnsi="Times New Roman" w:cs="Times New Roman"/>
          <w:color w:val="222222"/>
          <w:sz w:val="24"/>
          <w:szCs w:val="24"/>
          <w:shd w:val="clear" w:color="auto" w:fill="FFFFFF"/>
          <w:lang w:val="en-IN" w:eastAsia="en-IN"/>
        </w:rPr>
        <w:t>Snapka</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P., (2020). A general model based on the DuPont system of financial analysis for identification, analysis and solution of a potential crisis in a business. </w:t>
      </w:r>
      <w:r w:rsidRPr="008725B4">
        <w:rPr>
          <w:rFonts w:ascii="Times New Roman" w:eastAsia="Times New Roman" w:hAnsi="Times New Roman" w:cs="Times New Roman"/>
          <w:i/>
          <w:iCs/>
          <w:color w:val="000000"/>
          <w:sz w:val="24"/>
          <w:szCs w:val="24"/>
          <w:lang w:val="en-IN" w:eastAsia="en-IN"/>
        </w:rPr>
        <w:t>Montenegrin Journal of Economics</w:t>
      </w:r>
      <w:r w:rsidRPr="008725B4">
        <w:rPr>
          <w:rFonts w:ascii="Times New Roman" w:eastAsia="Times New Roman" w:hAnsi="Times New Roman" w:cs="Times New Roman"/>
          <w:color w:val="000000"/>
          <w:sz w:val="24"/>
          <w:szCs w:val="24"/>
          <w:lang w:val="en-IN" w:eastAsia="en-IN"/>
        </w:rPr>
        <w:t xml:space="preserve">, </w:t>
      </w:r>
      <w:r w:rsidRPr="008725B4">
        <w:rPr>
          <w:rFonts w:ascii="Times New Roman" w:eastAsia="Times New Roman" w:hAnsi="Times New Roman" w:cs="Times New Roman"/>
          <w:i/>
          <w:iCs/>
          <w:color w:val="000000"/>
          <w:sz w:val="24"/>
          <w:szCs w:val="24"/>
          <w:lang w:val="en-IN" w:eastAsia="en-IN"/>
        </w:rPr>
        <w:t>16</w:t>
      </w:r>
      <w:r w:rsidRPr="008725B4">
        <w:rPr>
          <w:rFonts w:ascii="Times New Roman" w:eastAsia="Times New Roman" w:hAnsi="Times New Roman" w:cs="Times New Roman"/>
          <w:color w:val="000000"/>
          <w:sz w:val="24"/>
          <w:szCs w:val="24"/>
          <w:lang w:val="en-IN" w:eastAsia="en-IN"/>
        </w:rPr>
        <w:t>(4), pp.55-66.</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8725B4">
        <w:rPr>
          <w:rFonts w:ascii="Times New Roman" w:eastAsia="Times New Roman" w:hAnsi="Times New Roman" w:cs="Times New Roman"/>
          <w:sz w:val="24"/>
          <w:szCs w:val="24"/>
          <w:lang w:val="en-GB"/>
        </w:rPr>
        <w:t>Laroiya</w:t>
      </w:r>
      <w:proofErr w:type="spellEnd"/>
      <w:r w:rsidRPr="008725B4">
        <w:rPr>
          <w:rFonts w:ascii="Times New Roman" w:eastAsia="Times New Roman" w:hAnsi="Times New Roman" w:cs="Times New Roman"/>
          <w:sz w:val="24"/>
          <w:szCs w:val="24"/>
          <w:lang w:val="en-GB"/>
        </w:rPr>
        <w:t xml:space="preserve">, C., </w:t>
      </w:r>
      <w:proofErr w:type="spellStart"/>
      <w:r w:rsidRPr="008725B4">
        <w:rPr>
          <w:rFonts w:ascii="Times New Roman" w:eastAsia="Times New Roman" w:hAnsi="Times New Roman" w:cs="Times New Roman"/>
          <w:sz w:val="24"/>
          <w:szCs w:val="24"/>
          <w:lang w:val="en-GB"/>
        </w:rPr>
        <w:t>Saxena</w:t>
      </w:r>
      <w:proofErr w:type="spellEnd"/>
      <w:r w:rsidRPr="008725B4">
        <w:rPr>
          <w:rFonts w:ascii="Times New Roman" w:eastAsia="Times New Roman" w:hAnsi="Times New Roman" w:cs="Times New Roman"/>
          <w:sz w:val="24"/>
          <w:szCs w:val="24"/>
          <w:lang w:val="en-GB"/>
        </w:rPr>
        <w:t xml:space="preserve">, D. and </w:t>
      </w:r>
      <w:proofErr w:type="spellStart"/>
      <w:r w:rsidRPr="008725B4">
        <w:rPr>
          <w:rFonts w:ascii="Times New Roman" w:eastAsia="Times New Roman" w:hAnsi="Times New Roman" w:cs="Times New Roman"/>
          <w:sz w:val="24"/>
          <w:szCs w:val="24"/>
          <w:lang w:val="en-GB"/>
        </w:rPr>
        <w:t>Komalavalli</w:t>
      </w:r>
      <w:proofErr w:type="spellEnd"/>
      <w:r w:rsidRPr="008725B4">
        <w:rPr>
          <w:rFonts w:ascii="Times New Roman" w:eastAsia="Times New Roman" w:hAnsi="Times New Roman" w:cs="Times New Roman"/>
          <w:sz w:val="24"/>
          <w:szCs w:val="24"/>
          <w:lang w:val="en-GB"/>
        </w:rPr>
        <w:t xml:space="preserve">, C., (2020). Applications of </w:t>
      </w:r>
      <w:proofErr w:type="spellStart"/>
      <w:r w:rsidRPr="008725B4">
        <w:rPr>
          <w:rFonts w:ascii="Times New Roman" w:eastAsia="Times New Roman" w:hAnsi="Times New Roman" w:cs="Times New Roman"/>
          <w:sz w:val="24"/>
          <w:szCs w:val="24"/>
          <w:lang w:val="en-GB"/>
        </w:rPr>
        <w:t>blockchain</w:t>
      </w:r>
      <w:proofErr w:type="spellEnd"/>
      <w:r w:rsidRPr="008725B4">
        <w:rPr>
          <w:rFonts w:ascii="Times New Roman" w:eastAsia="Times New Roman" w:hAnsi="Times New Roman" w:cs="Times New Roman"/>
          <w:sz w:val="24"/>
          <w:szCs w:val="24"/>
          <w:lang w:val="en-GB"/>
        </w:rPr>
        <w:t xml:space="preserve"> technology. In </w:t>
      </w:r>
      <w:r w:rsidRPr="008725B4">
        <w:rPr>
          <w:rFonts w:ascii="Times New Roman" w:eastAsia="Times New Roman" w:hAnsi="Times New Roman" w:cs="Times New Roman"/>
          <w:i/>
          <w:sz w:val="24"/>
          <w:szCs w:val="24"/>
          <w:lang w:val="en-GB"/>
        </w:rPr>
        <w:t xml:space="preserve">Handbook of research on </w:t>
      </w:r>
      <w:proofErr w:type="spellStart"/>
      <w:r w:rsidRPr="008725B4">
        <w:rPr>
          <w:rFonts w:ascii="Times New Roman" w:eastAsia="Times New Roman" w:hAnsi="Times New Roman" w:cs="Times New Roman"/>
          <w:i/>
          <w:sz w:val="24"/>
          <w:szCs w:val="24"/>
          <w:lang w:val="en-GB"/>
        </w:rPr>
        <w:t>blockchain</w:t>
      </w:r>
      <w:proofErr w:type="spellEnd"/>
      <w:r w:rsidRPr="008725B4">
        <w:rPr>
          <w:rFonts w:ascii="Times New Roman" w:eastAsia="Times New Roman" w:hAnsi="Times New Roman" w:cs="Times New Roman"/>
          <w:i/>
          <w:sz w:val="24"/>
          <w:szCs w:val="24"/>
          <w:lang w:val="en-GB"/>
        </w:rPr>
        <w:t xml:space="preserve"> technology</w:t>
      </w:r>
      <w:r w:rsidRPr="008725B4">
        <w:rPr>
          <w:rFonts w:ascii="Times New Roman" w:eastAsia="Times New Roman" w:hAnsi="Times New Roman" w:cs="Times New Roman"/>
          <w:sz w:val="24"/>
          <w:szCs w:val="24"/>
          <w:lang w:val="en-GB"/>
        </w:rPr>
        <w:t xml:space="preserve"> (pp. 213-243). Academic press.</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8725B4">
        <w:rPr>
          <w:rFonts w:ascii="Times New Roman" w:eastAsia="Times New Roman" w:hAnsi="Times New Roman" w:cs="Times New Roman"/>
          <w:sz w:val="24"/>
          <w:szCs w:val="24"/>
          <w:lang w:val="en-GB"/>
        </w:rPr>
        <w:t>Noy</w:t>
      </w:r>
      <w:proofErr w:type="spellEnd"/>
      <w:r w:rsidRPr="008725B4">
        <w:rPr>
          <w:rFonts w:ascii="Times New Roman" w:eastAsia="Times New Roman" w:hAnsi="Times New Roman" w:cs="Times New Roman"/>
          <w:sz w:val="24"/>
          <w:szCs w:val="24"/>
          <w:lang w:val="en-GB"/>
        </w:rPr>
        <w:t xml:space="preserve">, I., Doan, N., </w:t>
      </w:r>
      <w:proofErr w:type="spellStart"/>
      <w:r w:rsidRPr="008725B4">
        <w:rPr>
          <w:rFonts w:ascii="Times New Roman" w:eastAsia="Times New Roman" w:hAnsi="Times New Roman" w:cs="Times New Roman"/>
          <w:sz w:val="24"/>
          <w:szCs w:val="24"/>
          <w:lang w:val="en-GB"/>
        </w:rPr>
        <w:t>Ferrarini</w:t>
      </w:r>
      <w:proofErr w:type="spellEnd"/>
      <w:r w:rsidRPr="008725B4">
        <w:rPr>
          <w:rFonts w:ascii="Times New Roman" w:eastAsia="Times New Roman" w:hAnsi="Times New Roman" w:cs="Times New Roman"/>
          <w:sz w:val="24"/>
          <w:szCs w:val="24"/>
          <w:lang w:val="en-GB"/>
        </w:rPr>
        <w:t xml:space="preserve">, B. and Park, D., (2020). Measuring the economic risk of COVID‐19. </w:t>
      </w:r>
      <w:r w:rsidRPr="008725B4">
        <w:rPr>
          <w:rFonts w:ascii="Times New Roman" w:eastAsia="Times New Roman" w:hAnsi="Times New Roman" w:cs="Times New Roman"/>
          <w:i/>
          <w:sz w:val="24"/>
          <w:szCs w:val="24"/>
          <w:lang w:val="en-GB"/>
        </w:rPr>
        <w:t>Global Policy</w:t>
      </w:r>
      <w:r w:rsidRPr="008725B4">
        <w:rPr>
          <w:rFonts w:ascii="Times New Roman" w:eastAsia="Times New Roman" w:hAnsi="Times New Roman" w:cs="Times New Roman"/>
          <w:sz w:val="24"/>
          <w:szCs w:val="24"/>
          <w:lang w:val="en-GB"/>
        </w:rPr>
        <w:t xml:space="preserve">, </w:t>
      </w:r>
      <w:r w:rsidRPr="008725B4">
        <w:rPr>
          <w:rFonts w:ascii="Times New Roman" w:eastAsia="Times New Roman" w:hAnsi="Times New Roman" w:cs="Times New Roman"/>
          <w:i/>
          <w:sz w:val="24"/>
          <w:szCs w:val="24"/>
          <w:lang w:val="en-GB"/>
        </w:rPr>
        <w:t>11</w:t>
      </w:r>
      <w:r w:rsidRPr="008725B4">
        <w:rPr>
          <w:rFonts w:ascii="Times New Roman" w:eastAsia="Times New Roman" w:hAnsi="Times New Roman" w:cs="Times New Roman"/>
          <w:sz w:val="24"/>
          <w:szCs w:val="24"/>
          <w:lang w:val="en-GB"/>
        </w:rPr>
        <w:t>(4), pp.413-423.</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8725B4">
        <w:rPr>
          <w:rFonts w:ascii="Times New Roman" w:eastAsia="Times New Roman" w:hAnsi="Times New Roman" w:cs="Times New Roman"/>
          <w:sz w:val="24"/>
          <w:szCs w:val="24"/>
          <w:lang w:val="en-GB"/>
        </w:rPr>
        <w:t>Pazarbasioglu</w:t>
      </w:r>
      <w:proofErr w:type="spellEnd"/>
      <w:r w:rsidRPr="008725B4">
        <w:rPr>
          <w:rFonts w:ascii="Times New Roman" w:eastAsia="Times New Roman" w:hAnsi="Times New Roman" w:cs="Times New Roman"/>
          <w:sz w:val="24"/>
          <w:szCs w:val="24"/>
          <w:lang w:val="en-GB"/>
        </w:rPr>
        <w:t xml:space="preserve">, C., Mora, A.G., </w:t>
      </w:r>
      <w:proofErr w:type="spellStart"/>
      <w:r w:rsidRPr="008725B4">
        <w:rPr>
          <w:rFonts w:ascii="Times New Roman" w:eastAsia="Times New Roman" w:hAnsi="Times New Roman" w:cs="Times New Roman"/>
          <w:sz w:val="24"/>
          <w:szCs w:val="24"/>
          <w:lang w:val="en-GB"/>
        </w:rPr>
        <w:t>Uttamchandani</w:t>
      </w:r>
      <w:proofErr w:type="spellEnd"/>
      <w:r w:rsidRPr="008725B4">
        <w:rPr>
          <w:rFonts w:ascii="Times New Roman" w:eastAsia="Times New Roman" w:hAnsi="Times New Roman" w:cs="Times New Roman"/>
          <w:sz w:val="24"/>
          <w:szCs w:val="24"/>
          <w:lang w:val="en-GB"/>
        </w:rPr>
        <w:t xml:space="preserve">, M., Natarajan, H., </w:t>
      </w:r>
      <w:proofErr w:type="spellStart"/>
      <w:r w:rsidRPr="008725B4">
        <w:rPr>
          <w:rFonts w:ascii="Times New Roman" w:eastAsia="Times New Roman" w:hAnsi="Times New Roman" w:cs="Times New Roman"/>
          <w:sz w:val="24"/>
          <w:szCs w:val="24"/>
          <w:lang w:val="en-GB"/>
        </w:rPr>
        <w:t>Feyen</w:t>
      </w:r>
      <w:proofErr w:type="spellEnd"/>
      <w:r w:rsidRPr="008725B4">
        <w:rPr>
          <w:rFonts w:ascii="Times New Roman" w:eastAsia="Times New Roman" w:hAnsi="Times New Roman" w:cs="Times New Roman"/>
          <w:sz w:val="24"/>
          <w:szCs w:val="24"/>
          <w:lang w:val="en-GB"/>
        </w:rPr>
        <w:t xml:space="preserve">, E. and </w:t>
      </w:r>
      <w:proofErr w:type="spellStart"/>
      <w:r w:rsidRPr="008725B4">
        <w:rPr>
          <w:rFonts w:ascii="Times New Roman" w:eastAsia="Times New Roman" w:hAnsi="Times New Roman" w:cs="Times New Roman"/>
          <w:sz w:val="24"/>
          <w:szCs w:val="24"/>
          <w:lang w:val="en-GB"/>
        </w:rPr>
        <w:t>Saal</w:t>
      </w:r>
      <w:proofErr w:type="spellEnd"/>
      <w:r w:rsidRPr="008725B4">
        <w:rPr>
          <w:rFonts w:ascii="Times New Roman" w:eastAsia="Times New Roman" w:hAnsi="Times New Roman" w:cs="Times New Roman"/>
          <w:sz w:val="24"/>
          <w:szCs w:val="24"/>
          <w:lang w:val="en-GB"/>
        </w:rPr>
        <w:t xml:space="preserve">, M., (2020). Digital financial services. </w:t>
      </w:r>
      <w:r w:rsidRPr="008725B4">
        <w:rPr>
          <w:rFonts w:ascii="Times New Roman" w:eastAsia="Times New Roman" w:hAnsi="Times New Roman" w:cs="Times New Roman"/>
          <w:i/>
          <w:sz w:val="24"/>
          <w:szCs w:val="24"/>
          <w:lang w:val="en-GB"/>
        </w:rPr>
        <w:t>World Bank</w:t>
      </w:r>
      <w:r w:rsidRPr="008725B4">
        <w:rPr>
          <w:rFonts w:ascii="Times New Roman" w:eastAsia="Times New Roman" w:hAnsi="Times New Roman" w:cs="Times New Roman"/>
          <w:sz w:val="24"/>
          <w:szCs w:val="24"/>
          <w:lang w:val="en-GB"/>
        </w:rPr>
        <w:t xml:space="preserve">, </w:t>
      </w:r>
      <w:r w:rsidRPr="008725B4">
        <w:rPr>
          <w:rFonts w:ascii="Times New Roman" w:eastAsia="Times New Roman" w:hAnsi="Times New Roman" w:cs="Times New Roman"/>
          <w:i/>
          <w:sz w:val="24"/>
          <w:szCs w:val="24"/>
          <w:lang w:val="en-GB"/>
        </w:rPr>
        <w:t>54</w:t>
      </w:r>
      <w:r w:rsidRPr="008725B4">
        <w:rPr>
          <w:rFonts w:ascii="Times New Roman" w:eastAsia="Times New Roman" w:hAnsi="Times New Roman" w:cs="Times New Roman"/>
          <w:sz w:val="24"/>
          <w:szCs w:val="24"/>
          <w:lang w:val="en-GB"/>
        </w:rPr>
        <w:t>.</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r w:rsidRPr="008725B4">
        <w:rPr>
          <w:rFonts w:ascii="Times New Roman" w:eastAsia="Times New Roman" w:hAnsi="Times New Roman" w:cs="Times New Roman"/>
          <w:sz w:val="24"/>
          <w:szCs w:val="24"/>
          <w:lang w:val="en-GB"/>
        </w:rPr>
        <w:lastRenderedPageBreak/>
        <w:t xml:space="preserve">Rome, B.N., Nagar, S., </w:t>
      </w:r>
      <w:proofErr w:type="spellStart"/>
      <w:r w:rsidRPr="008725B4">
        <w:rPr>
          <w:rFonts w:ascii="Times New Roman" w:eastAsia="Times New Roman" w:hAnsi="Times New Roman" w:cs="Times New Roman"/>
          <w:sz w:val="24"/>
          <w:szCs w:val="24"/>
          <w:lang w:val="en-GB"/>
        </w:rPr>
        <w:t>Egilman</w:t>
      </w:r>
      <w:proofErr w:type="spellEnd"/>
      <w:r w:rsidRPr="008725B4">
        <w:rPr>
          <w:rFonts w:ascii="Times New Roman" w:eastAsia="Times New Roman" w:hAnsi="Times New Roman" w:cs="Times New Roman"/>
          <w:sz w:val="24"/>
          <w:szCs w:val="24"/>
          <w:lang w:val="en-GB"/>
        </w:rPr>
        <w:t xml:space="preserve">, A.C., Wang, J., Feldman, W.B. and </w:t>
      </w:r>
      <w:proofErr w:type="spellStart"/>
      <w:r w:rsidRPr="008725B4">
        <w:rPr>
          <w:rFonts w:ascii="Times New Roman" w:eastAsia="Times New Roman" w:hAnsi="Times New Roman" w:cs="Times New Roman"/>
          <w:sz w:val="24"/>
          <w:szCs w:val="24"/>
          <w:lang w:val="en-GB"/>
        </w:rPr>
        <w:t>Kesselheim</w:t>
      </w:r>
      <w:proofErr w:type="spellEnd"/>
      <w:r w:rsidRPr="008725B4">
        <w:rPr>
          <w:rFonts w:ascii="Times New Roman" w:eastAsia="Times New Roman" w:hAnsi="Times New Roman" w:cs="Times New Roman"/>
          <w:sz w:val="24"/>
          <w:szCs w:val="24"/>
          <w:lang w:val="en-GB"/>
        </w:rPr>
        <w:t xml:space="preserve">, A.S., (2023), January. Simulated Medicare drug price negotiation under the Inflation Reduction Act of 2022. In </w:t>
      </w:r>
      <w:r w:rsidRPr="008725B4">
        <w:rPr>
          <w:rFonts w:ascii="Times New Roman" w:eastAsia="Times New Roman" w:hAnsi="Times New Roman" w:cs="Times New Roman"/>
          <w:i/>
          <w:sz w:val="24"/>
          <w:szCs w:val="24"/>
          <w:lang w:val="en-GB"/>
        </w:rPr>
        <w:t>JAMA Health Forum</w:t>
      </w:r>
      <w:r w:rsidRPr="008725B4">
        <w:rPr>
          <w:rFonts w:ascii="Times New Roman" w:eastAsia="Times New Roman" w:hAnsi="Times New Roman" w:cs="Times New Roman"/>
          <w:sz w:val="24"/>
          <w:szCs w:val="24"/>
          <w:lang w:val="en-GB"/>
        </w:rPr>
        <w:t xml:space="preserve"> (Vol. 4, No. 1, pp. e225218-e225218). American Medical Association.</w:t>
      </w:r>
    </w:p>
    <w:p w:rsidR="008725B4" w:rsidRPr="008725B4" w:rsidRDefault="008725B4" w:rsidP="008725B4">
      <w:pPr>
        <w:spacing w:before="240" w:after="240" w:line="360" w:lineRule="auto"/>
        <w:jc w:val="both"/>
        <w:rPr>
          <w:rFonts w:ascii="Times New Roman" w:eastAsia="Times New Roman" w:hAnsi="Times New Roman" w:cs="Times New Roman"/>
          <w:sz w:val="24"/>
          <w:szCs w:val="24"/>
          <w:lang w:val="en-IN" w:eastAsia="en-IN"/>
        </w:rPr>
      </w:pPr>
      <w:proofErr w:type="spellStart"/>
      <w:r w:rsidRPr="008725B4">
        <w:rPr>
          <w:rFonts w:ascii="Times New Roman" w:eastAsia="Times New Roman" w:hAnsi="Times New Roman" w:cs="Times New Roman"/>
          <w:color w:val="222222"/>
          <w:sz w:val="24"/>
          <w:szCs w:val="24"/>
          <w:shd w:val="clear" w:color="auto" w:fill="FFFFFF"/>
          <w:lang w:val="en-IN" w:eastAsia="en-IN"/>
        </w:rPr>
        <w:t>Saus</w:t>
      </w:r>
      <w:proofErr w:type="spellEnd"/>
      <w:r w:rsidRPr="008725B4">
        <w:rPr>
          <w:rFonts w:ascii="Times New Roman" w:eastAsia="Times New Roman" w:hAnsi="Times New Roman" w:cs="Times New Roman"/>
          <w:color w:val="222222"/>
          <w:sz w:val="24"/>
          <w:szCs w:val="24"/>
          <w:shd w:val="clear" w:color="auto" w:fill="FFFFFF"/>
          <w:lang w:val="en-IN" w:eastAsia="en-IN"/>
        </w:rPr>
        <w:t>–</w:t>
      </w:r>
      <w:proofErr w:type="spellStart"/>
      <w:r w:rsidRPr="008725B4">
        <w:rPr>
          <w:rFonts w:ascii="Times New Roman" w:eastAsia="Times New Roman" w:hAnsi="Times New Roman" w:cs="Times New Roman"/>
          <w:color w:val="222222"/>
          <w:sz w:val="24"/>
          <w:szCs w:val="24"/>
          <w:shd w:val="clear" w:color="auto" w:fill="FFFFFF"/>
          <w:lang w:val="en-IN" w:eastAsia="en-IN"/>
        </w:rPr>
        <w:t>Sala</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E., </w:t>
      </w:r>
      <w:proofErr w:type="spellStart"/>
      <w:r w:rsidRPr="008725B4">
        <w:rPr>
          <w:rFonts w:ascii="Times New Roman" w:eastAsia="Times New Roman" w:hAnsi="Times New Roman" w:cs="Times New Roman"/>
          <w:color w:val="222222"/>
          <w:sz w:val="24"/>
          <w:szCs w:val="24"/>
          <w:shd w:val="clear" w:color="auto" w:fill="FFFFFF"/>
          <w:lang w:val="en-IN" w:eastAsia="en-IN"/>
        </w:rPr>
        <w:t>Farreras</w:t>
      </w:r>
      <w:proofErr w:type="spellEnd"/>
      <w:r w:rsidRPr="008725B4">
        <w:rPr>
          <w:rFonts w:ascii="Times New Roman" w:eastAsia="Times New Roman" w:hAnsi="Times New Roman" w:cs="Times New Roman"/>
          <w:color w:val="222222"/>
          <w:sz w:val="24"/>
          <w:szCs w:val="24"/>
          <w:shd w:val="clear" w:color="auto" w:fill="FFFFFF"/>
          <w:lang w:val="en-IN" w:eastAsia="en-IN"/>
        </w:rPr>
        <w:t>–</w:t>
      </w:r>
      <w:proofErr w:type="spellStart"/>
      <w:r w:rsidRPr="008725B4">
        <w:rPr>
          <w:rFonts w:ascii="Times New Roman" w:eastAsia="Times New Roman" w:hAnsi="Times New Roman" w:cs="Times New Roman"/>
          <w:color w:val="222222"/>
          <w:sz w:val="24"/>
          <w:szCs w:val="24"/>
          <w:shd w:val="clear" w:color="auto" w:fill="FFFFFF"/>
          <w:lang w:val="en-IN" w:eastAsia="en-IN"/>
        </w:rPr>
        <w:t>Noguer</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w:t>
      </w:r>
      <w:proofErr w:type="gramStart"/>
      <w:r w:rsidRPr="008725B4">
        <w:rPr>
          <w:rFonts w:ascii="Times New Roman" w:eastAsia="Times New Roman" w:hAnsi="Times New Roman" w:cs="Times New Roman"/>
          <w:color w:val="222222"/>
          <w:sz w:val="24"/>
          <w:szCs w:val="24"/>
          <w:shd w:val="clear" w:color="auto" w:fill="FFFFFF"/>
          <w:lang w:val="en-IN" w:eastAsia="en-IN"/>
        </w:rPr>
        <w:t>À.,</w:t>
      </w:r>
      <w:proofErr w:type="gramEnd"/>
      <w:r w:rsidRPr="008725B4">
        <w:rPr>
          <w:rFonts w:ascii="Times New Roman" w:eastAsia="Times New Roman" w:hAnsi="Times New Roman" w:cs="Times New Roman"/>
          <w:color w:val="222222"/>
          <w:sz w:val="24"/>
          <w:szCs w:val="24"/>
          <w:shd w:val="clear" w:color="auto" w:fill="FFFFFF"/>
          <w:lang w:val="en-IN" w:eastAsia="en-IN"/>
        </w:rPr>
        <w:t xml:space="preserve"> </w:t>
      </w:r>
      <w:proofErr w:type="spellStart"/>
      <w:r w:rsidRPr="008725B4">
        <w:rPr>
          <w:rFonts w:ascii="Times New Roman" w:eastAsia="Times New Roman" w:hAnsi="Times New Roman" w:cs="Times New Roman"/>
          <w:color w:val="222222"/>
          <w:sz w:val="24"/>
          <w:szCs w:val="24"/>
          <w:shd w:val="clear" w:color="auto" w:fill="FFFFFF"/>
          <w:lang w:val="en-IN" w:eastAsia="en-IN"/>
        </w:rPr>
        <w:t>Arimany</w:t>
      </w:r>
      <w:proofErr w:type="spellEnd"/>
      <w:r w:rsidRPr="008725B4">
        <w:rPr>
          <w:rFonts w:ascii="Times New Roman" w:eastAsia="Times New Roman" w:hAnsi="Times New Roman" w:cs="Times New Roman"/>
          <w:color w:val="222222"/>
          <w:sz w:val="24"/>
          <w:szCs w:val="24"/>
          <w:shd w:val="clear" w:color="auto" w:fill="FFFFFF"/>
          <w:lang w:val="en-IN" w:eastAsia="en-IN"/>
        </w:rPr>
        <w:t>–</w:t>
      </w:r>
      <w:proofErr w:type="spellStart"/>
      <w:r w:rsidRPr="008725B4">
        <w:rPr>
          <w:rFonts w:ascii="Times New Roman" w:eastAsia="Times New Roman" w:hAnsi="Times New Roman" w:cs="Times New Roman"/>
          <w:color w:val="222222"/>
          <w:sz w:val="24"/>
          <w:szCs w:val="24"/>
          <w:shd w:val="clear" w:color="auto" w:fill="FFFFFF"/>
          <w:lang w:val="en-IN" w:eastAsia="en-IN"/>
        </w:rPr>
        <w:t>Serrat</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N. and </w:t>
      </w:r>
      <w:proofErr w:type="spellStart"/>
      <w:r w:rsidRPr="008725B4">
        <w:rPr>
          <w:rFonts w:ascii="Times New Roman" w:eastAsia="Times New Roman" w:hAnsi="Times New Roman" w:cs="Times New Roman"/>
          <w:color w:val="222222"/>
          <w:sz w:val="24"/>
          <w:szCs w:val="24"/>
          <w:shd w:val="clear" w:color="auto" w:fill="FFFFFF"/>
          <w:lang w:val="en-IN" w:eastAsia="en-IN"/>
        </w:rPr>
        <w:t>Coenders</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G., (2021). Compositional DuPont analysis. A visual tool for strategic financial performance assessment. In </w:t>
      </w:r>
      <w:r w:rsidRPr="008725B4">
        <w:rPr>
          <w:rFonts w:ascii="Times New Roman" w:eastAsia="Times New Roman" w:hAnsi="Times New Roman" w:cs="Times New Roman"/>
          <w:i/>
          <w:iCs/>
          <w:color w:val="000000"/>
          <w:sz w:val="24"/>
          <w:szCs w:val="24"/>
          <w:lang w:val="en-IN" w:eastAsia="en-IN"/>
        </w:rPr>
        <w:t xml:space="preserve">Advances in Compositional Data Analysis: Festschrift in Honour of Vera </w:t>
      </w:r>
      <w:proofErr w:type="spellStart"/>
      <w:r w:rsidRPr="008725B4">
        <w:rPr>
          <w:rFonts w:ascii="Times New Roman" w:eastAsia="Times New Roman" w:hAnsi="Times New Roman" w:cs="Times New Roman"/>
          <w:i/>
          <w:iCs/>
          <w:color w:val="000000"/>
          <w:sz w:val="24"/>
          <w:szCs w:val="24"/>
          <w:lang w:val="en-IN" w:eastAsia="en-IN"/>
        </w:rPr>
        <w:t>Pawlowsky-Glahn</w:t>
      </w:r>
      <w:proofErr w:type="spellEnd"/>
      <w:r w:rsidRPr="008725B4">
        <w:rPr>
          <w:rFonts w:ascii="Times New Roman" w:eastAsia="Times New Roman" w:hAnsi="Times New Roman" w:cs="Times New Roman"/>
          <w:color w:val="000000"/>
          <w:sz w:val="24"/>
          <w:szCs w:val="24"/>
          <w:lang w:val="en-IN" w:eastAsia="en-IN"/>
        </w:rPr>
        <w:t xml:space="preserve"> (pp. 189-206). Cham: Springer International Publishing.</w:t>
      </w:r>
    </w:p>
    <w:p w:rsidR="008725B4" w:rsidRPr="008725B4" w:rsidRDefault="008725B4" w:rsidP="008725B4">
      <w:pPr>
        <w:spacing w:before="240" w:after="240" w:line="360" w:lineRule="auto"/>
        <w:jc w:val="both"/>
        <w:rPr>
          <w:rFonts w:ascii="Times New Roman" w:eastAsia="Times New Roman" w:hAnsi="Times New Roman" w:cs="Times New Roman"/>
          <w:sz w:val="24"/>
          <w:szCs w:val="24"/>
          <w:lang w:val="en-IN" w:eastAsia="en-IN"/>
        </w:rPr>
      </w:pPr>
      <w:proofErr w:type="spellStart"/>
      <w:r w:rsidRPr="008725B4">
        <w:rPr>
          <w:rFonts w:ascii="Times New Roman" w:eastAsia="Times New Roman" w:hAnsi="Times New Roman" w:cs="Times New Roman"/>
          <w:color w:val="222222"/>
          <w:sz w:val="24"/>
          <w:szCs w:val="24"/>
          <w:shd w:val="clear" w:color="auto" w:fill="FFFFFF"/>
          <w:lang w:val="en-IN" w:eastAsia="en-IN"/>
        </w:rPr>
        <w:t>Setiany</w:t>
      </w:r>
      <w:proofErr w:type="spellEnd"/>
      <w:r w:rsidRPr="008725B4">
        <w:rPr>
          <w:rFonts w:ascii="Times New Roman" w:eastAsia="Times New Roman" w:hAnsi="Times New Roman" w:cs="Times New Roman"/>
          <w:color w:val="222222"/>
          <w:sz w:val="24"/>
          <w:szCs w:val="24"/>
          <w:shd w:val="clear" w:color="auto" w:fill="FFFFFF"/>
          <w:lang w:val="en-IN" w:eastAsia="en-IN"/>
        </w:rPr>
        <w:t xml:space="preserve">, E., (2021). The effect of investment, free cash flow, earnings management, and interest coverage ratio on financial distress. </w:t>
      </w:r>
      <w:r w:rsidRPr="008725B4">
        <w:rPr>
          <w:rFonts w:ascii="Times New Roman" w:eastAsia="Times New Roman" w:hAnsi="Times New Roman" w:cs="Times New Roman"/>
          <w:i/>
          <w:iCs/>
          <w:color w:val="000000"/>
          <w:sz w:val="24"/>
          <w:szCs w:val="24"/>
          <w:lang w:val="en-IN" w:eastAsia="en-IN"/>
        </w:rPr>
        <w:t>Journal of Social Science</w:t>
      </w:r>
      <w:r w:rsidRPr="008725B4">
        <w:rPr>
          <w:rFonts w:ascii="Times New Roman" w:eastAsia="Times New Roman" w:hAnsi="Times New Roman" w:cs="Times New Roman"/>
          <w:color w:val="000000"/>
          <w:sz w:val="24"/>
          <w:szCs w:val="24"/>
          <w:lang w:val="en-IN" w:eastAsia="en-IN"/>
        </w:rPr>
        <w:t xml:space="preserve">, </w:t>
      </w:r>
      <w:r w:rsidRPr="008725B4">
        <w:rPr>
          <w:rFonts w:ascii="Times New Roman" w:eastAsia="Times New Roman" w:hAnsi="Times New Roman" w:cs="Times New Roman"/>
          <w:i/>
          <w:iCs/>
          <w:color w:val="000000"/>
          <w:sz w:val="24"/>
          <w:szCs w:val="24"/>
          <w:lang w:val="en-IN" w:eastAsia="en-IN"/>
        </w:rPr>
        <w:t>2</w:t>
      </w:r>
      <w:r w:rsidRPr="008725B4">
        <w:rPr>
          <w:rFonts w:ascii="Times New Roman" w:eastAsia="Times New Roman" w:hAnsi="Times New Roman" w:cs="Times New Roman"/>
          <w:color w:val="000000"/>
          <w:sz w:val="24"/>
          <w:szCs w:val="24"/>
          <w:lang w:val="en-IN" w:eastAsia="en-IN"/>
        </w:rPr>
        <w:t>(1), pp.64-69.</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8725B4">
        <w:rPr>
          <w:rFonts w:ascii="Times New Roman" w:eastAsia="Times New Roman" w:hAnsi="Times New Roman" w:cs="Times New Roman"/>
          <w:sz w:val="24"/>
          <w:szCs w:val="24"/>
          <w:lang w:val="en-GB"/>
        </w:rPr>
        <w:t>Sim</w:t>
      </w:r>
      <w:proofErr w:type="spellEnd"/>
      <w:r w:rsidRPr="008725B4">
        <w:rPr>
          <w:rFonts w:ascii="Times New Roman" w:eastAsia="Times New Roman" w:hAnsi="Times New Roman" w:cs="Times New Roman"/>
          <w:sz w:val="24"/>
          <w:szCs w:val="24"/>
          <w:lang w:val="en-GB"/>
        </w:rPr>
        <w:t xml:space="preserve">, S.Y., Watts, E., </w:t>
      </w:r>
      <w:proofErr w:type="spellStart"/>
      <w:r w:rsidRPr="008725B4">
        <w:rPr>
          <w:rFonts w:ascii="Times New Roman" w:eastAsia="Times New Roman" w:hAnsi="Times New Roman" w:cs="Times New Roman"/>
          <w:sz w:val="24"/>
          <w:szCs w:val="24"/>
          <w:lang w:val="en-GB"/>
        </w:rPr>
        <w:t>Constenla</w:t>
      </w:r>
      <w:proofErr w:type="spellEnd"/>
      <w:r w:rsidRPr="008725B4">
        <w:rPr>
          <w:rFonts w:ascii="Times New Roman" w:eastAsia="Times New Roman" w:hAnsi="Times New Roman" w:cs="Times New Roman"/>
          <w:sz w:val="24"/>
          <w:szCs w:val="24"/>
          <w:lang w:val="en-GB"/>
        </w:rPr>
        <w:t xml:space="preserve">, D., </w:t>
      </w:r>
      <w:proofErr w:type="spellStart"/>
      <w:r w:rsidRPr="008725B4">
        <w:rPr>
          <w:rFonts w:ascii="Times New Roman" w:eastAsia="Times New Roman" w:hAnsi="Times New Roman" w:cs="Times New Roman"/>
          <w:sz w:val="24"/>
          <w:szCs w:val="24"/>
          <w:lang w:val="en-GB"/>
        </w:rPr>
        <w:t>Brenzel</w:t>
      </w:r>
      <w:proofErr w:type="spellEnd"/>
      <w:r w:rsidRPr="008725B4">
        <w:rPr>
          <w:rFonts w:ascii="Times New Roman" w:eastAsia="Times New Roman" w:hAnsi="Times New Roman" w:cs="Times New Roman"/>
          <w:sz w:val="24"/>
          <w:szCs w:val="24"/>
          <w:lang w:val="en-GB"/>
        </w:rPr>
        <w:t xml:space="preserve">, L. and </w:t>
      </w:r>
      <w:proofErr w:type="spellStart"/>
      <w:r w:rsidRPr="008725B4">
        <w:rPr>
          <w:rFonts w:ascii="Times New Roman" w:eastAsia="Times New Roman" w:hAnsi="Times New Roman" w:cs="Times New Roman"/>
          <w:sz w:val="24"/>
          <w:szCs w:val="24"/>
          <w:lang w:val="en-GB"/>
        </w:rPr>
        <w:t>Patenaude</w:t>
      </w:r>
      <w:proofErr w:type="spellEnd"/>
      <w:r w:rsidRPr="008725B4">
        <w:rPr>
          <w:rFonts w:ascii="Times New Roman" w:eastAsia="Times New Roman" w:hAnsi="Times New Roman" w:cs="Times New Roman"/>
          <w:sz w:val="24"/>
          <w:szCs w:val="24"/>
          <w:lang w:val="en-GB"/>
        </w:rPr>
        <w:t xml:space="preserve">, B.N., (2020). Return </w:t>
      </w:r>
      <w:proofErr w:type="gramStart"/>
      <w:r w:rsidRPr="008725B4">
        <w:rPr>
          <w:rFonts w:ascii="Times New Roman" w:eastAsia="Times New Roman" w:hAnsi="Times New Roman" w:cs="Times New Roman"/>
          <w:sz w:val="24"/>
          <w:szCs w:val="24"/>
          <w:lang w:val="en-GB"/>
        </w:rPr>
        <w:t>On Investment From Immunization Against 10 Pathogens In</w:t>
      </w:r>
      <w:proofErr w:type="gramEnd"/>
      <w:r w:rsidRPr="008725B4">
        <w:rPr>
          <w:rFonts w:ascii="Times New Roman" w:eastAsia="Times New Roman" w:hAnsi="Times New Roman" w:cs="Times New Roman"/>
          <w:sz w:val="24"/>
          <w:szCs w:val="24"/>
          <w:lang w:val="en-GB"/>
        </w:rPr>
        <w:t xml:space="preserve"> 94 Low-And Middle-Income Countries, 2011–30: Study estimates return on investment from immunization programs against ten pathogens for ninety-four low-and middle-income countries from 2011 to 2030. </w:t>
      </w:r>
      <w:r w:rsidRPr="008725B4">
        <w:rPr>
          <w:rFonts w:ascii="Times New Roman" w:eastAsia="Times New Roman" w:hAnsi="Times New Roman" w:cs="Times New Roman"/>
          <w:i/>
          <w:sz w:val="24"/>
          <w:szCs w:val="24"/>
          <w:lang w:val="en-GB"/>
        </w:rPr>
        <w:t>Health Affairs</w:t>
      </w:r>
      <w:r w:rsidRPr="008725B4">
        <w:rPr>
          <w:rFonts w:ascii="Times New Roman" w:eastAsia="Times New Roman" w:hAnsi="Times New Roman" w:cs="Times New Roman"/>
          <w:sz w:val="24"/>
          <w:szCs w:val="24"/>
          <w:lang w:val="en-GB"/>
        </w:rPr>
        <w:t xml:space="preserve">, </w:t>
      </w:r>
      <w:r w:rsidRPr="008725B4">
        <w:rPr>
          <w:rFonts w:ascii="Times New Roman" w:eastAsia="Times New Roman" w:hAnsi="Times New Roman" w:cs="Times New Roman"/>
          <w:i/>
          <w:sz w:val="24"/>
          <w:szCs w:val="24"/>
          <w:lang w:val="en-GB"/>
        </w:rPr>
        <w:t>39</w:t>
      </w:r>
      <w:r w:rsidRPr="008725B4">
        <w:rPr>
          <w:rFonts w:ascii="Times New Roman" w:eastAsia="Times New Roman" w:hAnsi="Times New Roman" w:cs="Times New Roman"/>
          <w:sz w:val="24"/>
          <w:szCs w:val="24"/>
          <w:lang w:val="en-GB"/>
        </w:rPr>
        <w:t>(8), pp.1343-1353.</w:t>
      </w:r>
    </w:p>
    <w:p w:rsidR="008725B4" w:rsidRPr="008725B4"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8725B4">
        <w:rPr>
          <w:rFonts w:ascii="Times New Roman" w:eastAsia="Times New Roman" w:hAnsi="Times New Roman" w:cs="Times New Roman"/>
          <w:sz w:val="24"/>
          <w:szCs w:val="24"/>
          <w:lang w:val="en-GB"/>
        </w:rPr>
        <w:t>Statista</w:t>
      </w:r>
      <w:proofErr w:type="spellEnd"/>
      <w:r w:rsidRPr="008725B4">
        <w:rPr>
          <w:rFonts w:ascii="Times New Roman" w:eastAsia="Times New Roman" w:hAnsi="Times New Roman" w:cs="Times New Roman"/>
          <w:sz w:val="24"/>
          <w:szCs w:val="24"/>
          <w:lang w:val="en-GB"/>
        </w:rPr>
        <w:t xml:space="preserve">, (2023). </w:t>
      </w:r>
      <w:r w:rsidRPr="008725B4">
        <w:rPr>
          <w:rFonts w:ascii="Times New Roman" w:eastAsia="Times New Roman" w:hAnsi="Times New Roman" w:cs="Times New Roman"/>
          <w:i/>
          <w:sz w:val="24"/>
          <w:szCs w:val="24"/>
          <w:lang w:val="en-GB"/>
        </w:rPr>
        <w:t>Income tax receipts in the UK 2000-2022</w:t>
      </w:r>
      <w:r w:rsidRPr="008725B4">
        <w:rPr>
          <w:rFonts w:ascii="Times New Roman" w:eastAsia="Times New Roman" w:hAnsi="Times New Roman" w:cs="Times New Roman"/>
          <w:b/>
          <w:sz w:val="24"/>
          <w:szCs w:val="24"/>
          <w:lang w:val="en-GB"/>
        </w:rPr>
        <w:t xml:space="preserve">. </w:t>
      </w:r>
      <w:r w:rsidRPr="008725B4">
        <w:rPr>
          <w:rFonts w:ascii="Times New Roman" w:eastAsia="Times New Roman" w:hAnsi="Times New Roman" w:cs="Times New Roman"/>
          <w:sz w:val="24"/>
          <w:szCs w:val="24"/>
          <w:lang w:val="en-GB"/>
        </w:rPr>
        <w:t>Available from: https://www.statista.com/statistics/284306/united-kingdom-hmrc-tax-receipts-income-tax/#:~:text=In%202021%2F22%2C%20income%20tax,into%20four%20income%20tax%20bands. [Accessed 23.04.2023]</w:t>
      </w:r>
    </w:p>
    <w:p w:rsidR="00C13F6A" w:rsidRDefault="008725B4" w:rsidP="008725B4">
      <w:pPr>
        <w:pStyle w:val="Normal1"/>
        <w:spacing w:before="240" w:after="240" w:line="360" w:lineRule="auto"/>
        <w:jc w:val="both"/>
        <w:rPr>
          <w:rFonts w:ascii="Times New Roman" w:eastAsia="Times New Roman" w:hAnsi="Times New Roman" w:cs="Times New Roman"/>
          <w:sz w:val="24"/>
          <w:szCs w:val="24"/>
          <w:lang w:val="en-GB"/>
        </w:rPr>
      </w:pPr>
      <w:proofErr w:type="spellStart"/>
      <w:r w:rsidRPr="008725B4">
        <w:rPr>
          <w:rFonts w:ascii="Times New Roman" w:eastAsia="Times New Roman" w:hAnsi="Times New Roman" w:cs="Times New Roman"/>
          <w:sz w:val="24"/>
          <w:szCs w:val="24"/>
          <w:lang w:val="en-GB"/>
        </w:rPr>
        <w:t>Statista</w:t>
      </w:r>
      <w:proofErr w:type="spellEnd"/>
      <w:r w:rsidRPr="008725B4">
        <w:rPr>
          <w:rFonts w:ascii="Times New Roman" w:eastAsia="Times New Roman" w:hAnsi="Times New Roman" w:cs="Times New Roman"/>
          <w:sz w:val="24"/>
          <w:szCs w:val="24"/>
          <w:lang w:val="en-GB"/>
        </w:rPr>
        <w:t xml:space="preserve">, (2023). </w:t>
      </w:r>
      <w:r w:rsidRPr="008725B4">
        <w:rPr>
          <w:rFonts w:ascii="Times New Roman" w:eastAsia="Times New Roman" w:hAnsi="Times New Roman" w:cs="Times New Roman"/>
          <w:i/>
          <w:sz w:val="24"/>
          <w:szCs w:val="24"/>
          <w:lang w:val="en-GB"/>
        </w:rPr>
        <w:t>Top digital health VC funding rounds worldwide Q1 2021</w:t>
      </w:r>
      <w:r w:rsidRPr="008725B4">
        <w:rPr>
          <w:rFonts w:ascii="Times New Roman" w:eastAsia="Times New Roman" w:hAnsi="Times New Roman" w:cs="Times New Roman"/>
          <w:b/>
          <w:sz w:val="24"/>
          <w:szCs w:val="24"/>
          <w:lang w:val="en-GB"/>
        </w:rPr>
        <w:t>.</w:t>
      </w:r>
      <w:r w:rsidRPr="008725B4">
        <w:rPr>
          <w:rFonts w:ascii="Times New Roman" w:eastAsia="Times New Roman" w:hAnsi="Times New Roman" w:cs="Times New Roman"/>
          <w:sz w:val="24"/>
          <w:szCs w:val="24"/>
          <w:lang w:val="en-GB"/>
        </w:rPr>
        <w:t>Available from: https://www.statista.com/statistics/736202/top-health-it-vc-funding-rounds-worldwide/[Accssed 23.04.2023].</w:t>
      </w:r>
    </w:p>
    <w:p w:rsidR="00C13F6A" w:rsidRDefault="00C13F6A">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p w:rsidR="008725B4" w:rsidRDefault="00C13F6A" w:rsidP="00C13F6A">
      <w:pPr>
        <w:pStyle w:val="Heading1"/>
        <w:rPr>
          <w:lang w:val="en-GB"/>
        </w:rPr>
      </w:pPr>
      <w:bookmarkStart w:id="23" w:name="_Toc133677431"/>
      <w:r>
        <w:rPr>
          <w:lang w:val="en-GB"/>
        </w:rPr>
        <w:lastRenderedPageBreak/>
        <w:t>Appendix</w:t>
      </w:r>
      <w:bookmarkEnd w:id="23"/>
    </w:p>
    <w:p w:rsidR="00C13F6A" w:rsidRDefault="00C13F6A" w:rsidP="00C13F6A">
      <w:pPr>
        <w:pStyle w:val="Heading2"/>
        <w:rPr>
          <w:lang w:val="en-GB"/>
        </w:rPr>
      </w:pPr>
      <w:bookmarkStart w:id="24" w:name="_Toc133677432"/>
      <w:r>
        <w:rPr>
          <w:lang w:val="en-GB"/>
        </w:rPr>
        <w:t>DU Pont Analysis</w:t>
      </w:r>
      <w:bookmarkEnd w:id="24"/>
      <w:r>
        <w:rPr>
          <w:lang w:val="en-GB"/>
        </w:rPr>
        <w:t xml:space="preserve"> </w:t>
      </w:r>
    </w:p>
    <w:tbl>
      <w:tblPr>
        <w:tblW w:w="5919" w:type="dxa"/>
        <w:tblInd w:w="1520" w:type="dxa"/>
        <w:tblLook w:val="04A0" w:firstRow="1" w:lastRow="0" w:firstColumn="1" w:lastColumn="0" w:noHBand="0" w:noVBand="1"/>
      </w:tblPr>
      <w:tblGrid>
        <w:gridCol w:w="2893"/>
        <w:gridCol w:w="1580"/>
        <w:gridCol w:w="1446"/>
      </w:tblGrid>
      <w:tr w:rsidR="00C13F6A" w:rsidRPr="00C13F6A" w:rsidTr="00C13F6A">
        <w:trPr>
          <w:trHeight w:val="319"/>
        </w:trPr>
        <w:tc>
          <w:tcPr>
            <w:tcW w:w="2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 xml:space="preserve">Particulars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2021 (£ M)</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2020 (£ M)</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 xml:space="preserve">Net income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361</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221</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 xml:space="preserve">(/): Sales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12903</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12142</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 xml:space="preserve">Net profit margin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3%</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2%</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 </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 </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 xml:space="preserve">Particulars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2021 (£ M)</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2020 (£ M)</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 xml:space="preserve">Total sales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12903</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12142</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 xml:space="preserve">(/): Total assets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16597</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17010</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Asset turnover ratio</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0.78</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0.71</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 </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 </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 xml:space="preserve">Particulars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2021 (£ M)</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2020 (£ M)</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Assets</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16597</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17010</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 Debt</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9139</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9862</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Equity multiplier</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1.82</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1.72</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 </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 </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 xml:space="preserve">Particulars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2021 (£ M)</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2020 (£ M)</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 xml:space="preserve">Net income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361</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221</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 xml:space="preserve">(/): Shareholder's equity </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7458</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color w:val="000000"/>
                <w:sz w:val="24"/>
                <w:szCs w:val="24"/>
                <w:lang w:val="en-IN" w:eastAsia="en-IN"/>
              </w:rPr>
            </w:pPr>
            <w:r w:rsidRPr="00C13F6A">
              <w:rPr>
                <w:rFonts w:ascii="Times New Roman" w:eastAsia="Times New Roman" w:hAnsi="Times New Roman" w:cs="Times New Roman"/>
                <w:color w:val="000000"/>
                <w:sz w:val="24"/>
                <w:szCs w:val="24"/>
                <w:lang w:val="en-IN" w:eastAsia="en-IN"/>
              </w:rPr>
              <w:t>7148</w:t>
            </w:r>
          </w:p>
        </w:tc>
      </w:tr>
      <w:tr w:rsidR="00C13F6A" w:rsidRPr="00C13F6A" w:rsidTr="00C13F6A">
        <w:trPr>
          <w:trHeight w:val="319"/>
        </w:trPr>
        <w:tc>
          <w:tcPr>
            <w:tcW w:w="2893" w:type="dxa"/>
            <w:tcBorders>
              <w:top w:val="nil"/>
              <w:left w:val="single" w:sz="4" w:space="0" w:color="auto"/>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Return on equity (ROE)</w:t>
            </w:r>
          </w:p>
        </w:tc>
        <w:tc>
          <w:tcPr>
            <w:tcW w:w="1580"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0.05</w:t>
            </w:r>
          </w:p>
        </w:tc>
        <w:tc>
          <w:tcPr>
            <w:tcW w:w="1446" w:type="dxa"/>
            <w:tcBorders>
              <w:top w:val="nil"/>
              <w:left w:val="nil"/>
              <w:bottom w:val="single" w:sz="4" w:space="0" w:color="auto"/>
              <w:right w:val="single" w:sz="4" w:space="0" w:color="auto"/>
            </w:tcBorders>
            <w:shd w:val="clear" w:color="auto" w:fill="auto"/>
            <w:noWrap/>
            <w:vAlign w:val="bottom"/>
            <w:hideMark/>
          </w:tcPr>
          <w:p w:rsidR="00C13F6A" w:rsidRPr="00C13F6A" w:rsidRDefault="00C13F6A" w:rsidP="00C13F6A">
            <w:pPr>
              <w:spacing w:line="240" w:lineRule="auto"/>
              <w:jc w:val="center"/>
              <w:rPr>
                <w:rFonts w:ascii="Times New Roman" w:eastAsia="Times New Roman" w:hAnsi="Times New Roman" w:cs="Times New Roman"/>
                <w:b/>
                <w:bCs/>
                <w:color w:val="000000"/>
                <w:sz w:val="24"/>
                <w:szCs w:val="24"/>
                <w:lang w:val="en-IN" w:eastAsia="en-IN"/>
              </w:rPr>
            </w:pPr>
            <w:r w:rsidRPr="00C13F6A">
              <w:rPr>
                <w:rFonts w:ascii="Times New Roman" w:eastAsia="Times New Roman" w:hAnsi="Times New Roman" w:cs="Times New Roman"/>
                <w:b/>
                <w:bCs/>
                <w:color w:val="000000"/>
                <w:sz w:val="24"/>
                <w:szCs w:val="24"/>
                <w:lang w:val="en-IN" w:eastAsia="en-IN"/>
              </w:rPr>
              <w:t>0.03</w:t>
            </w:r>
          </w:p>
        </w:tc>
      </w:tr>
    </w:tbl>
    <w:p w:rsidR="00C13F6A" w:rsidRPr="00C13F6A" w:rsidRDefault="00C13F6A" w:rsidP="00C13F6A">
      <w:pPr>
        <w:pStyle w:val="Normal1"/>
        <w:rPr>
          <w:lang w:val="en-GB"/>
        </w:rPr>
      </w:pPr>
    </w:p>
    <w:sectPr w:rsidR="00C13F6A" w:rsidRPr="00C13F6A" w:rsidSect="00C445FE">
      <w:footerReference w:type="default" r:id="rId1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874" w:rsidRDefault="00CB7874" w:rsidP="00C445FE">
      <w:pPr>
        <w:spacing w:line="240" w:lineRule="auto"/>
      </w:pPr>
      <w:r>
        <w:separator/>
      </w:r>
    </w:p>
  </w:endnote>
  <w:endnote w:type="continuationSeparator" w:id="0">
    <w:p w:rsidR="00CB7874" w:rsidRDefault="00CB7874" w:rsidP="00C44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809"/>
      <w:docPartObj>
        <w:docPartGallery w:val="Page Numbers (Bottom of Page)"/>
        <w:docPartUnique/>
      </w:docPartObj>
    </w:sdtPr>
    <w:sdtEndPr/>
    <w:sdtContent>
      <w:p w:rsidR="00C445FE" w:rsidRDefault="00EB5752">
        <w:pPr>
          <w:pStyle w:val="Footer"/>
          <w:jc w:val="right"/>
        </w:pPr>
        <w:r w:rsidRPr="00C445FE">
          <w:rPr>
            <w:rFonts w:ascii="Times New Roman" w:hAnsi="Times New Roman" w:cs="Times New Roman"/>
            <w:sz w:val="20"/>
            <w:szCs w:val="20"/>
          </w:rPr>
          <w:fldChar w:fldCharType="begin"/>
        </w:r>
        <w:r w:rsidR="00C445FE" w:rsidRPr="00C445FE">
          <w:rPr>
            <w:rFonts w:ascii="Times New Roman" w:hAnsi="Times New Roman" w:cs="Times New Roman"/>
            <w:sz w:val="20"/>
            <w:szCs w:val="20"/>
          </w:rPr>
          <w:instrText xml:space="preserve"> PAGE   \* MERGEFORMAT </w:instrText>
        </w:r>
        <w:r w:rsidRPr="00C445FE">
          <w:rPr>
            <w:rFonts w:ascii="Times New Roman" w:hAnsi="Times New Roman" w:cs="Times New Roman"/>
            <w:sz w:val="20"/>
            <w:szCs w:val="20"/>
          </w:rPr>
          <w:fldChar w:fldCharType="separate"/>
        </w:r>
        <w:r w:rsidR="000A540C">
          <w:rPr>
            <w:rFonts w:ascii="Times New Roman" w:hAnsi="Times New Roman" w:cs="Times New Roman"/>
            <w:noProof/>
            <w:sz w:val="20"/>
            <w:szCs w:val="20"/>
          </w:rPr>
          <w:t>16</w:t>
        </w:r>
        <w:r w:rsidRPr="00C445FE">
          <w:rPr>
            <w:rFonts w:ascii="Times New Roman" w:hAnsi="Times New Roman" w:cs="Times New Roman"/>
            <w:sz w:val="20"/>
            <w:szCs w:val="20"/>
          </w:rPr>
          <w:fldChar w:fldCharType="end"/>
        </w:r>
      </w:p>
    </w:sdtContent>
  </w:sdt>
  <w:p w:rsidR="00C445FE" w:rsidRDefault="00C44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874" w:rsidRDefault="00CB7874" w:rsidP="00C445FE">
      <w:pPr>
        <w:spacing w:line="240" w:lineRule="auto"/>
      </w:pPr>
      <w:r>
        <w:separator/>
      </w:r>
    </w:p>
  </w:footnote>
  <w:footnote w:type="continuationSeparator" w:id="0">
    <w:p w:rsidR="00CB7874" w:rsidRDefault="00CB7874" w:rsidP="00C445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12769"/>
    <w:multiLevelType w:val="hybridMultilevel"/>
    <w:tmpl w:val="4050C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8A5D79"/>
    <w:multiLevelType w:val="hybridMultilevel"/>
    <w:tmpl w:val="768A3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133D15"/>
    <w:multiLevelType w:val="multilevel"/>
    <w:tmpl w:val="341E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B52349"/>
    <w:multiLevelType w:val="multilevel"/>
    <w:tmpl w:val="A598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D42517"/>
    <w:multiLevelType w:val="multilevel"/>
    <w:tmpl w:val="2E46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5D"/>
    <w:rsid w:val="000A540C"/>
    <w:rsid w:val="000B27FF"/>
    <w:rsid w:val="001626BF"/>
    <w:rsid w:val="003D47ED"/>
    <w:rsid w:val="00437EBC"/>
    <w:rsid w:val="005E44F2"/>
    <w:rsid w:val="0062655D"/>
    <w:rsid w:val="008725B4"/>
    <w:rsid w:val="009473E4"/>
    <w:rsid w:val="00956F9E"/>
    <w:rsid w:val="009B59F3"/>
    <w:rsid w:val="00C015FB"/>
    <w:rsid w:val="00C13F6A"/>
    <w:rsid w:val="00C445FE"/>
    <w:rsid w:val="00CB30B8"/>
    <w:rsid w:val="00CB7874"/>
    <w:rsid w:val="00EB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4C59D1-1C63-4EC3-9AAA-7391705F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6BF"/>
  </w:style>
  <w:style w:type="paragraph" w:styleId="Heading1">
    <w:name w:val="heading 1"/>
    <w:basedOn w:val="Normal1"/>
    <w:next w:val="Normal1"/>
    <w:rsid w:val="00C445FE"/>
    <w:pPr>
      <w:keepNext/>
      <w:keepLines/>
      <w:spacing w:before="400" w:after="120"/>
      <w:jc w:val="both"/>
      <w:outlineLvl w:val="0"/>
    </w:pPr>
    <w:rPr>
      <w:rFonts w:ascii="Times New Roman" w:hAnsi="Times New Roman"/>
      <w:b/>
      <w:color w:val="000000" w:themeColor="text1"/>
      <w:sz w:val="24"/>
      <w:szCs w:val="40"/>
    </w:rPr>
  </w:style>
  <w:style w:type="paragraph" w:styleId="Heading2">
    <w:name w:val="heading 2"/>
    <w:basedOn w:val="Normal1"/>
    <w:next w:val="Normal1"/>
    <w:rsid w:val="00C445FE"/>
    <w:pPr>
      <w:keepNext/>
      <w:keepLines/>
      <w:spacing w:before="360" w:after="120"/>
      <w:jc w:val="both"/>
      <w:outlineLvl w:val="1"/>
    </w:pPr>
    <w:rPr>
      <w:rFonts w:ascii="Times New Roman" w:hAnsi="Times New Roman"/>
      <w:b/>
      <w:color w:val="000000" w:themeColor="text1"/>
      <w:sz w:val="24"/>
      <w:szCs w:val="32"/>
    </w:rPr>
  </w:style>
  <w:style w:type="paragraph" w:styleId="Heading3">
    <w:name w:val="heading 3"/>
    <w:basedOn w:val="Normal1"/>
    <w:next w:val="Normal1"/>
    <w:rsid w:val="008725B4"/>
    <w:pPr>
      <w:keepNext/>
      <w:keepLines/>
      <w:spacing w:before="320" w:after="80"/>
      <w:jc w:val="both"/>
      <w:outlineLvl w:val="2"/>
    </w:pPr>
    <w:rPr>
      <w:rFonts w:ascii="Times New Roman" w:hAnsi="Times New Roman"/>
      <w:b/>
      <w:sz w:val="24"/>
      <w:szCs w:val="28"/>
    </w:rPr>
  </w:style>
  <w:style w:type="paragraph" w:styleId="Heading4">
    <w:name w:val="heading 4"/>
    <w:basedOn w:val="Normal1"/>
    <w:next w:val="Normal1"/>
    <w:rsid w:val="0062655D"/>
    <w:pPr>
      <w:keepNext/>
      <w:keepLines/>
      <w:spacing w:before="280" w:after="80"/>
      <w:outlineLvl w:val="3"/>
    </w:pPr>
    <w:rPr>
      <w:color w:val="666666"/>
      <w:sz w:val="24"/>
      <w:szCs w:val="24"/>
    </w:rPr>
  </w:style>
  <w:style w:type="paragraph" w:styleId="Heading5">
    <w:name w:val="heading 5"/>
    <w:basedOn w:val="Normal1"/>
    <w:next w:val="Normal1"/>
    <w:rsid w:val="0062655D"/>
    <w:pPr>
      <w:keepNext/>
      <w:keepLines/>
      <w:spacing w:before="240" w:after="80"/>
      <w:outlineLvl w:val="4"/>
    </w:pPr>
    <w:rPr>
      <w:color w:val="666666"/>
    </w:rPr>
  </w:style>
  <w:style w:type="paragraph" w:styleId="Heading6">
    <w:name w:val="heading 6"/>
    <w:basedOn w:val="Normal1"/>
    <w:next w:val="Normal1"/>
    <w:rsid w:val="0062655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2655D"/>
  </w:style>
  <w:style w:type="paragraph" w:styleId="Title">
    <w:name w:val="Title"/>
    <w:basedOn w:val="Normal1"/>
    <w:next w:val="Normal1"/>
    <w:rsid w:val="0062655D"/>
    <w:pPr>
      <w:keepNext/>
      <w:keepLines/>
      <w:spacing w:after="60"/>
    </w:pPr>
    <w:rPr>
      <w:sz w:val="52"/>
      <w:szCs w:val="52"/>
    </w:rPr>
  </w:style>
  <w:style w:type="paragraph" w:styleId="Subtitle">
    <w:name w:val="Subtitle"/>
    <w:basedOn w:val="Normal1"/>
    <w:next w:val="Normal1"/>
    <w:rsid w:val="0062655D"/>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62655D"/>
    <w:pPr>
      <w:spacing w:line="240" w:lineRule="auto"/>
    </w:pPr>
    <w:rPr>
      <w:sz w:val="20"/>
      <w:szCs w:val="20"/>
    </w:rPr>
  </w:style>
  <w:style w:type="character" w:customStyle="1" w:styleId="CommentTextChar">
    <w:name w:val="Comment Text Char"/>
    <w:basedOn w:val="DefaultParagraphFont"/>
    <w:link w:val="CommentText"/>
    <w:uiPriority w:val="99"/>
    <w:semiHidden/>
    <w:rsid w:val="0062655D"/>
    <w:rPr>
      <w:sz w:val="20"/>
      <w:szCs w:val="20"/>
    </w:rPr>
  </w:style>
  <w:style w:type="character" w:styleId="CommentReference">
    <w:name w:val="annotation reference"/>
    <w:basedOn w:val="DefaultParagraphFont"/>
    <w:uiPriority w:val="99"/>
    <w:semiHidden/>
    <w:unhideWhenUsed/>
    <w:rsid w:val="0062655D"/>
    <w:rPr>
      <w:sz w:val="16"/>
      <w:szCs w:val="16"/>
    </w:rPr>
  </w:style>
  <w:style w:type="paragraph" w:styleId="BalloonText">
    <w:name w:val="Balloon Text"/>
    <w:basedOn w:val="Normal"/>
    <w:link w:val="BalloonTextChar"/>
    <w:uiPriority w:val="99"/>
    <w:semiHidden/>
    <w:unhideWhenUsed/>
    <w:rsid w:val="003D47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7ED"/>
    <w:rPr>
      <w:rFonts w:ascii="Tahoma" w:hAnsi="Tahoma" w:cs="Tahoma"/>
      <w:sz w:val="16"/>
      <w:szCs w:val="16"/>
    </w:rPr>
  </w:style>
  <w:style w:type="paragraph" w:styleId="TOCHeading">
    <w:name w:val="TOC Heading"/>
    <w:basedOn w:val="Heading1"/>
    <w:next w:val="Normal"/>
    <w:uiPriority w:val="39"/>
    <w:unhideWhenUsed/>
    <w:qFormat/>
    <w:rsid w:val="00C445FE"/>
    <w:pP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C445FE"/>
    <w:pPr>
      <w:spacing w:after="100"/>
    </w:pPr>
  </w:style>
  <w:style w:type="paragraph" w:styleId="TOC2">
    <w:name w:val="toc 2"/>
    <w:basedOn w:val="Normal"/>
    <w:next w:val="Normal"/>
    <w:autoRedefine/>
    <w:uiPriority w:val="39"/>
    <w:unhideWhenUsed/>
    <w:rsid w:val="00C445FE"/>
    <w:pPr>
      <w:spacing w:after="100"/>
      <w:ind w:left="220"/>
    </w:pPr>
  </w:style>
  <w:style w:type="character" w:styleId="Hyperlink">
    <w:name w:val="Hyperlink"/>
    <w:basedOn w:val="DefaultParagraphFont"/>
    <w:uiPriority w:val="99"/>
    <w:unhideWhenUsed/>
    <w:rsid w:val="00C445FE"/>
    <w:rPr>
      <w:color w:val="0000FF" w:themeColor="hyperlink"/>
      <w:u w:val="single"/>
    </w:rPr>
  </w:style>
  <w:style w:type="paragraph" w:styleId="Header">
    <w:name w:val="header"/>
    <w:basedOn w:val="Normal"/>
    <w:link w:val="HeaderChar"/>
    <w:uiPriority w:val="99"/>
    <w:semiHidden/>
    <w:unhideWhenUsed/>
    <w:rsid w:val="00C445F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445FE"/>
  </w:style>
  <w:style w:type="paragraph" w:styleId="Footer">
    <w:name w:val="footer"/>
    <w:basedOn w:val="Normal"/>
    <w:link w:val="FooterChar"/>
    <w:uiPriority w:val="99"/>
    <w:unhideWhenUsed/>
    <w:rsid w:val="00C445FE"/>
    <w:pPr>
      <w:tabs>
        <w:tab w:val="center" w:pos="4680"/>
        <w:tab w:val="right" w:pos="9360"/>
      </w:tabs>
      <w:spacing w:line="240" w:lineRule="auto"/>
    </w:pPr>
  </w:style>
  <w:style w:type="character" w:customStyle="1" w:styleId="FooterChar">
    <w:name w:val="Footer Char"/>
    <w:basedOn w:val="DefaultParagraphFont"/>
    <w:link w:val="Footer"/>
    <w:uiPriority w:val="99"/>
    <w:rsid w:val="00C445FE"/>
  </w:style>
  <w:style w:type="paragraph" w:styleId="NormalWeb">
    <w:name w:val="Normal (Web)"/>
    <w:basedOn w:val="Normal"/>
    <w:uiPriority w:val="99"/>
    <w:semiHidden/>
    <w:unhideWhenUsed/>
    <w:rsid w:val="008725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725B4"/>
    <w:pPr>
      <w:ind w:left="720"/>
      <w:contextualSpacing/>
    </w:pPr>
  </w:style>
  <w:style w:type="paragraph" w:styleId="TOC3">
    <w:name w:val="toc 3"/>
    <w:basedOn w:val="Normal"/>
    <w:next w:val="Normal"/>
    <w:autoRedefine/>
    <w:uiPriority w:val="39"/>
    <w:unhideWhenUsed/>
    <w:rsid w:val="000A540C"/>
    <w:pPr>
      <w:spacing w:after="100"/>
      <w:ind w:left="440"/>
    </w:pPr>
  </w:style>
  <w:style w:type="table" w:styleId="TableGrid">
    <w:name w:val="Table Grid"/>
    <w:basedOn w:val="TableNormal"/>
    <w:uiPriority w:val="59"/>
    <w:rsid w:val="000A540C"/>
    <w:pPr>
      <w:spacing w:line="240" w:lineRule="auto"/>
    </w:pPr>
    <w:rPr>
      <w:rFonts w:asciiTheme="minorHAnsi" w:eastAsiaTheme="minorHAnsi" w:hAnsiTheme="minorHAnsi" w:cstheme="minorBid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060962">
      <w:bodyDiv w:val="1"/>
      <w:marLeft w:val="0"/>
      <w:marRight w:val="0"/>
      <w:marTop w:val="0"/>
      <w:marBottom w:val="0"/>
      <w:divBdr>
        <w:top w:val="none" w:sz="0" w:space="0" w:color="auto"/>
        <w:left w:val="none" w:sz="0" w:space="0" w:color="auto"/>
        <w:bottom w:val="none" w:sz="0" w:space="0" w:color="auto"/>
        <w:right w:val="none" w:sz="0" w:space="0" w:color="auto"/>
      </w:divBdr>
    </w:div>
    <w:div w:id="669068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961F4-AC32-40E5-BD24-0827DC8B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4204</Words>
  <Characters>23965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2023-04-29T10:50:00Z</dcterms:created>
  <dcterms:modified xsi:type="dcterms:W3CDTF">2023-04-29T10:50:00Z</dcterms:modified>
</cp:coreProperties>
</file>