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p>
    <w:p w:rsidR="002460F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CODE</w:t>
      </w:r>
    </w:p>
    <w:p w:rsidR="002460F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AND TITLE: BUSINESS FINANCE AND</w:t>
      </w:r>
    </w:p>
    <w:p w:rsidR="002460F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ECONOMICS</w:t>
      </w:r>
    </w:p>
    <w:p w:rsidR="002460F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p>
    <w:p w:rsidR="002460F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No. and type: Written assignment</w:t>
      </w:r>
      <w:r>
        <w:br w:type="page"/>
      </w:r>
    </w:p>
    <w:sdt>
      <w:sdtPr>
        <w:id w:val="1157580391"/>
        <w:docPartObj>
          <w:docPartGallery w:val="Table of Contents"/>
          <w:docPartUnique/>
        </w:docPartObj>
      </w:sdtPr>
      <w:sdtEndPr>
        <w:rPr>
          <w:rFonts w:ascii="Arial" w:eastAsia="Arial" w:hAnsi="Arial" w:cs="Arial"/>
          <w:b/>
          <w:bCs/>
          <w:noProof/>
          <w:color w:val="auto"/>
          <w:sz w:val="22"/>
          <w:szCs w:val="22"/>
          <w:lang w:val="en-IN" w:eastAsia="en-IN"/>
        </w:rPr>
      </w:sdtEndPr>
      <w:sdtContent>
        <w:p w:rsidR="001C2E5D" w:rsidRPr="001C2E5D" w:rsidP="001C2E5D">
          <w:pPr>
            <w:pStyle w:val="TOCHeading"/>
            <w:spacing w:line="360" w:lineRule="auto"/>
            <w:jc w:val="center"/>
            <w:rPr>
              <w:rFonts w:ascii="Times New Roman" w:hAnsi="Times New Roman" w:cs="Times New Roman"/>
              <w:color w:val="000000" w:themeColor="text1"/>
              <w:sz w:val="28"/>
              <w:szCs w:val="28"/>
            </w:rPr>
          </w:pPr>
          <w:r w:rsidRPr="001C2E5D">
            <w:rPr>
              <w:rFonts w:ascii="Times New Roman" w:hAnsi="Times New Roman" w:cs="Times New Roman"/>
              <w:color w:val="000000" w:themeColor="text1"/>
              <w:sz w:val="28"/>
              <w:szCs w:val="28"/>
            </w:rPr>
            <w:t>Table of Contents</w:t>
          </w:r>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r w:rsidRPr="001C2E5D">
            <w:rPr>
              <w:rFonts w:ascii="Times New Roman" w:hAnsi="Times New Roman" w:cs="Times New Roman"/>
              <w:sz w:val="24"/>
              <w:szCs w:val="24"/>
            </w:rPr>
            <w:fldChar w:fldCharType="begin"/>
          </w:r>
          <w:r w:rsidRPr="001C2E5D">
            <w:rPr>
              <w:rFonts w:ascii="Times New Roman" w:hAnsi="Times New Roman" w:cs="Times New Roman"/>
              <w:sz w:val="24"/>
              <w:szCs w:val="24"/>
            </w:rPr>
            <w:instrText xml:space="preserve"> TOC \o "1-3" \h \z \u </w:instrText>
          </w:r>
          <w:r w:rsidRPr="001C2E5D">
            <w:rPr>
              <w:rFonts w:ascii="Times New Roman" w:hAnsi="Times New Roman" w:cs="Times New Roman"/>
              <w:sz w:val="24"/>
              <w:szCs w:val="24"/>
            </w:rPr>
            <w:fldChar w:fldCharType="separate"/>
          </w:r>
          <w:hyperlink w:anchor="_Toc133338494" w:history="1">
            <w:r w:rsidRPr="001C2E5D">
              <w:rPr>
                <w:rStyle w:val="Hyperlink"/>
                <w:rFonts w:ascii="Times New Roman" w:hAnsi="Times New Roman" w:cs="Times New Roman"/>
                <w:noProof/>
                <w:sz w:val="24"/>
                <w:szCs w:val="24"/>
              </w:rPr>
              <w:t>1.0 Introduction</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_Toc133338494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3</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495" w:history="1">
            <w:r w:rsidRPr="001C2E5D">
              <w:rPr>
                <w:rStyle w:val="Hyperlink"/>
                <w:rFonts w:ascii="Times New Roman" w:hAnsi="Times New Roman" w:cs="Times New Roman"/>
                <w:noProof/>
                <w:sz w:val="24"/>
                <w:szCs w:val="24"/>
              </w:rPr>
              <w:t>2.0 Defining the two branches of economics and discuss how they influence business performance</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_Toc133338495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3</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496" w:history="1">
            <w:r w:rsidRPr="001C2E5D">
              <w:rPr>
                <w:rStyle w:val="Hyperlink"/>
                <w:rFonts w:ascii="Times New Roman" w:hAnsi="Times New Roman" w:cs="Times New Roman"/>
                <w:noProof/>
                <w:sz w:val="24"/>
                <w:szCs w:val="24"/>
              </w:rPr>
              <w:t>3.0 Explain the accounting conventions and explain how important financial statements are in preparation for three major</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_Toc133338496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5</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497" w:history="1">
            <w:r w:rsidRPr="001C2E5D">
              <w:rPr>
                <w:rStyle w:val="Hyperlink"/>
                <w:rFonts w:ascii="Times New Roman" w:hAnsi="Times New Roman" w:cs="Times New Roman"/>
                <w:noProof/>
                <w:sz w:val="24"/>
                <w:szCs w:val="24"/>
              </w:rPr>
              <w:t>4.0 Calculation and interpretation of ratios from XYZ plc for the years 2019 and 2020 respectively</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_Toc133338497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6</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498" w:history="1">
            <w:r w:rsidRPr="001C2E5D">
              <w:rPr>
                <w:rStyle w:val="Hyperlink"/>
                <w:rFonts w:ascii="Times New Roman" w:hAnsi="Times New Roman" w:cs="Times New Roman"/>
                <w:noProof/>
                <w:sz w:val="24"/>
                <w:szCs w:val="24"/>
              </w:rPr>
              <w:t>4.1 Operating profit margin</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_Toc133338498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6</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499" w:history="1">
            <w:r w:rsidRPr="001C2E5D">
              <w:rPr>
                <w:rStyle w:val="Hyperlink"/>
                <w:rFonts w:ascii="Times New Roman" w:hAnsi="Times New Roman" w:cs="Times New Roman"/>
                <w:noProof/>
                <w:sz w:val="24"/>
                <w:szCs w:val="24"/>
              </w:rPr>
              <w:t>4.2 Inventory days</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_Toc133338499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7</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500" w:history="1">
            <w:r w:rsidRPr="001C2E5D">
              <w:rPr>
                <w:rStyle w:val="Hyperlink"/>
                <w:rFonts w:ascii="Times New Roman" w:hAnsi="Times New Roman" w:cs="Times New Roman"/>
                <w:noProof/>
                <w:sz w:val="24"/>
                <w:szCs w:val="24"/>
              </w:rPr>
              <w:t>4.3 Payable period</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_Toc133338500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7</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501" w:history="1">
            <w:r w:rsidRPr="001C2E5D">
              <w:rPr>
                <w:rStyle w:val="Hyperlink"/>
                <w:rFonts w:ascii="Times New Roman" w:hAnsi="Times New Roman" w:cs="Times New Roman"/>
                <w:noProof/>
                <w:sz w:val="24"/>
                <w:szCs w:val="24"/>
              </w:rPr>
              <w:t>4.4 Receivable period</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_Toc133338501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8</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502" w:history="1">
            <w:r w:rsidRPr="001C2E5D">
              <w:rPr>
                <w:rStyle w:val="Hyperlink"/>
                <w:rFonts w:ascii="Times New Roman" w:hAnsi="Times New Roman" w:cs="Times New Roman"/>
                <w:noProof/>
                <w:sz w:val="24"/>
                <w:szCs w:val="24"/>
              </w:rPr>
              <w:t>4.5 Acid-Test ratio</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_Toc133338502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8</w:t>
            </w:r>
            <w:r w:rsidRPr="001C2E5D">
              <w:rPr>
                <w:rFonts w:ascii="Times New Roman" w:hAnsi="Times New Roman" w:cs="Times New Roman"/>
                <w:noProof/>
                <w:webHidden/>
                <w:sz w:val="24"/>
                <w:szCs w:val="24"/>
              </w:rPr>
              <w:fldChar w:fldCharType="end"/>
            </w:r>
          </w:hyperlink>
        </w:p>
        <w:p w:rsidR="001C2E5D" w:rsidRPr="001C2E5D" w:rsidP="001C2E5D">
          <w:pPr>
            <w:pStyle w:val="TOC2"/>
            <w:tabs>
              <w:tab w:val="right" w:leader="dot" w:pos="9019"/>
            </w:tabs>
            <w:spacing w:line="360" w:lineRule="auto"/>
            <w:jc w:val="both"/>
            <w:rPr>
              <w:rFonts w:ascii="Times New Roman" w:hAnsi="Times New Roman" w:eastAsiaTheme="minorEastAsia" w:cs="Times New Roman"/>
              <w:noProof/>
              <w:sz w:val="24"/>
              <w:szCs w:val="24"/>
            </w:rPr>
          </w:pPr>
          <w:hyperlink w:anchor="_Toc133338503" w:history="1">
            <w:r w:rsidRPr="001C2E5D">
              <w:rPr>
                <w:rStyle w:val="Hyperlink"/>
                <w:rFonts w:ascii="Times New Roman" w:hAnsi="Times New Roman" w:cs="Times New Roman"/>
                <w:noProof/>
                <w:sz w:val="24"/>
                <w:szCs w:val="24"/>
              </w:rPr>
              <w:t>4.6 Earning per share</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_Toc133338503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9</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504" w:history="1">
            <w:r w:rsidRPr="001C2E5D">
              <w:rPr>
                <w:rStyle w:val="Hyperlink"/>
                <w:rFonts w:ascii="Times New Roman" w:hAnsi="Times New Roman" w:cs="Times New Roman"/>
                <w:noProof/>
                <w:sz w:val="24"/>
                <w:szCs w:val="24"/>
              </w:rPr>
              <w:t>5.0 Definition of management accounting and discuss how it is important for planning, control, and decision making for the organisation</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_Toc133338504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9</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505" w:history="1">
            <w:r w:rsidRPr="001C2E5D">
              <w:rPr>
                <w:rStyle w:val="Hyperlink"/>
                <w:rFonts w:ascii="Times New Roman" w:hAnsi="Times New Roman" w:cs="Times New Roman"/>
                <w:noProof/>
                <w:sz w:val="24"/>
                <w:szCs w:val="24"/>
              </w:rPr>
              <w:t>6.0 Conclusion</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_Toc133338505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10</w:t>
            </w:r>
            <w:r w:rsidRPr="001C2E5D">
              <w:rPr>
                <w:rFonts w:ascii="Times New Roman" w:hAnsi="Times New Roman" w:cs="Times New Roman"/>
                <w:noProof/>
                <w:webHidden/>
                <w:sz w:val="24"/>
                <w:szCs w:val="24"/>
              </w:rPr>
              <w:fldChar w:fldCharType="end"/>
            </w:r>
          </w:hyperlink>
        </w:p>
        <w:p w:rsidR="001C2E5D" w:rsidRPr="001C2E5D" w:rsidP="001C2E5D">
          <w:pPr>
            <w:pStyle w:val="TOC1"/>
            <w:tabs>
              <w:tab w:val="right" w:leader="dot" w:pos="9019"/>
            </w:tabs>
            <w:spacing w:line="360" w:lineRule="auto"/>
            <w:jc w:val="both"/>
            <w:rPr>
              <w:rFonts w:ascii="Times New Roman" w:hAnsi="Times New Roman" w:eastAsiaTheme="minorEastAsia" w:cs="Times New Roman"/>
              <w:noProof/>
              <w:sz w:val="24"/>
              <w:szCs w:val="24"/>
            </w:rPr>
          </w:pPr>
          <w:hyperlink w:anchor="_Toc133338506" w:history="1">
            <w:r w:rsidRPr="001C2E5D">
              <w:rPr>
                <w:rStyle w:val="Hyperlink"/>
                <w:rFonts w:ascii="Times New Roman" w:hAnsi="Times New Roman" w:cs="Times New Roman"/>
                <w:noProof/>
                <w:sz w:val="24"/>
                <w:szCs w:val="24"/>
              </w:rPr>
              <w:t>References</w:t>
            </w:r>
            <w:r w:rsidRPr="001C2E5D">
              <w:rPr>
                <w:rFonts w:ascii="Times New Roman" w:hAnsi="Times New Roman" w:cs="Times New Roman"/>
                <w:noProof/>
                <w:webHidden/>
                <w:sz w:val="24"/>
                <w:szCs w:val="24"/>
              </w:rPr>
              <w:tab/>
            </w:r>
            <w:r w:rsidRPr="001C2E5D">
              <w:rPr>
                <w:rFonts w:ascii="Times New Roman" w:hAnsi="Times New Roman" w:cs="Times New Roman"/>
                <w:noProof/>
                <w:webHidden/>
                <w:sz w:val="24"/>
                <w:szCs w:val="24"/>
              </w:rPr>
              <w:fldChar w:fldCharType="begin"/>
            </w:r>
            <w:r w:rsidRPr="001C2E5D">
              <w:rPr>
                <w:rFonts w:ascii="Times New Roman" w:hAnsi="Times New Roman" w:cs="Times New Roman"/>
                <w:noProof/>
                <w:webHidden/>
                <w:sz w:val="24"/>
                <w:szCs w:val="24"/>
              </w:rPr>
              <w:instrText xml:space="preserve"> PAGEREF _Toc133338506 \h </w:instrText>
            </w:r>
            <w:r w:rsidRPr="001C2E5D">
              <w:rPr>
                <w:rFonts w:ascii="Times New Roman" w:hAnsi="Times New Roman" w:cs="Times New Roman"/>
                <w:noProof/>
                <w:webHidden/>
                <w:sz w:val="24"/>
                <w:szCs w:val="24"/>
              </w:rPr>
              <w:fldChar w:fldCharType="separate"/>
            </w:r>
            <w:r w:rsidRPr="001C2E5D">
              <w:rPr>
                <w:rFonts w:ascii="Times New Roman" w:hAnsi="Times New Roman" w:cs="Times New Roman"/>
                <w:noProof/>
                <w:webHidden/>
                <w:sz w:val="24"/>
                <w:szCs w:val="24"/>
              </w:rPr>
              <w:t>11</w:t>
            </w:r>
            <w:r w:rsidRPr="001C2E5D">
              <w:rPr>
                <w:rFonts w:ascii="Times New Roman" w:hAnsi="Times New Roman" w:cs="Times New Roman"/>
                <w:noProof/>
                <w:webHidden/>
                <w:sz w:val="24"/>
                <w:szCs w:val="24"/>
              </w:rPr>
              <w:fldChar w:fldCharType="end"/>
            </w:r>
          </w:hyperlink>
        </w:p>
        <w:p w:rsidR="001C2E5D" w:rsidP="001C2E5D">
          <w:pPr>
            <w:spacing w:line="360" w:lineRule="auto"/>
            <w:jc w:val="both"/>
          </w:pPr>
          <w:r w:rsidRPr="001C2E5D">
            <w:rPr>
              <w:rFonts w:ascii="Times New Roman" w:hAnsi="Times New Roman" w:cs="Times New Roman"/>
              <w:b/>
              <w:bCs/>
              <w:noProof/>
              <w:sz w:val="24"/>
              <w:szCs w:val="24"/>
            </w:rPr>
            <w:fldChar w:fldCharType="end"/>
          </w:r>
        </w:p>
      </w:sdtContent>
    </w:sdt>
    <w:p w:rsidR="008B28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2460FA" w:rsidP="001C2E5D">
      <w:pPr>
        <w:pStyle w:val="Heading1"/>
      </w:pPr>
      <w:bookmarkStart w:id="0" w:name="_Toc133338494"/>
      <w:r>
        <w:t xml:space="preserve">1.0 </w:t>
      </w:r>
      <w:r w:rsidRPr="001C2E5D">
        <w:t>Introduction</w:t>
      </w:r>
      <w:bookmarkEnd w:id="0"/>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financial reporting is the process of documenting and communicating different financial-based activities including performances that occur within a specific period. Based on this idea, the assessment will discuss two essential branc</w:t>
      </w:r>
      <w:r>
        <w:rPr>
          <w:rFonts w:ascii="Times New Roman" w:eastAsia="Times New Roman" w:hAnsi="Times New Roman" w:cs="Times New Roman"/>
          <w:sz w:val="24"/>
          <w:szCs w:val="24"/>
        </w:rPr>
        <w:t xml:space="preserve">hes of economics and how they influence business performance. Aside from this consideration, accounting conventions will be explained and their principles used for the preparation of financial statements. Then, the calculation and interpretation of different ratios </w:t>
      </w:r>
      <w:r>
        <w:rPr>
          <w:rFonts w:ascii="Times New Roman" w:eastAsia="Times New Roman" w:hAnsi="Times New Roman" w:cs="Times New Roman"/>
          <w:sz w:val="24"/>
          <w:szCs w:val="24"/>
        </w:rPr>
        <w:t xml:space="preserve">from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for the years 2019 and 2020 will be evaluated in a later section. The assessment will also shed light on the administration of management accounting, and how its implementation for planning, controlling, </w:t>
      </w:r>
      <w:bookmarkStart w:id="1" w:name="_GoBack"/>
      <w:r>
        <w:rPr>
          <w:rFonts w:ascii="Times New Roman" w:eastAsia="Times New Roman" w:hAnsi="Times New Roman" w:cs="Times New Roman"/>
          <w:sz w:val="24"/>
          <w:szCs w:val="24"/>
        </w:rPr>
        <w:t xml:space="preserve">and </w:t>
      </w:r>
      <w:bookmarkEnd w:id="1"/>
      <w:r>
        <w:rPr>
          <w:rFonts w:ascii="Times New Roman" w:eastAsia="Times New Roman" w:hAnsi="Times New Roman" w:cs="Times New Roman"/>
          <w:sz w:val="24"/>
          <w:szCs w:val="24"/>
        </w:rPr>
        <w:t>decision-making becomes essent</w:t>
      </w:r>
      <w:r>
        <w:rPr>
          <w:rFonts w:ascii="Times New Roman" w:eastAsia="Times New Roman" w:hAnsi="Times New Roman" w:cs="Times New Roman"/>
          <w:sz w:val="24"/>
          <w:szCs w:val="24"/>
        </w:rPr>
        <w:t xml:space="preserve">ial. Each assertion within the assessment will be backed up with scholarly claims. </w:t>
      </w:r>
    </w:p>
    <w:p w:rsidR="002460FA" w:rsidP="001C2E5D">
      <w:pPr>
        <w:pStyle w:val="Heading1"/>
      </w:pPr>
      <w:bookmarkStart w:id="2" w:name="_Toc133338495"/>
      <w:r>
        <w:t>2.0 Defining the two branches of economics and discuss how they influence business performance</w:t>
      </w:r>
      <w:bookmarkEnd w:id="2"/>
      <w:r>
        <w:t xml:space="preserve">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microeconomic concept usually involves a study of decisions related to </w:t>
      </w:r>
      <w:r>
        <w:rPr>
          <w:rFonts w:ascii="Times New Roman" w:eastAsia="Times New Roman" w:hAnsi="Times New Roman" w:cs="Times New Roman"/>
          <w:sz w:val="24"/>
          <w:szCs w:val="24"/>
        </w:rPr>
        <w:t>individuals situated internally within the organisation. Their concerns for allocating adequate resources for simplifying the production process, enabling better means of consumption, and thereby ensuring smoother exchange (</w:t>
      </w:r>
      <w:r>
        <w:rPr>
          <w:rFonts w:ascii="Times New Roman" w:eastAsia="Times New Roman" w:hAnsi="Times New Roman" w:cs="Times New Roman"/>
          <w:sz w:val="24"/>
          <w:szCs w:val="24"/>
        </w:rPr>
        <w:t>Marek</w:t>
      </w:r>
      <w:r>
        <w:rPr>
          <w:rFonts w:ascii="Times New Roman" w:eastAsia="Times New Roman" w:hAnsi="Times New Roman" w:cs="Times New Roman"/>
          <w:sz w:val="24"/>
          <w:szCs w:val="24"/>
        </w:rPr>
        <w:t>, 2008).  As a result, facto</w:t>
      </w:r>
      <w:r>
        <w:rPr>
          <w:rFonts w:ascii="Times New Roman" w:eastAsia="Times New Roman" w:hAnsi="Times New Roman" w:cs="Times New Roman"/>
          <w:sz w:val="24"/>
          <w:szCs w:val="24"/>
        </w:rPr>
        <w:t xml:space="preserve">rs like individual supply and demand, along with government-imposed taxes and regulatory schemes, apart from the gross domestic product which is dependent on inflationary influence and interest rates allow a company to understand its stance on controlling </w:t>
      </w:r>
      <w:r>
        <w:rPr>
          <w:rFonts w:ascii="Times New Roman" w:eastAsia="Times New Roman" w:hAnsi="Times New Roman" w:cs="Times New Roman"/>
          <w:sz w:val="24"/>
          <w:szCs w:val="24"/>
        </w:rPr>
        <w:t>its capital. In short, understanding the pricing of specific goods and services is the primary lookout of microeconomic branches. As it tries to dwell in the market of a country and compare human decisions and the offers available in the market to back</w:t>
      </w:r>
      <w:r>
        <w:rPr>
          <w:rFonts w:ascii="Times New Roman" w:eastAsia="Times New Roman" w:hAnsi="Times New Roman" w:cs="Times New Roman"/>
          <w:sz w:val="24"/>
          <w:szCs w:val="24"/>
        </w:rPr>
        <w:t xml:space="preserve"> their decisions.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market-related anomalies encountered are also accounted for under microeconomic evaluations. As it looks to determine how productivity might grow or come down to influence individual companies and customers.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Contrastingly, m</w:t>
      </w:r>
      <w:r>
        <w:rPr>
          <w:rFonts w:ascii="Times New Roman" w:eastAsia="Times New Roman" w:hAnsi="Times New Roman" w:cs="Times New Roman"/>
          <w:sz w:val="24"/>
          <w:szCs w:val="24"/>
        </w:rPr>
        <w:t>acroeconomic analysis is the study of overall behaviour that presents itself within a country. Including how the country's policies tend to impact the economy as a whole, and by economy the different markets involved rather than a single market. Microeconomi</w:t>
      </w:r>
      <w:r>
        <w:rPr>
          <w:rFonts w:ascii="Times New Roman" w:eastAsia="Times New Roman" w:hAnsi="Times New Roman" w:cs="Times New Roman"/>
          <w:sz w:val="24"/>
          <w:szCs w:val="24"/>
        </w:rPr>
        <w:t>cs deals with a bottom-down approach that looks into individual factors like-interest rates for loans, inflation rates, GNP or gross national product, and others (</w:t>
      </w:r>
      <w:r>
        <w:rPr>
          <w:rFonts w:ascii="Times New Roman" w:eastAsia="Times New Roman" w:hAnsi="Times New Roman" w:cs="Times New Roman"/>
          <w:sz w:val="24"/>
          <w:szCs w:val="24"/>
        </w:rPr>
        <w:t>Halíř</w:t>
      </w:r>
      <w:r>
        <w:rPr>
          <w:rFonts w:ascii="Times New Roman" w:eastAsia="Times New Roman" w:hAnsi="Times New Roman" w:cs="Times New Roman"/>
          <w:sz w:val="24"/>
          <w:szCs w:val="24"/>
        </w:rPr>
        <w:t xml:space="preserve">, 2015). The </w:t>
      </w:r>
      <w:r>
        <w:rPr>
          <w:rFonts w:ascii="Times New Roman" w:eastAsia="Times New Roman" w:hAnsi="Times New Roman" w:cs="Times New Roman"/>
          <w:sz w:val="24"/>
          <w:szCs w:val="24"/>
        </w:rPr>
        <w:t>macroeconomic factors deal with a top-down approach, to factors like monetary</w:t>
      </w:r>
      <w:r>
        <w:rPr>
          <w:rFonts w:ascii="Times New Roman" w:eastAsia="Times New Roman" w:hAnsi="Times New Roman" w:cs="Times New Roman"/>
          <w:sz w:val="24"/>
          <w:szCs w:val="24"/>
        </w:rPr>
        <w:t xml:space="preserve"> policies, fiscal policies, unemployment rates prevailing within the market, and how overall gross domestic product becomes affected.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Microeconomics can favourably impact business performance or indicate the faults they might be experiencing</w:t>
      </w:r>
      <w:r>
        <w:rPr>
          <w:rFonts w:ascii="Times New Roman" w:eastAsia="Times New Roman" w:hAnsi="Times New Roman" w:cs="Times New Roman"/>
          <w:sz w:val="24"/>
          <w:szCs w:val="24"/>
        </w:rPr>
        <w:t xml:space="preserve"> in their current functions. Some of these can be discussed below.</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businesses depend on labour, and the </w:t>
      </w:r>
      <w:r w:rsidR="008B28B7">
        <w:rPr>
          <w:rFonts w:ascii="Times New Roman" w:eastAsia="Times New Roman" w:hAnsi="Times New Roman" w:cs="Times New Roman"/>
          <w:sz w:val="24"/>
          <w:szCs w:val="24"/>
        </w:rPr>
        <w:t>latter’s</w:t>
      </w:r>
      <w:r>
        <w:rPr>
          <w:rFonts w:ascii="Times New Roman" w:eastAsia="Times New Roman" w:hAnsi="Times New Roman" w:cs="Times New Roman"/>
          <w:sz w:val="24"/>
          <w:szCs w:val="24"/>
        </w:rPr>
        <w:t xml:space="preserve"> demand is heavily influenced by wages. In that case, as a key rule if wages increase within the economy there is bound to be less deman</w:t>
      </w:r>
      <w:r>
        <w:rPr>
          <w:rFonts w:ascii="Times New Roman" w:eastAsia="Times New Roman" w:hAnsi="Times New Roman" w:cs="Times New Roman"/>
          <w:sz w:val="24"/>
          <w:szCs w:val="24"/>
        </w:rPr>
        <w:t>d for more labour. For instance, a machinery part might be produced for $10 per hour, but if wages grow to $15 businesses will bring about a lesser number of labour hours demanded (Ons.gov.uk, 2018). This can create dissatisfaction among labours who are tryin</w:t>
      </w:r>
      <w:r>
        <w:rPr>
          <w:rFonts w:ascii="Times New Roman" w:eastAsia="Times New Roman" w:hAnsi="Times New Roman" w:cs="Times New Roman"/>
          <w:sz w:val="24"/>
          <w:szCs w:val="24"/>
        </w:rPr>
        <w:t>g to enter the firm.</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productivity is also influenced by microeconomics especially in the form of output represented by a good or service, depending upon time spent can bring about over a period through inputs. It involves a relationship between i</w:t>
      </w:r>
      <w:r>
        <w:rPr>
          <w:rFonts w:ascii="Times New Roman" w:eastAsia="Times New Roman" w:hAnsi="Times New Roman" w:cs="Times New Roman"/>
          <w:sz w:val="24"/>
          <w:szCs w:val="24"/>
        </w:rPr>
        <w:t>nputs and outputs, given the available technology on hand (</w:t>
      </w:r>
      <w:r>
        <w:rPr>
          <w:rFonts w:ascii="Times New Roman" w:eastAsia="Times New Roman" w:hAnsi="Times New Roman" w:cs="Times New Roman"/>
          <w:sz w:val="24"/>
          <w:szCs w:val="24"/>
        </w:rPr>
        <w:t>Halíř</w:t>
      </w:r>
      <w:r>
        <w:rPr>
          <w:rFonts w:ascii="Times New Roman" w:eastAsia="Times New Roman" w:hAnsi="Times New Roman" w:cs="Times New Roman"/>
          <w:sz w:val="24"/>
          <w:szCs w:val="24"/>
        </w:rPr>
        <w:t>, 2015). If productivity for a product or service grows, then naturally other products and services will have to lose their productivity. For instance, 5000 toothbrushes produced in half an hou</w:t>
      </w:r>
      <w:r>
        <w:rPr>
          <w:rFonts w:ascii="Times New Roman" w:eastAsia="Times New Roman" w:hAnsi="Times New Roman" w:cs="Times New Roman"/>
          <w:sz w:val="24"/>
          <w:szCs w:val="24"/>
        </w:rPr>
        <w:t>r, might be increased to 1 hour. If the demand suddenly changes for the toothbrushes.</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levels of competition affecting an organisation might also influence the level of </w:t>
      </w:r>
      <w:r w:rsidR="008B28B7">
        <w:rPr>
          <w:rFonts w:ascii="Times New Roman" w:eastAsia="Times New Roman" w:hAnsi="Times New Roman" w:cs="Times New Roman"/>
          <w:sz w:val="24"/>
          <w:szCs w:val="24"/>
        </w:rPr>
        <w:t>income that</w:t>
      </w:r>
      <w:r>
        <w:rPr>
          <w:rFonts w:ascii="Times New Roman" w:eastAsia="Times New Roman" w:hAnsi="Times New Roman" w:cs="Times New Roman"/>
          <w:sz w:val="24"/>
          <w:szCs w:val="24"/>
        </w:rPr>
        <w:t xml:space="preserve"> customers are willing to allocate through spending on specific goods, services, and others (Kimmel et al., 2009, p 435). For instance, Nestle has less</w:t>
      </w:r>
      <w:r>
        <w:rPr>
          <w:rFonts w:ascii="Times New Roman" w:eastAsia="Times New Roman" w:hAnsi="Times New Roman" w:cs="Times New Roman"/>
          <w:sz w:val="24"/>
          <w:szCs w:val="24"/>
        </w:rPr>
        <w:t xml:space="preserve">er demand for coffee, due to the number of competitors existing within the market. They are likely to switch to a substitute </w:t>
      </w:r>
      <w:r w:rsidR="008B28B7">
        <w:rPr>
          <w:rFonts w:ascii="Times New Roman" w:eastAsia="Times New Roman" w:hAnsi="Times New Roman" w:cs="Times New Roman"/>
          <w:sz w:val="24"/>
          <w:szCs w:val="24"/>
        </w:rPr>
        <w:t>product that</w:t>
      </w:r>
      <w:r>
        <w:rPr>
          <w:rFonts w:ascii="Times New Roman" w:eastAsia="Times New Roman" w:hAnsi="Times New Roman" w:cs="Times New Roman"/>
          <w:sz w:val="24"/>
          <w:szCs w:val="24"/>
        </w:rPr>
        <w:t xml:space="preserve"> can be flavoured tea or chocolate.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macroeconomic factors might impact the country in which the business p</w:t>
      </w:r>
      <w:r>
        <w:rPr>
          <w:rFonts w:ascii="Times New Roman" w:eastAsia="Times New Roman" w:hAnsi="Times New Roman" w:cs="Times New Roman"/>
          <w:sz w:val="24"/>
          <w:szCs w:val="24"/>
        </w:rPr>
        <w:t>erformance is affected either in a favourable manner, or unfavourable manner. Some of the explanations can be mentioned below.</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national income levels normally refer to the total monetary value involving all forms of goods and services, as produc</w:t>
      </w:r>
      <w:r>
        <w:rPr>
          <w:rFonts w:ascii="Times New Roman" w:eastAsia="Times New Roman" w:hAnsi="Times New Roman" w:cs="Times New Roman"/>
          <w:sz w:val="24"/>
          <w:szCs w:val="24"/>
        </w:rPr>
        <w:t>ed by a nation during a specific period (Kimmel et al., 2009, p 325). This is influenced by macroeconomics, especially by affecting the household income earned by consumers that takes them to a level where they might afford a product or service. Fo</w:t>
      </w:r>
      <w:r>
        <w:rPr>
          <w:rFonts w:ascii="Times New Roman" w:eastAsia="Times New Roman" w:hAnsi="Times New Roman" w:cs="Times New Roman"/>
          <w:sz w:val="24"/>
          <w:szCs w:val="24"/>
        </w:rPr>
        <w:t>r instance, recently median income of at least a fifth of the UK populace, increased by 1.5% during the FY or financial year of 2020 and 2021. This might put them in a better position to afford products (</w:t>
      </w:r>
      <w:r>
        <w:rPr>
          <w:rFonts w:ascii="Times New Roman" w:eastAsia="Times New Roman" w:hAnsi="Times New Roman" w:cs="Times New Roman"/>
          <w:sz w:val="24"/>
          <w:szCs w:val="24"/>
        </w:rPr>
        <w:t>Dey</w:t>
      </w:r>
      <w:r>
        <w:rPr>
          <w:rFonts w:ascii="Times New Roman" w:eastAsia="Times New Roman" w:hAnsi="Times New Roman" w:cs="Times New Roman"/>
          <w:sz w:val="24"/>
          <w:szCs w:val="24"/>
        </w:rPr>
        <w:t xml:space="preserve"> Chowdhury et al., 2022).</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trading is essential</w:t>
      </w:r>
      <w:r>
        <w:rPr>
          <w:rFonts w:ascii="Times New Roman" w:eastAsia="Times New Roman" w:hAnsi="Times New Roman" w:cs="Times New Roman"/>
          <w:sz w:val="24"/>
          <w:szCs w:val="24"/>
        </w:rPr>
        <w:t xml:space="preserve"> for commerce, but most importantly it affects businesses of a similar category that can be either retail, manufacturing, or technology. For instance, the value of imports decreased by £0.7 billion or 1.4% up till February of 2023. Whereas, the export volumes</w:t>
      </w:r>
      <w:r>
        <w:rPr>
          <w:rFonts w:ascii="Times New Roman" w:eastAsia="Times New Roman" w:hAnsi="Times New Roman" w:cs="Times New Roman"/>
          <w:sz w:val="24"/>
          <w:szCs w:val="24"/>
        </w:rPr>
        <w:t xml:space="preserve"> for countries like Canada (19.0%), France (31.3%), and to Germany (23.0%), showed a level of elevation in the volume and thereby influenced businesses from all the categories like retail, manufacturing, and technology positively (</w:t>
      </w:r>
      <w:r>
        <w:rPr>
          <w:rFonts w:ascii="Times New Roman" w:eastAsia="Times New Roman" w:hAnsi="Times New Roman" w:cs="Times New Roman"/>
          <w:sz w:val="24"/>
          <w:szCs w:val="24"/>
        </w:rPr>
        <w:t>Dey</w:t>
      </w:r>
      <w:r>
        <w:rPr>
          <w:rFonts w:ascii="Times New Roman" w:eastAsia="Times New Roman" w:hAnsi="Times New Roman" w:cs="Times New Roman"/>
          <w:sz w:val="24"/>
          <w:szCs w:val="24"/>
        </w:rPr>
        <w:t xml:space="preserve"> Chowdhury et al.</w:t>
      </w:r>
      <w:r>
        <w:rPr>
          <w:rFonts w:ascii="Times New Roman" w:eastAsia="Times New Roman" w:hAnsi="Times New Roman" w:cs="Times New Roman"/>
          <w:sz w:val="24"/>
          <w:szCs w:val="24"/>
        </w:rPr>
        <w:t>, 2022).</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fiscal policy is another factor that requires debt management, and the latter's ratio with the GDP forecasts the assistance of a government in mending operations that a business joins in the country (</w:t>
      </w:r>
      <w:r>
        <w:rPr>
          <w:rFonts w:ascii="Times New Roman" w:eastAsia="Times New Roman" w:hAnsi="Times New Roman" w:cs="Times New Roman"/>
          <w:sz w:val="24"/>
          <w:szCs w:val="24"/>
        </w:rPr>
        <w:t>Fusfeld</w:t>
      </w:r>
      <w:r>
        <w:rPr>
          <w:rFonts w:ascii="Times New Roman" w:eastAsia="Times New Roman" w:hAnsi="Times New Roman" w:cs="Times New Roman"/>
          <w:sz w:val="24"/>
          <w:szCs w:val="24"/>
        </w:rPr>
        <w:t xml:space="preserve">, 1977). For instance, the UK </w:t>
      </w:r>
      <w:r>
        <w:rPr>
          <w:rFonts w:ascii="Times New Roman" w:eastAsia="Times New Roman" w:hAnsi="Times New Roman" w:cs="Times New Roman"/>
          <w:sz w:val="24"/>
          <w:szCs w:val="24"/>
        </w:rPr>
        <w:t xml:space="preserve">managed to keep a 3% reduction on the GDP-to-debt </w:t>
      </w:r>
      <w:r w:rsidR="008B28B7">
        <w:rPr>
          <w:rFonts w:ascii="Times New Roman" w:eastAsia="Times New Roman" w:hAnsi="Times New Roman" w:cs="Times New Roman"/>
          <w:sz w:val="24"/>
          <w:szCs w:val="24"/>
        </w:rPr>
        <w:t>ratio which</w:t>
      </w:r>
      <w:r>
        <w:rPr>
          <w:rFonts w:ascii="Times New Roman" w:eastAsia="Times New Roman" w:hAnsi="Times New Roman" w:cs="Times New Roman"/>
          <w:sz w:val="24"/>
          <w:szCs w:val="24"/>
        </w:rPr>
        <w:t xml:space="preserve"> indicated certain difficulties for many organisations in optimising their credit limits (Pope and </w:t>
      </w:r>
      <w:r>
        <w:rPr>
          <w:rFonts w:ascii="Times New Roman" w:eastAsia="Times New Roman" w:hAnsi="Times New Roman" w:cs="Times New Roman"/>
          <w:sz w:val="24"/>
          <w:szCs w:val="24"/>
        </w:rPr>
        <w:t>Hourston</w:t>
      </w:r>
      <w:r>
        <w:rPr>
          <w:rFonts w:ascii="Times New Roman" w:eastAsia="Times New Roman" w:hAnsi="Times New Roman" w:cs="Times New Roman"/>
          <w:sz w:val="24"/>
          <w:szCs w:val="24"/>
        </w:rPr>
        <w:t>, 2020).</w:t>
      </w:r>
    </w:p>
    <w:p w:rsidR="002460FA" w:rsidP="008B28B7">
      <w:pPr>
        <w:pStyle w:val="Heading1"/>
      </w:pPr>
      <w:bookmarkStart w:id="3" w:name="_Toc133338496"/>
      <w:r>
        <w:t xml:space="preserve">3.0 Explain the accounting conventions and explain how important </w:t>
      </w:r>
      <w:r w:rsidR="008B28B7">
        <w:t>financial statements are in preparation for three major</w:t>
      </w:r>
      <w:bookmarkEnd w:id="3"/>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defines assists a business to track revenue generated through income and stemming the leak of the latter as a form of expenditure. This prevails when accounting looks </w:t>
      </w:r>
      <w:r w:rsidR="008B28B7">
        <w:rPr>
          <w:rFonts w:ascii="Times New Roman" w:eastAsia="Times New Roman" w:hAnsi="Times New Roman" w:cs="Times New Roman"/>
          <w:sz w:val="24"/>
          <w:szCs w:val="24"/>
        </w:rPr>
        <w:t>too</w:t>
      </w:r>
      <w:r>
        <w:rPr>
          <w:rFonts w:ascii="Times New Roman" w:eastAsia="Times New Roman" w:hAnsi="Times New Roman" w:cs="Times New Roman"/>
          <w:sz w:val="24"/>
          <w:szCs w:val="24"/>
        </w:rPr>
        <w:t xml:space="preserve"> systematically and with a detailed re</w:t>
      </w:r>
      <w:r>
        <w:rPr>
          <w:rFonts w:ascii="Times New Roman" w:eastAsia="Times New Roman" w:hAnsi="Times New Roman" w:cs="Times New Roman"/>
          <w:sz w:val="24"/>
          <w:szCs w:val="24"/>
        </w:rPr>
        <w:t>cord of financial transactions in the business. The primary functions of accounting include t</w:t>
      </w:r>
      <w:r w:rsidR="008B28B7">
        <w:rPr>
          <w:rFonts w:ascii="Times New Roman" w:eastAsia="Times New Roman" w:hAnsi="Times New Roman" w:cs="Times New Roman"/>
          <w:sz w:val="24"/>
          <w:szCs w:val="24"/>
        </w:rPr>
        <w:t>he likes of the income statement that</w:t>
      </w:r>
      <w:r>
        <w:rPr>
          <w:rFonts w:ascii="Times New Roman" w:eastAsia="Times New Roman" w:hAnsi="Times New Roman" w:cs="Times New Roman"/>
          <w:sz w:val="24"/>
          <w:szCs w:val="24"/>
        </w:rPr>
        <w:t xml:space="preserve"> provides information related to profits and losses that a business encountered within a period (Cheng et al., 2014). Aside from this</w:t>
      </w:r>
      <w:r>
        <w:rPr>
          <w:rFonts w:ascii="Times New Roman" w:eastAsia="Times New Roman" w:hAnsi="Times New Roman" w:cs="Times New Roman"/>
          <w:sz w:val="24"/>
          <w:szCs w:val="24"/>
        </w:rPr>
        <w:t xml:space="preserve">, there is the balance sheet which records assets and liabilities and provides a comparison to enable </w:t>
      </w:r>
      <w:r w:rsidR="008B28B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organisation to understand its financial positioning. Finally, cash management involving the distribution of cash inflow and outflow is regulated throu</w:t>
      </w:r>
      <w:r>
        <w:rPr>
          <w:rFonts w:ascii="Times New Roman" w:eastAsia="Times New Roman" w:hAnsi="Times New Roman" w:cs="Times New Roman"/>
          <w:sz w:val="24"/>
          <w:szCs w:val="24"/>
        </w:rPr>
        <w:t xml:space="preserve">gh a cash flow statement. These are the key facets due to which accounting ensures that a business seldom sacrifices its operational capability.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five principles related to accounting conventions, and these can be explained in the below manner.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evenue recognition principle: </w:t>
      </w:r>
      <w:r>
        <w:rPr>
          <w:rFonts w:ascii="Times New Roman" w:eastAsia="Times New Roman" w:hAnsi="Times New Roman" w:cs="Times New Roman"/>
          <w:sz w:val="24"/>
          <w:szCs w:val="24"/>
        </w:rPr>
        <w:t>This principle deals with a particular period, whereby revenues are recognised from the income statement of the organisation. Thus revenue recognition occurred during a period through services provided in the period are recogni</w:t>
      </w:r>
      <w:r>
        <w:rPr>
          <w:rFonts w:ascii="Times New Roman" w:eastAsia="Times New Roman" w:hAnsi="Times New Roman" w:cs="Times New Roman"/>
          <w:sz w:val="24"/>
          <w:szCs w:val="24"/>
        </w:rPr>
        <w:t>sed on an accrual basis (</w:t>
      </w:r>
      <w:r>
        <w:rPr>
          <w:rFonts w:ascii="Times New Roman" w:eastAsia="Times New Roman" w:hAnsi="Times New Roman" w:cs="Times New Roman"/>
          <w:sz w:val="24"/>
          <w:szCs w:val="24"/>
        </w:rPr>
        <w:t>Wahlen</w:t>
      </w:r>
      <w:r>
        <w:rPr>
          <w:rFonts w:ascii="Times New Roman" w:eastAsia="Times New Roman" w:hAnsi="Times New Roman" w:cs="Times New Roman"/>
          <w:sz w:val="24"/>
          <w:szCs w:val="24"/>
        </w:rPr>
        <w:t xml:space="preserve"> et al., 2011, p 385). Whereas, if the revenue was received in cash then it might be recorded on a cash basis.</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principle: </w:t>
      </w:r>
      <w:r>
        <w:rPr>
          <w:rFonts w:ascii="Times New Roman" w:eastAsia="Times New Roman" w:hAnsi="Times New Roman" w:cs="Times New Roman"/>
          <w:sz w:val="24"/>
          <w:szCs w:val="24"/>
        </w:rPr>
        <w:t>Assets can be recorded when a product is purchased or services delivered through the same, which can help</w:t>
      </w:r>
      <w:r>
        <w:rPr>
          <w:rFonts w:ascii="Times New Roman" w:eastAsia="Times New Roman" w:hAnsi="Times New Roman" w:cs="Times New Roman"/>
          <w:sz w:val="24"/>
          <w:szCs w:val="24"/>
        </w:rPr>
        <w:t xml:space="preserve"> manage business expenses in an orderly fashion (</w:t>
      </w:r>
      <w:r>
        <w:rPr>
          <w:rFonts w:ascii="Times New Roman" w:eastAsia="Times New Roman" w:hAnsi="Times New Roman" w:cs="Times New Roman"/>
          <w:sz w:val="24"/>
          <w:szCs w:val="24"/>
        </w:rPr>
        <w:t>Wahlen</w:t>
      </w:r>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2011, p 412). That allows the recording of acquisition and depreciation related to asset management.</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Matching principle: </w:t>
      </w:r>
      <w:r>
        <w:rPr>
          <w:rFonts w:ascii="Times New Roman" w:eastAsia="Times New Roman" w:hAnsi="Times New Roman" w:cs="Times New Roman"/>
          <w:sz w:val="24"/>
          <w:szCs w:val="24"/>
        </w:rPr>
        <w:t>Expenses need to be matched to the revenues recognised during the same acco</w:t>
      </w:r>
      <w:r>
        <w:rPr>
          <w:rFonts w:ascii="Times New Roman" w:eastAsia="Times New Roman" w:hAnsi="Times New Roman" w:cs="Times New Roman"/>
          <w:sz w:val="24"/>
          <w:szCs w:val="24"/>
        </w:rPr>
        <w:t>unting period. This provides a comparison between revenues and overall expenditure, thereby allowing better recognition of which factors might be increasing and which factors might be going down over the period (</w:t>
      </w:r>
      <w:r>
        <w:rPr>
          <w:rFonts w:ascii="Times New Roman" w:eastAsia="Times New Roman" w:hAnsi="Times New Roman" w:cs="Times New Roman"/>
          <w:sz w:val="24"/>
          <w:szCs w:val="24"/>
        </w:rPr>
        <w:t>Wahlen</w:t>
      </w:r>
      <w:r>
        <w:rPr>
          <w:rFonts w:ascii="Times New Roman" w:eastAsia="Times New Roman" w:hAnsi="Times New Roman" w:cs="Times New Roman"/>
          <w:sz w:val="24"/>
          <w:szCs w:val="24"/>
        </w:rPr>
        <w:t xml:space="preserve"> et al., 2011, p 356).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Full disclosure </w:t>
      </w:r>
      <w:r>
        <w:rPr>
          <w:rFonts w:ascii="Times New Roman" w:eastAsia="Times New Roman" w:hAnsi="Times New Roman" w:cs="Times New Roman"/>
          <w:b/>
          <w:sz w:val="24"/>
          <w:szCs w:val="24"/>
        </w:rPr>
        <w:t xml:space="preserve">principle: </w:t>
      </w:r>
      <w:r>
        <w:rPr>
          <w:rFonts w:ascii="Times New Roman" w:eastAsia="Times New Roman" w:hAnsi="Times New Roman" w:cs="Times New Roman"/>
          <w:sz w:val="24"/>
          <w:szCs w:val="24"/>
        </w:rPr>
        <w:t>Normally, a company might declare its financial statements including the income statement, balance sheet, and cash flow respectively. Without compromising the merit on which it is posted in the annual reports. That does not compromise the actual</w:t>
      </w:r>
      <w:r>
        <w:rPr>
          <w:rFonts w:ascii="Times New Roman" w:eastAsia="Times New Roman" w:hAnsi="Times New Roman" w:cs="Times New Roman"/>
          <w:sz w:val="24"/>
          <w:szCs w:val="24"/>
        </w:rPr>
        <w:t xml:space="preserve"> information transferred to the public eye, resulting in misleading knowledge (Dillard and </w:t>
      </w:r>
      <w:r>
        <w:rPr>
          <w:rFonts w:ascii="Times New Roman" w:eastAsia="Times New Roman" w:hAnsi="Times New Roman" w:cs="Times New Roman"/>
          <w:sz w:val="24"/>
          <w:szCs w:val="24"/>
        </w:rPr>
        <w:t>Vinnari</w:t>
      </w:r>
      <w:r>
        <w:rPr>
          <w:rFonts w:ascii="Times New Roman" w:eastAsia="Times New Roman" w:hAnsi="Times New Roman" w:cs="Times New Roman"/>
          <w:sz w:val="24"/>
          <w:szCs w:val="24"/>
        </w:rPr>
        <w:t xml:space="preserve">, 2018). Therefore, this principle ensures that the appropriate information is disclosed in the annual reports furnished by the organisation.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Objectivity principle: </w:t>
      </w:r>
      <w:r>
        <w:rPr>
          <w:rFonts w:ascii="Times New Roman" w:eastAsia="Times New Roman" w:hAnsi="Times New Roman" w:cs="Times New Roman"/>
          <w:sz w:val="24"/>
          <w:szCs w:val="24"/>
        </w:rPr>
        <w:t xml:space="preserve">Any form of accounting data should stay consistent and accurate, as well as free from personal opinions. The data needs to be backed by evidence including vouchers, invoices, and receipts that can be relied upon for analysis before </w:t>
      </w:r>
      <w:r>
        <w:rPr>
          <w:rFonts w:ascii="Times New Roman" w:eastAsia="Times New Roman" w:hAnsi="Times New Roman" w:cs="Times New Roman"/>
          <w:sz w:val="24"/>
          <w:szCs w:val="24"/>
        </w:rPr>
        <w:t xml:space="preserve">final publication (Dillard and </w:t>
      </w:r>
      <w:r>
        <w:rPr>
          <w:rFonts w:ascii="Times New Roman" w:eastAsia="Times New Roman" w:hAnsi="Times New Roman" w:cs="Times New Roman"/>
          <w:sz w:val="24"/>
          <w:szCs w:val="24"/>
        </w:rPr>
        <w:t>Vinnari</w:t>
      </w:r>
      <w:r>
        <w:rPr>
          <w:rFonts w:ascii="Times New Roman" w:eastAsia="Times New Roman" w:hAnsi="Times New Roman" w:cs="Times New Roman"/>
          <w:sz w:val="24"/>
          <w:szCs w:val="24"/>
        </w:rPr>
        <w:t xml:space="preserve">, 2018). From an objective viewpoint, the above considerations help build client and company relationships and nurture their development as well. </w:t>
      </w:r>
    </w:p>
    <w:p w:rsidR="002460FA" w:rsidP="008B28B7">
      <w:pPr>
        <w:pStyle w:val="Heading1"/>
      </w:pPr>
      <w:bookmarkStart w:id="4" w:name="_Toc133338497"/>
      <w:r>
        <w:t xml:space="preserve">4.0 Calculation and interpretation of ratios from XYZ </w:t>
      </w:r>
      <w:r>
        <w:t>plc</w:t>
      </w:r>
      <w:r>
        <w:t xml:space="preserve"> for the years</w:t>
      </w:r>
      <w:r>
        <w:t xml:space="preserve"> 2019 and 2020 respectively</w:t>
      </w:r>
      <w:bookmarkEnd w:id="4"/>
      <w:r>
        <w:t xml:space="preserve"> </w:t>
      </w:r>
    </w:p>
    <w:p w:rsidR="002460FA" w:rsidP="008B28B7">
      <w:pPr>
        <w:pStyle w:val="Heading2"/>
      </w:pPr>
      <w:bookmarkStart w:id="5" w:name="_Toc133338498"/>
      <w:r>
        <w:t>4.1 Operating profit margin</w:t>
      </w:r>
      <w:bookmarkEnd w:id="5"/>
    </w:p>
    <w:p w:rsidR="002460FA">
      <w:pPr>
        <w:spacing w:line="360" w:lineRule="auto"/>
        <w:jc w:val="both"/>
        <w:rPr>
          <w:rFonts w:ascii="Times New Roman" w:eastAsia="Times New Roman" w:hAnsi="Times New Roman" w:cs="Times New Roman"/>
          <w:sz w:val="24"/>
          <w:szCs w:val="24"/>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53"/>
        <w:gridCol w:w="2252"/>
        <w:gridCol w:w="2252"/>
        <w:gridCol w:w="2252"/>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Operating Profit Margin </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Profit Margin </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Profit/Net Sales*100</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240/2500*100=9.6%</w:t>
            </w:r>
          </w:p>
        </w:tc>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35/2750*100=1.27%</w:t>
            </w:r>
          </w:p>
        </w:tc>
      </w:tr>
    </w:tbl>
    <w:p w:rsidR="002460FA">
      <w:pPr>
        <w:spacing w:line="360" w:lineRule="auto"/>
        <w:jc w:val="both"/>
        <w:rPr>
          <w:rFonts w:ascii="Times New Roman" w:eastAsia="Times New Roman" w:hAnsi="Times New Roman" w:cs="Times New Roman"/>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profit margins are a good indicator of how well sales can be managed, and how efficient it is towards generating profits from revenue. In the above context, for the year 2019,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displayed a 9.6% operating profit margin. That showed</w:t>
      </w:r>
      <w:r>
        <w:rPr>
          <w:rFonts w:ascii="Times New Roman" w:eastAsia="Times New Roman" w:hAnsi="Times New Roman" w:cs="Times New Roman"/>
          <w:sz w:val="24"/>
          <w:szCs w:val="24"/>
        </w:rPr>
        <w:t xml:space="preserve"> that operating profit is increasing aggressively which announces a greater competitive advantage for XYZ plc. </w:t>
      </w:r>
      <w:r>
        <w:rPr>
          <w:rFonts w:ascii="Times New Roman" w:eastAsia="Times New Roman" w:hAnsi="Times New Roman" w:cs="Times New Roman"/>
          <w:sz w:val="24"/>
          <w:szCs w:val="24"/>
        </w:rPr>
        <w:t>However, the operating profit was reduced further by £205 million which resulted in lower operating profit margins of 1.27% for 2020. This shows that X</w:t>
      </w:r>
      <w:r>
        <w:rPr>
          <w:rFonts w:ascii="Times New Roman" w:eastAsia="Times New Roman" w:hAnsi="Times New Roman" w:cs="Times New Roman"/>
          <w:sz w:val="24"/>
          <w:szCs w:val="24"/>
        </w:rPr>
        <w:t xml:space="preserve">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lost its competitive advantage by 2020 (Devi et al., 2020). </w:t>
      </w:r>
    </w:p>
    <w:p w:rsidR="002460FA" w:rsidP="008B28B7">
      <w:pPr>
        <w:pStyle w:val="Heading2"/>
      </w:pPr>
      <w:bookmarkStart w:id="6" w:name="_Toc133338499"/>
      <w:r>
        <w:t>4.2 Inventory days</w:t>
      </w:r>
      <w:bookmarkEnd w:id="6"/>
    </w:p>
    <w:p w:rsidR="002460FA">
      <w:pPr>
        <w:spacing w:line="360" w:lineRule="auto"/>
        <w:jc w:val="both"/>
        <w:rPr>
          <w:rFonts w:ascii="Times New Roman" w:eastAsia="Times New Roman" w:hAnsi="Times New Roman" w:cs="Times New Roman"/>
          <w:sz w:val="24"/>
          <w:szCs w:val="24"/>
        </w:rPr>
      </w:pP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48"/>
        <w:gridCol w:w="2249"/>
        <w:gridCol w:w="2263"/>
        <w:gridCol w:w="2249"/>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48"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Inventory Days</w:t>
            </w:r>
          </w:p>
        </w:tc>
        <w:tc>
          <w:tcPr>
            <w:tcW w:w="1248"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56"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48"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48"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Days sale of inventory </w:t>
            </w:r>
          </w:p>
        </w:tc>
        <w:tc>
          <w:tcPr>
            <w:tcW w:w="1248"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inventory/Cost of goods sold*365 </w:t>
            </w:r>
          </w:p>
        </w:tc>
        <w:tc>
          <w:tcPr>
            <w:tcW w:w="1256"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380/1850*365=74.97 days</w:t>
            </w:r>
          </w:p>
        </w:tc>
        <w:tc>
          <w:tcPr>
            <w:tcW w:w="1248"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380/2375*365=58.4 days</w:t>
            </w:r>
          </w:p>
        </w:tc>
      </w:tr>
    </w:tbl>
    <w:p w:rsidR="002460FA">
      <w:pPr>
        <w:spacing w:line="360" w:lineRule="auto"/>
        <w:jc w:val="both"/>
        <w:rPr>
          <w:rFonts w:ascii="Times New Roman" w:eastAsia="Times New Roman" w:hAnsi="Times New Roman" w:cs="Times New Roman"/>
          <w:b/>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days generally show how many </w:t>
      </w:r>
      <w:r w:rsidR="008B28B7">
        <w:rPr>
          <w:rFonts w:ascii="Times New Roman" w:eastAsia="Times New Roman" w:hAnsi="Times New Roman" w:cs="Times New Roman"/>
          <w:sz w:val="24"/>
          <w:szCs w:val="24"/>
        </w:rPr>
        <w:t>days’ worth</w:t>
      </w:r>
      <w:r>
        <w:rPr>
          <w:rFonts w:ascii="Times New Roman" w:eastAsia="Times New Roman" w:hAnsi="Times New Roman" w:cs="Times New Roman"/>
          <w:sz w:val="24"/>
          <w:szCs w:val="24"/>
        </w:rPr>
        <w:t xml:space="preserve"> of revenue in a business can be kept as a form of inventory. The above consideration shows how many days it takes to clear out inventory. From the above table, it is clear tha</w:t>
      </w:r>
      <w:r>
        <w:rPr>
          <w:rFonts w:ascii="Times New Roman" w:eastAsia="Times New Roman" w:hAnsi="Times New Roman" w:cs="Times New Roman"/>
          <w:sz w:val="24"/>
          <w:szCs w:val="24"/>
        </w:rPr>
        <w:t xml:space="preserve">t inventory days for the year 2019 the inventory days is around 74.9 days. That is more than the optimal days of </w:t>
      </w:r>
      <w:r w:rsidR="008B28B7">
        <w:rPr>
          <w:rFonts w:ascii="Times New Roman" w:eastAsia="Times New Roman" w:hAnsi="Times New Roman" w:cs="Times New Roman"/>
          <w:sz w:val="24"/>
          <w:szCs w:val="24"/>
        </w:rPr>
        <w:t>60 which</w:t>
      </w:r>
      <w:r>
        <w:rPr>
          <w:rFonts w:ascii="Times New Roman" w:eastAsia="Times New Roman" w:hAnsi="Times New Roman" w:cs="Times New Roman"/>
          <w:sz w:val="24"/>
          <w:szCs w:val="24"/>
        </w:rPr>
        <w:t xml:space="preserve"> shows it takes a longer time to release their inventory to create revenue (Devi et al., 2020). Whereas, in the year 2020 the inv</w:t>
      </w:r>
      <w:r>
        <w:rPr>
          <w:rFonts w:ascii="Times New Roman" w:eastAsia="Times New Roman" w:hAnsi="Times New Roman" w:cs="Times New Roman"/>
          <w:sz w:val="24"/>
          <w:szCs w:val="24"/>
        </w:rPr>
        <w:t xml:space="preserve">entory days were reduced by approximately 16 days. This also shows the better distribution of inventory for converting sales for XYZ Ltd. </w:t>
      </w:r>
    </w:p>
    <w:p w:rsidR="002460FA" w:rsidP="008B28B7">
      <w:pPr>
        <w:pStyle w:val="Heading2"/>
      </w:pPr>
      <w:bookmarkStart w:id="7" w:name="_Toc133338500"/>
      <w:r>
        <w:t>4.3 Payable period</w:t>
      </w:r>
      <w:bookmarkEnd w:id="7"/>
    </w:p>
    <w:p w:rsidR="002460FA">
      <w:pPr>
        <w:spacing w:line="360" w:lineRule="auto"/>
        <w:jc w:val="both"/>
        <w:rPr>
          <w:rFonts w:ascii="Times New Roman" w:eastAsia="Times New Roman" w:hAnsi="Times New Roman" w:cs="Times New Roman"/>
          <w:sz w:val="24"/>
          <w:szCs w:val="24"/>
        </w:rPr>
      </w:pPr>
    </w:p>
    <w:p w:rsidR="002460FA">
      <w:pPr>
        <w:spacing w:line="360" w:lineRule="auto"/>
        <w:jc w:val="both"/>
        <w:rPr>
          <w:rFonts w:ascii="Times New Roman" w:eastAsia="Times New Roman" w:hAnsi="Times New Roman" w:cs="Times New Roman"/>
          <w:sz w:val="24"/>
          <w:szCs w:val="24"/>
        </w:rPr>
      </w:pP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52"/>
        <w:gridCol w:w="2070"/>
        <w:gridCol w:w="2328"/>
        <w:gridCol w:w="2359"/>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Purchases</w:t>
            </w:r>
            <w:r>
              <w:rPr>
                <w:rFonts w:ascii="Times New Roman" w:eastAsia="Times New Roman" w:hAnsi="Times New Roman" w:cs="Times New Roman"/>
                <w:b/>
                <w:sz w:val="24"/>
                <w:szCs w:val="24"/>
              </w:rPr>
              <w:t xml:space="preserve"> </w:t>
            </w:r>
          </w:p>
        </w:tc>
        <w:tc>
          <w:tcPr>
            <w:tcW w:w="1149"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92"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309"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50"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Purchases </w:t>
            </w:r>
          </w:p>
        </w:tc>
        <w:tc>
          <w:tcPr>
            <w:tcW w:w="1149"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 of Goods Sold+</w:t>
            </w:r>
            <w:r w:rsidR="008B2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Ending Inventory-Starting Inventory </w:t>
            </w:r>
          </w:p>
          <w:p w:rsidR="002460FA">
            <w:pPr>
              <w:spacing w:line="360" w:lineRule="auto"/>
              <w:jc w:val="both"/>
              <w:rPr>
                <w:rFonts w:ascii="Times New Roman" w:eastAsia="Times New Roman" w:hAnsi="Times New Roman" w:cs="Times New Roman"/>
                <w:sz w:val="24"/>
                <w:szCs w:val="24"/>
              </w:rPr>
            </w:pPr>
          </w:p>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c>
          <w:tcPr>
            <w:tcW w:w="1292"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1850+410-350=1910</w:t>
            </w:r>
          </w:p>
        </w:tc>
        <w:tc>
          <w:tcPr>
            <w:tcW w:w="1309"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2375+410-350=2435</w:t>
            </w:r>
          </w:p>
        </w:tc>
      </w:tr>
    </w:tbl>
    <w:p w:rsidR="002460FA">
      <w:pPr>
        <w:spacing w:line="360" w:lineRule="auto"/>
        <w:jc w:val="both"/>
        <w:rPr>
          <w:rFonts w:ascii="Times New Roman" w:eastAsia="Times New Roman" w:hAnsi="Times New Roman" w:cs="Times New Roman"/>
          <w:sz w:val="24"/>
          <w:szCs w:val="24"/>
        </w:rPr>
      </w:pPr>
    </w:p>
    <w:p w:rsidR="002460FA">
      <w:pPr>
        <w:spacing w:line="360" w:lineRule="auto"/>
        <w:jc w:val="both"/>
        <w:rPr>
          <w:rFonts w:ascii="Times New Roman" w:eastAsia="Times New Roman" w:hAnsi="Times New Roman" w:cs="Times New Roman"/>
          <w:sz w:val="24"/>
          <w:szCs w:val="24"/>
        </w:rPr>
      </w:pPr>
    </w:p>
    <w:tbl>
      <w:tblPr>
        <w:tblStyle w:val="a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1850"/>
        <w:gridCol w:w="2453"/>
        <w:gridCol w:w="2443"/>
        <w:gridCol w:w="2263"/>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027"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Payable period </w:t>
            </w:r>
          </w:p>
        </w:tc>
        <w:tc>
          <w:tcPr>
            <w:tcW w:w="1361"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356"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56"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027"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Payable period </w:t>
            </w:r>
          </w:p>
        </w:tc>
        <w:tc>
          <w:tcPr>
            <w:tcW w:w="1361"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accounts payable/Purchases*365 days</w:t>
            </w:r>
          </w:p>
        </w:tc>
        <w:tc>
          <w:tcPr>
            <w:tcW w:w="1356"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187.5/1910*365=35.83 days </w:t>
            </w:r>
          </w:p>
        </w:tc>
        <w:tc>
          <w:tcPr>
            <w:tcW w:w="1256"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365/2435*365=54.71 days</w:t>
            </w:r>
          </w:p>
        </w:tc>
      </w:tr>
    </w:tbl>
    <w:p w:rsidR="002460FA">
      <w:pPr>
        <w:spacing w:line="360" w:lineRule="auto"/>
        <w:jc w:val="both"/>
        <w:rPr>
          <w:rFonts w:ascii="Times New Roman" w:eastAsia="Times New Roman" w:hAnsi="Times New Roman" w:cs="Times New Roman"/>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payable period normally indicates credit worthiness of any organisation. In the above case, the year 2019 showed approximately 35.83 days average time taken by XYZ Ltd to pay off their creditors. This however grew by th</w:t>
      </w:r>
      <w:r>
        <w:rPr>
          <w:rFonts w:ascii="Times New Roman" w:eastAsia="Times New Roman" w:hAnsi="Times New Roman" w:cs="Times New Roman"/>
          <w:sz w:val="24"/>
          <w:szCs w:val="24"/>
        </w:rPr>
        <w:t xml:space="preserve">e year </w:t>
      </w:r>
      <w:r w:rsidR="008B28B7">
        <w:rPr>
          <w:rFonts w:ascii="Times New Roman" w:eastAsia="Times New Roman" w:hAnsi="Times New Roman" w:cs="Times New Roman"/>
          <w:sz w:val="24"/>
          <w:szCs w:val="24"/>
        </w:rPr>
        <w:t>2020 which</w:t>
      </w:r>
      <w:r>
        <w:rPr>
          <w:rFonts w:ascii="Times New Roman" w:eastAsia="Times New Roman" w:hAnsi="Times New Roman" w:cs="Times New Roman"/>
          <w:sz w:val="24"/>
          <w:szCs w:val="24"/>
        </w:rPr>
        <w:t xml:space="preserve"> saw the payable period grow by 19 days. Taking the payable period to 54.7 days (Devi et al., 2020). Both were considered to be ideal because the company invested less time in disbursing their credit. </w:t>
      </w:r>
    </w:p>
    <w:p w:rsidR="002460FA" w:rsidP="008B28B7">
      <w:pPr>
        <w:pStyle w:val="Heading2"/>
      </w:pPr>
      <w:bookmarkStart w:id="8" w:name="_Toc133338501"/>
      <w:r>
        <w:t>4.4 Receivable period</w:t>
      </w:r>
      <w:bookmarkEnd w:id="8"/>
    </w:p>
    <w:p w:rsidR="002460FA">
      <w:pPr>
        <w:spacing w:line="360" w:lineRule="auto"/>
        <w:jc w:val="both"/>
        <w:rPr>
          <w:rFonts w:ascii="Times New Roman" w:eastAsia="Times New Roman" w:hAnsi="Times New Roman" w:cs="Times New Roman"/>
          <w:sz w:val="24"/>
          <w:szCs w:val="24"/>
        </w:rPr>
      </w:pPr>
    </w:p>
    <w:tbl>
      <w:tblPr>
        <w:tblStyle w:val="a3"/>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53"/>
        <w:gridCol w:w="2252"/>
        <w:gridCol w:w="2252"/>
        <w:gridCol w:w="2252"/>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Receiva</w:t>
            </w:r>
            <w:r>
              <w:rPr>
                <w:rFonts w:ascii="Times New Roman" w:eastAsia="Times New Roman" w:hAnsi="Times New Roman" w:cs="Times New Roman"/>
                <w:b/>
                <w:sz w:val="24"/>
                <w:szCs w:val="24"/>
                <w:u w:val="single"/>
              </w:rPr>
              <w:t>ble period</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Receivable period</w:t>
            </w:r>
          </w:p>
        </w:tc>
        <w:tc>
          <w:tcPr>
            <w:tcW w:w="1250"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trade debtors/Net Sales*365 </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245/2500*365 days=35.77 days</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260/2750*365 days=34.50 days</w:t>
            </w:r>
          </w:p>
        </w:tc>
      </w:tr>
    </w:tbl>
    <w:p w:rsidR="002460FA">
      <w:pPr>
        <w:spacing w:line="360" w:lineRule="auto"/>
        <w:jc w:val="both"/>
        <w:rPr>
          <w:rFonts w:ascii="Times New Roman" w:eastAsia="Times New Roman" w:hAnsi="Times New Roman" w:cs="Times New Roman"/>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is taken to clear off their accounts receivables, which in short also refers to the time that an invoice will remain outstanding before it is collected. In the case of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the receivable period is ideal both for the years 2019 and 2020 (Garret</w:t>
      </w:r>
      <w:r>
        <w:rPr>
          <w:rFonts w:ascii="Times New Roman" w:eastAsia="Times New Roman" w:hAnsi="Times New Roman" w:cs="Times New Roman"/>
          <w:sz w:val="24"/>
          <w:szCs w:val="24"/>
        </w:rPr>
        <w:t xml:space="preserve">t and James, 2019). This shows that it does not take much time to recover their outstanding debts from the debtors. In fact, in 2020 the days have been further reduced by 1 to justify the same. </w:t>
      </w:r>
    </w:p>
    <w:p w:rsidR="002460FA" w:rsidP="008B28B7">
      <w:pPr>
        <w:pStyle w:val="Heading2"/>
      </w:pPr>
      <w:bookmarkStart w:id="9" w:name="_Toc133338502"/>
      <w:r>
        <w:t>4.5 Acid-Test ratio</w:t>
      </w:r>
      <w:bookmarkEnd w:id="9"/>
    </w:p>
    <w:p w:rsidR="002460FA">
      <w:pPr>
        <w:spacing w:line="360" w:lineRule="auto"/>
        <w:jc w:val="both"/>
        <w:rPr>
          <w:rFonts w:ascii="Times New Roman" w:eastAsia="Times New Roman" w:hAnsi="Times New Roman" w:cs="Times New Roman"/>
          <w:sz w:val="24"/>
          <w:szCs w:val="24"/>
        </w:rPr>
      </w:pPr>
    </w:p>
    <w:tbl>
      <w:tblPr>
        <w:tblStyle w:val="a4"/>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53"/>
        <w:gridCol w:w="2252"/>
        <w:gridCol w:w="2252"/>
        <w:gridCol w:w="2252"/>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Acid Test Ratio</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Acid Test Ratio</w:t>
            </w:r>
          </w:p>
        </w:tc>
        <w:tc>
          <w:tcPr>
            <w:tcW w:w="1250" w:type="pct"/>
            <w:shd w:val="clear" w:color="auto" w:fill="auto"/>
            <w:tcMar>
              <w:top w:w="100" w:type="dxa"/>
              <w:left w:w="100" w:type="dxa"/>
              <w:bottom w:w="100" w:type="dxa"/>
              <w:right w:w="100" w:type="dxa"/>
            </w:tcMar>
          </w:tcPr>
          <w:p w:rsidR="002460F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Assets-Inventory/ Current Liabilities</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595-350/190=1.28</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690-410/295=0.94</w:t>
            </w:r>
          </w:p>
        </w:tc>
      </w:tr>
    </w:tbl>
    <w:p w:rsidR="002460FA">
      <w:pPr>
        <w:spacing w:line="360" w:lineRule="auto"/>
        <w:jc w:val="both"/>
        <w:rPr>
          <w:rFonts w:ascii="Times New Roman" w:eastAsia="Times New Roman" w:hAnsi="Times New Roman" w:cs="Times New Roman"/>
          <w:b/>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ratio indicates that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does have the necessary liquid assets to clear their short-term obligations for 2019, after adjustin</w:t>
      </w:r>
      <w:r>
        <w:rPr>
          <w:rFonts w:ascii="Times New Roman" w:eastAsia="Times New Roman" w:hAnsi="Times New Roman" w:cs="Times New Roman"/>
          <w:sz w:val="24"/>
          <w:szCs w:val="24"/>
        </w:rPr>
        <w:t xml:space="preserve">g for the inventories under the acid test ratio. However, for the year 2020, the ratio has slumped beyond 1 (Garrett and James, 2019). This shows that its ability to garner liquidity for clearing its short-term dues has weaned. Therefore,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might exp</w:t>
      </w:r>
      <w:r>
        <w:rPr>
          <w:rFonts w:ascii="Times New Roman" w:eastAsia="Times New Roman" w:hAnsi="Times New Roman" w:cs="Times New Roman"/>
          <w:sz w:val="24"/>
          <w:szCs w:val="24"/>
        </w:rPr>
        <w:t xml:space="preserve">erience a problem in clearing their dues for 2020. </w:t>
      </w:r>
    </w:p>
    <w:p w:rsidR="002460FA" w:rsidP="008B28B7">
      <w:pPr>
        <w:pStyle w:val="Heading2"/>
      </w:pPr>
      <w:bookmarkStart w:id="10" w:name="_Toc133338503"/>
      <w:r>
        <w:t>4.6 Earning per share</w:t>
      </w:r>
      <w:bookmarkEnd w:id="10"/>
    </w:p>
    <w:p w:rsidR="002460FA">
      <w:pPr>
        <w:spacing w:line="360" w:lineRule="auto"/>
        <w:jc w:val="both"/>
        <w:rPr>
          <w:rFonts w:ascii="Times New Roman" w:eastAsia="Times New Roman" w:hAnsi="Times New Roman" w:cs="Times New Roman"/>
          <w:b/>
          <w:sz w:val="24"/>
          <w:szCs w:val="24"/>
        </w:rPr>
      </w:pPr>
    </w:p>
    <w:tbl>
      <w:tblPr>
        <w:tblStyle w:val="a5"/>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26"/>
        <w:gridCol w:w="2227"/>
        <w:gridCol w:w="2278"/>
        <w:gridCol w:w="2278"/>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35"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Weighted average shares outstanding </w:t>
            </w:r>
          </w:p>
        </w:tc>
        <w:tc>
          <w:tcPr>
            <w:tcW w:w="1236"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64"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64"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c>
          <w:tcPr>
            <w:tcW w:w="1235"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Shares</w:t>
            </w:r>
          </w:p>
        </w:tc>
        <w:tc>
          <w:tcPr>
            <w:tcW w:w="1236"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E</w:t>
            </w:r>
            <w:r w:rsidR="00D06FDA">
              <w:rPr>
                <w:rFonts w:ascii="Times New Roman" w:eastAsia="Times New Roman" w:hAnsi="Times New Roman" w:cs="Times New Roman"/>
                <w:sz w:val="24"/>
                <w:szCs w:val="24"/>
              </w:rPr>
              <w:t>quity+</w:t>
            </w:r>
            <w:r>
              <w:rPr>
                <w:rFonts w:ascii="Times New Roman" w:eastAsia="Times New Roman" w:hAnsi="Times New Roman" w:cs="Times New Roman"/>
                <w:sz w:val="24"/>
                <w:szCs w:val="24"/>
              </w:rPr>
              <w:t xml:space="preserve"> E</w:t>
            </w:r>
            <w:r w:rsidR="00D06FDA">
              <w:rPr>
                <w:rFonts w:ascii="Times New Roman" w:eastAsia="Times New Roman" w:hAnsi="Times New Roman" w:cs="Times New Roman"/>
                <w:sz w:val="24"/>
                <w:szCs w:val="24"/>
              </w:rPr>
              <w:t xml:space="preserve">nding equity/2 </w:t>
            </w:r>
          </w:p>
        </w:tc>
        <w:tc>
          <w:tcPr>
            <w:tcW w:w="1264"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1550+1115/2=1332.5</w:t>
            </w:r>
          </w:p>
        </w:tc>
        <w:tc>
          <w:tcPr>
            <w:tcW w:w="1264" w:type="pct"/>
            <w:shd w:val="clear" w:color="auto" w:fill="auto"/>
            <w:tcMar>
              <w:top w:w="100" w:type="dxa"/>
              <w:left w:w="100" w:type="dxa"/>
              <w:bottom w:w="100" w:type="dxa"/>
              <w:right w:w="100" w:type="dxa"/>
            </w:tcMar>
          </w:tcPr>
          <w:p w:rsidR="002460FA">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1115+1290/2=1202.5</w:t>
            </w:r>
          </w:p>
        </w:tc>
      </w:tr>
    </w:tbl>
    <w:p w:rsidR="002460FA">
      <w:pPr>
        <w:spacing w:line="360" w:lineRule="auto"/>
        <w:jc w:val="both"/>
        <w:rPr>
          <w:rFonts w:ascii="Times New Roman" w:eastAsia="Times New Roman" w:hAnsi="Times New Roman" w:cs="Times New Roman"/>
          <w:b/>
          <w:sz w:val="24"/>
          <w:szCs w:val="24"/>
        </w:rPr>
      </w:pPr>
    </w:p>
    <w:p w:rsidR="002460FA">
      <w:pPr>
        <w:spacing w:line="360" w:lineRule="auto"/>
        <w:jc w:val="both"/>
        <w:rPr>
          <w:rFonts w:ascii="Times New Roman" w:eastAsia="Times New Roman" w:hAnsi="Times New Roman" w:cs="Times New Roman"/>
          <w:b/>
          <w:sz w:val="24"/>
          <w:szCs w:val="24"/>
        </w:rPr>
      </w:pPr>
    </w:p>
    <w:tbl>
      <w:tblPr>
        <w:tblStyle w:val="a6"/>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2253"/>
        <w:gridCol w:w="2252"/>
        <w:gridCol w:w="2252"/>
        <w:gridCol w:w="2252"/>
      </w:tblGrid>
      <w:tr w:rsidTr="008B28B7">
        <w:tblPrEx>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Ex>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Earnings</w:t>
            </w:r>
            <w:r w:rsidR="00D06FDA">
              <w:rPr>
                <w:rFonts w:ascii="Times New Roman" w:eastAsia="Times New Roman" w:hAnsi="Times New Roman" w:cs="Times New Roman"/>
                <w:b/>
                <w:sz w:val="24"/>
                <w:szCs w:val="24"/>
              </w:rPr>
              <w:t xml:space="preserve"> per share </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Formula</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2019 (£) million</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2020 (£) million</w:t>
            </w:r>
          </w:p>
        </w:tc>
      </w:tr>
      <w:tr w:rsidTr="008B28B7">
        <w:tblPrEx>
          <w:tblW w:w="5000" w:type="pct"/>
          <w:tblLook w:val="0600"/>
        </w:tblPrEx>
        <w:trPr>
          <w:trHeight w:val="551"/>
        </w:trPr>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r w:rsidR="00D06FDA">
              <w:rPr>
                <w:rFonts w:ascii="Times New Roman" w:eastAsia="Times New Roman" w:hAnsi="Times New Roman" w:cs="Times New Roman"/>
                <w:sz w:val="24"/>
                <w:szCs w:val="24"/>
              </w:rPr>
              <w:t xml:space="preserve"> per share </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Revenue-Preference Dividends/Weighted average number of shares </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2500-40/1332.5=1.84%</w:t>
            </w:r>
          </w:p>
        </w:tc>
        <w:tc>
          <w:tcPr>
            <w:tcW w:w="1250" w:type="pct"/>
            <w:shd w:val="clear" w:color="auto" w:fill="auto"/>
            <w:tcMar>
              <w:top w:w="100" w:type="dxa"/>
              <w:left w:w="100" w:type="dxa"/>
              <w:bottom w:w="100" w:type="dxa"/>
              <w:right w:w="100" w:type="dxa"/>
            </w:tcMar>
          </w:tcPr>
          <w:p w:rsidR="002460FA">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2750-40/1202.5=2.25%</w:t>
            </w:r>
          </w:p>
        </w:tc>
      </w:tr>
    </w:tbl>
    <w:p w:rsidR="002460FA">
      <w:pPr>
        <w:spacing w:line="360" w:lineRule="auto"/>
        <w:jc w:val="both"/>
        <w:rPr>
          <w:rFonts w:ascii="Times New Roman" w:eastAsia="Times New Roman" w:hAnsi="Times New Roman" w:cs="Times New Roman"/>
          <w:b/>
          <w:sz w:val="24"/>
          <w:szCs w:val="24"/>
        </w:rPr>
      </w:pP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has shown their earning per share to grow over one year. That is resultant from the years 2019 and 2020, and thus by dividing profit based on outstanding shares. There exist better profits for the organisation within the year 202</w:t>
      </w:r>
      <w:r>
        <w:rPr>
          <w:rFonts w:ascii="Times New Roman" w:eastAsia="Times New Roman" w:hAnsi="Times New Roman" w:cs="Times New Roman"/>
          <w:sz w:val="24"/>
          <w:szCs w:val="24"/>
        </w:rPr>
        <w:t xml:space="preserve">0. This is shown by an increase of 0.41%/ in profitability (Garrett and James, 2019). </w:t>
      </w:r>
    </w:p>
    <w:p w:rsidR="002460FA" w:rsidP="001C2E5D">
      <w:pPr>
        <w:pStyle w:val="Heading1"/>
      </w:pPr>
      <w:bookmarkStart w:id="11" w:name="_Toc133338504"/>
      <w:r>
        <w:t>5.0 Definition of management accounting and discuss how it is important for planning, control, and decision-making for the organisation</w:t>
      </w:r>
      <w:bookmarkEnd w:id="11"/>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accounting is another </w:t>
      </w:r>
      <w:r>
        <w:rPr>
          <w:rFonts w:ascii="Times New Roman" w:eastAsia="Times New Roman" w:hAnsi="Times New Roman" w:cs="Times New Roman"/>
          <w:sz w:val="24"/>
          <w:szCs w:val="24"/>
        </w:rPr>
        <w:t xml:space="preserve">branch of </w:t>
      </w:r>
      <w:r w:rsidR="008B28B7">
        <w:rPr>
          <w:rFonts w:ascii="Times New Roman" w:eastAsia="Times New Roman" w:hAnsi="Times New Roman" w:cs="Times New Roman"/>
          <w:sz w:val="24"/>
          <w:szCs w:val="24"/>
        </w:rPr>
        <w:t>finance that</w:t>
      </w:r>
      <w:r>
        <w:rPr>
          <w:rFonts w:ascii="Times New Roman" w:eastAsia="Times New Roman" w:hAnsi="Times New Roman" w:cs="Times New Roman"/>
          <w:sz w:val="24"/>
          <w:szCs w:val="24"/>
        </w:rPr>
        <w:t xml:space="preserve"> enables the identification, measuring, and analysis of financial information for managers towards pursuing their goals. Certain internal purposes within the organisation require the impact of key decisions, this is carried out </w:t>
      </w:r>
      <w:r>
        <w:rPr>
          <w:rFonts w:ascii="Times New Roman" w:eastAsia="Times New Roman" w:hAnsi="Times New Roman" w:cs="Times New Roman"/>
          <w:sz w:val="24"/>
          <w:szCs w:val="24"/>
        </w:rPr>
        <w:t>after modifi</w:t>
      </w:r>
      <w:r>
        <w:rPr>
          <w:rFonts w:ascii="Times New Roman" w:eastAsia="Times New Roman" w:hAnsi="Times New Roman" w:cs="Times New Roman"/>
          <w:sz w:val="24"/>
          <w:szCs w:val="24"/>
        </w:rPr>
        <w:t>cation of key needs for end users (</w:t>
      </w:r>
      <w:r>
        <w:rPr>
          <w:rFonts w:ascii="Times New Roman" w:eastAsia="Times New Roman" w:hAnsi="Times New Roman" w:cs="Times New Roman"/>
          <w:sz w:val="24"/>
          <w:szCs w:val="24"/>
        </w:rPr>
        <w:t>Soin</w:t>
      </w:r>
      <w:r>
        <w:rPr>
          <w:rFonts w:ascii="Times New Roman" w:eastAsia="Times New Roman" w:hAnsi="Times New Roman" w:cs="Times New Roman"/>
          <w:sz w:val="24"/>
          <w:szCs w:val="24"/>
        </w:rPr>
        <w:t xml:space="preserve"> and Collier, 2013). In short, management accounting looks to create ways through which financial statements might be created, reports and documents prepared, that help the management to take decisions that might imp</w:t>
      </w:r>
      <w:r>
        <w:rPr>
          <w:rFonts w:ascii="Times New Roman" w:eastAsia="Times New Roman" w:hAnsi="Times New Roman" w:cs="Times New Roman"/>
          <w:sz w:val="24"/>
          <w:szCs w:val="24"/>
        </w:rPr>
        <w:t xml:space="preserve">act the business performance.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management accounting is towards emphasising relative actions for ensuring outcomes. This means that consideration of resources and raw materials towards establishing a machinery, that assists in</w:t>
      </w:r>
      <w:r>
        <w:rPr>
          <w:rFonts w:ascii="Times New Roman" w:eastAsia="Times New Roman" w:hAnsi="Times New Roman" w:cs="Times New Roman"/>
          <w:sz w:val="24"/>
          <w:szCs w:val="24"/>
        </w:rPr>
        <w:t xml:space="preserve"> product making and rendering of specific services till a time when maintenance expenses might be incurred (</w:t>
      </w:r>
      <w:r>
        <w:rPr>
          <w:rFonts w:ascii="Times New Roman" w:eastAsia="Times New Roman" w:hAnsi="Times New Roman" w:cs="Times New Roman"/>
          <w:sz w:val="24"/>
          <w:szCs w:val="24"/>
        </w:rPr>
        <w:t>Jiambalvo</w:t>
      </w:r>
      <w:r>
        <w:rPr>
          <w:rFonts w:ascii="Times New Roman" w:eastAsia="Times New Roman" w:hAnsi="Times New Roman" w:cs="Times New Roman"/>
          <w:sz w:val="24"/>
          <w:szCs w:val="24"/>
        </w:rPr>
        <w:t>, 2004, p 410). The replacement charges will also be incurred. These figures are accounted for within the management accounting branch, for en</w:t>
      </w:r>
      <w:r>
        <w:rPr>
          <w:rFonts w:ascii="Times New Roman" w:eastAsia="Times New Roman" w:hAnsi="Times New Roman" w:cs="Times New Roman"/>
          <w:sz w:val="24"/>
          <w:szCs w:val="24"/>
        </w:rPr>
        <w:t>suring better financial planning for the company (</w:t>
      </w:r>
      <w:r>
        <w:rPr>
          <w:rFonts w:ascii="Times New Roman" w:eastAsia="Times New Roman" w:hAnsi="Times New Roman" w:cs="Times New Roman"/>
          <w:sz w:val="24"/>
          <w:szCs w:val="24"/>
        </w:rPr>
        <w:t>Bhimani</w:t>
      </w:r>
      <w:r>
        <w:rPr>
          <w:rFonts w:ascii="Times New Roman" w:eastAsia="Times New Roman" w:hAnsi="Times New Roman" w:cs="Times New Roman"/>
          <w:sz w:val="24"/>
          <w:szCs w:val="24"/>
        </w:rPr>
        <w:t xml:space="preserve"> and Roberts, 2014).</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failure that might arise while steering the company operations towards control, needs assistance from an organisation for ensuring control (</w:t>
      </w:r>
      <w:r>
        <w:rPr>
          <w:rFonts w:ascii="Times New Roman" w:eastAsia="Times New Roman" w:hAnsi="Times New Roman" w:cs="Times New Roman"/>
          <w:sz w:val="24"/>
          <w:szCs w:val="24"/>
        </w:rPr>
        <w:t>Jiambalvo</w:t>
      </w:r>
      <w:r>
        <w:rPr>
          <w:rFonts w:ascii="Times New Roman" w:eastAsia="Times New Roman" w:hAnsi="Times New Roman" w:cs="Times New Roman"/>
          <w:sz w:val="24"/>
          <w:szCs w:val="24"/>
        </w:rPr>
        <w:t>, 2004, p 256). For insta</w:t>
      </w:r>
      <w:r>
        <w:rPr>
          <w:rFonts w:ascii="Times New Roman" w:eastAsia="Times New Roman" w:hAnsi="Times New Roman" w:cs="Times New Roman"/>
          <w:sz w:val="24"/>
          <w:szCs w:val="24"/>
        </w:rPr>
        <w:t xml:space="preserve">nce, the operating expenditure of an organisation like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might continue to grow which requires better supervision of management accounting principles for ensuring the costs do not rise over the period.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elements become interrelated in the ca</w:t>
      </w:r>
      <w:r>
        <w:rPr>
          <w:rFonts w:ascii="Times New Roman" w:eastAsia="Times New Roman" w:hAnsi="Times New Roman" w:cs="Times New Roman"/>
          <w:sz w:val="24"/>
          <w:szCs w:val="24"/>
        </w:rPr>
        <w:t>se of management accounting, and thus this branch of finances ensures that costs do not get out of hand, and whatever costs are applied as investments by the firm result in better profit margins, and the same profits are reinvested for organising asset man</w:t>
      </w:r>
      <w:r>
        <w:rPr>
          <w:rFonts w:ascii="Times New Roman" w:eastAsia="Times New Roman" w:hAnsi="Times New Roman" w:cs="Times New Roman"/>
          <w:sz w:val="24"/>
          <w:szCs w:val="24"/>
        </w:rPr>
        <w:t>agement and others, and finally ensuring that this continues within the company (</w:t>
      </w:r>
      <w:r>
        <w:rPr>
          <w:rFonts w:ascii="Times New Roman" w:eastAsia="Times New Roman" w:hAnsi="Times New Roman" w:cs="Times New Roman"/>
          <w:sz w:val="24"/>
          <w:szCs w:val="24"/>
        </w:rPr>
        <w:t>Jiambalvo</w:t>
      </w:r>
      <w:r>
        <w:rPr>
          <w:rFonts w:ascii="Times New Roman" w:eastAsia="Times New Roman" w:hAnsi="Times New Roman" w:cs="Times New Roman"/>
          <w:sz w:val="24"/>
          <w:szCs w:val="24"/>
        </w:rPr>
        <w:t xml:space="preserve">, 2004, p 375). </w:t>
      </w:r>
    </w:p>
    <w:p w:rsidR="002460FA" w:rsidP="001C2E5D">
      <w:pPr>
        <w:pStyle w:val="Heading1"/>
      </w:pPr>
      <w:bookmarkStart w:id="12" w:name="_Toc133338505"/>
      <w:r>
        <w:t>6.0 Conclusion</w:t>
      </w:r>
      <w:bookmarkEnd w:id="12"/>
      <w:r>
        <w:t xml:space="preserve">  </w:t>
      </w:r>
    </w:p>
    <w:p w:rsidR="002460F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concludes that financial reporting can vary through financial accounting and management accounting. Where financia</w:t>
      </w:r>
      <w:r>
        <w:rPr>
          <w:rFonts w:ascii="Times New Roman" w:eastAsia="Times New Roman" w:hAnsi="Times New Roman" w:cs="Times New Roman"/>
          <w:sz w:val="24"/>
          <w:szCs w:val="24"/>
        </w:rPr>
        <w:t>l accounting measures the financial transactions, in management accounting certain reports related to the recording and overall analysis of performance are distributed. Therefore, this assessment further concluded that consolidating financial accounting</w:t>
      </w:r>
      <w:r>
        <w:rPr>
          <w:rFonts w:ascii="Times New Roman" w:eastAsia="Times New Roman" w:hAnsi="Times New Roman" w:cs="Times New Roman"/>
          <w:sz w:val="24"/>
          <w:szCs w:val="24"/>
        </w:rPr>
        <w:t xml:space="preserve"> is a better branch of accounting, whereas, for cost management, principles of managerial accounting can be continuously applied. The study finally concludes, that through XYZ </w:t>
      </w:r>
      <w:r>
        <w:rPr>
          <w:rFonts w:ascii="Times New Roman" w:eastAsia="Times New Roman" w:hAnsi="Times New Roman" w:cs="Times New Roman"/>
          <w:sz w:val="24"/>
          <w:szCs w:val="24"/>
        </w:rPr>
        <w:t>plc</w:t>
      </w:r>
      <w:r>
        <w:rPr>
          <w:rFonts w:ascii="Times New Roman" w:eastAsia="Times New Roman" w:hAnsi="Times New Roman" w:cs="Times New Roman"/>
          <w:sz w:val="24"/>
          <w:szCs w:val="24"/>
        </w:rPr>
        <w:t xml:space="preserve"> different ratio computations revealed the liquidity position of a firm, the </w:t>
      </w:r>
      <w:r>
        <w:rPr>
          <w:rFonts w:ascii="Times New Roman" w:eastAsia="Times New Roman" w:hAnsi="Times New Roman" w:cs="Times New Roman"/>
          <w:sz w:val="24"/>
          <w:szCs w:val="24"/>
        </w:rPr>
        <w:t xml:space="preserve">cash holding capacity, debtor management, creditor management, and other factors. This allowed financial accounting-related considerations to be justified in the context of the company. </w:t>
      </w:r>
    </w:p>
    <w:p w:rsidR="002460FA">
      <w:pPr>
        <w:spacing w:line="360" w:lineRule="auto"/>
        <w:jc w:val="both"/>
        <w:rPr>
          <w:rFonts w:ascii="Times New Roman" w:eastAsia="Times New Roman" w:hAnsi="Times New Roman" w:cs="Times New Roman"/>
          <w:b/>
          <w:sz w:val="28"/>
          <w:szCs w:val="28"/>
        </w:rPr>
      </w:pPr>
      <w:r>
        <w:br w:type="page"/>
      </w:r>
    </w:p>
    <w:p w:rsidR="002460FA" w:rsidP="001C2E5D">
      <w:pPr>
        <w:pStyle w:val="Heading1"/>
      </w:pPr>
      <w:bookmarkStart w:id="13" w:name="_Toc133338506"/>
      <w:r>
        <w:t>References</w:t>
      </w:r>
      <w:bookmarkEnd w:id="13"/>
    </w:p>
    <w:p w:rsidR="008B28B7" w:rsidP="008B28B7">
      <w:pPr>
        <w:spacing w:line="360" w:lineRule="auto"/>
        <w:jc w:val="both"/>
        <w:rPr>
          <w:rFonts w:ascii="Times New Roman" w:eastAsia="Times New Roman" w:hAnsi="Times New Roman" w:cs="Times New Roman"/>
          <w:sz w:val="24"/>
          <w:szCs w:val="24"/>
        </w:rPr>
      </w:pP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Bhimani</w:t>
      </w:r>
      <w:r>
        <w:rPr>
          <w:rFonts w:ascii="Times New Roman" w:eastAsia="Times New Roman" w:hAnsi="Times New Roman" w:cs="Times New Roman"/>
          <w:sz w:val="24"/>
          <w:szCs w:val="24"/>
        </w:rPr>
        <w:t xml:space="preserve">, A. and Roberts, H. (2014). Management accounting and knowledge management: in search of intelligibility. </w:t>
      </w:r>
      <w:r>
        <w:rPr>
          <w:rFonts w:ascii="Times New Roman" w:eastAsia="Times New Roman" w:hAnsi="Times New Roman" w:cs="Times New Roman"/>
          <w:i/>
          <w:sz w:val="24"/>
          <w:szCs w:val="24"/>
        </w:rPr>
        <w:t>Management Accounting Research</w:t>
      </w:r>
      <w:r>
        <w:rPr>
          <w:rFonts w:ascii="Times New Roman" w:eastAsia="Times New Roman" w:hAnsi="Times New Roman" w:cs="Times New Roman"/>
          <w:sz w:val="24"/>
          <w:szCs w:val="24"/>
        </w:rPr>
        <w:t xml:space="preserve">, 15(1), pp.1–4.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://doi.org/10.1016/j.mar.2003.12.001.</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C.S.A., Huang, H.H. and Li, Y. (2014). Hedge Fund Intervention and Accounting Conservatism. </w:t>
      </w:r>
      <w:r>
        <w:rPr>
          <w:rFonts w:ascii="Times New Roman" w:eastAsia="Times New Roman" w:hAnsi="Times New Roman" w:cs="Times New Roman"/>
          <w:i/>
          <w:sz w:val="24"/>
          <w:szCs w:val="24"/>
        </w:rPr>
        <w:t>Contemporary Accounting Research</w:t>
      </w:r>
      <w:r>
        <w:rPr>
          <w:rFonts w:ascii="Times New Roman" w:eastAsia="Times New Roman" w:hAnsi="Times New Roman" w:cs="Times New Roman"/>
          <w:sz w:val="24"/>
          <w:szCs w:val="24"/>
        </w:rPr>
        <w:t xml:space="preserve">, 32(1), pp.392–421.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://doi.org/10.1111/1911-3846.12076.</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 S., </w:t>
      </w:r>
      <w:r>
        <w:rPr>
          <w:rFonts w:ascii="Times New Roman" w:eastAsia="Times New Roman" w:hAnsi="Times New Roman" w:cs="Times New Roman"/>
          <w:sz w:val="24"/>
          <w:szCs w:val="24"/>
        </w:rPr>
        <w:t>Warasniasih</w:t>
      </w:r>
      <w:r>
        <w:rPr>
          <w:rFonts w:ascii="Times New Roman" w:eastAsia="Times New Roman" w:hAnsi="Times New Roman" w:cs="Times New Roman"/>
          <w:sz w:val="24"/>
          <w:szCs w:val="24"/>
        </w:rPr>
        <w:t xml:space="preserve">, N.M.S. and </w:t>
      </w:r>
      <w:r>
        <w:rPr>
          <w:rFonts w:ascii="Times New Roman" w:eastAsia="Times New Roman" w:hAnsi="Times New Roman" w:cs="Times New Roman"/>
          <w:sz w:val="24"/>
          <w:szCs w:val="24"/>
        </w:rPr>
        <w:t>Masdiantini</w:t>
      </w:r>
      <w:r>
        <w:rPr>
          <w:rFonts w:ascii="Times New Roman" w:eastAsia="Times New Roman" w:hAnsi="Times New Roman" w:cs="Times New Roman"/>
          <w:sz w:val="24"/>
          <w:szCs w:val="24"/>
        </w:rPr>
        <w:t xml:space="preserve">, P.R. (2020). The Impact of the COVID-19 Pandemic on the Financial Performance of Firms on the Indonesia Stock Exchange. </w:t>
      </w:r>
      <w:r>
        <w:rPr>
          <w:rFonts w:ascii="Times New Roman" w:eastAsia="Times New Roman" w:hAnsi="Times New Roman" w:cs="Times New Roman"/>
          <w:i/>
          <w:sz w:val="24"/>
          <w:szCs w:val="24"/>
        </w:rPr>
        <w:t>Journal of Economics, Business, &amp; Accountancy Ventura</w:t>
      </w:r>
      <w:r>
        <w:rPr>
          <w:rFonts w:ascii="Times New Roman" w:eastAsia="Times New Roman" w:hAnsi="Times New Roman" w:cs="Times New Roman"/>
          <w:sz w:val="24"/>
          <w:szCs w:val="24"/>
        </w:rPr>
        <w:t xml:space="preserve">, 23(2).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://doi.org/10.14414/jebav.v23i2.2313.</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Dey</w:t>
      </w:r>
      <w:r>
        <w:rPr>
          <w:rFonts w:ascii="Times New Roman" w:eastAsia="Times New Roman" w:hAnsi="Times New Roman" w:cs="Times New Roman"/>
          <w:sz w:val="24"/>
          <w:szCs w:val="24"/>
        </w:rPr>
        <w:t xml:space="preserve"> Chowdhury, S., White, M., Thomas, M. and Husain, E. (2022). </w:t>
      </w:r>
      <w:r>
        <w:rPr>
          <w:rFonts w:ascii="Times New Roman" w:eastAsia="Times New Roman" w:hAnsi="Times New Roman" w:cs="Times New Roman"/>
          <w:i/>
          <w:sz w:val="24"/>
          <w:szCs w:val="24"/>
        </w:rPr>
        <w:t>Recent trends in the international trade flows of G7 economies - Office for National Statistics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www.ons.gov.uk. Available at: https://www.ons.gov.uk/businessindustryandtrade/internationaltrade/articles/recenttrendsintheinternationaltradeflowsofg7economies/2022-10-10 [Accessed 3 Apr. 2023].</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Dillard, J. and </w:t>
      </w:r>
      <w:r>
        <w:rPr>
          <w:rFonts w:ascii="Times New Roman" w:eastAsia="Times New Roman" w:hAnsi="Times New Roman" w:cs="Times New Roman"/>
          <w:sz w:val="24"/>
          <w:szCs w:val="24"/>
        </w:rPr>
        <w:t>Vinnari</w:t>
      </w:r>
      <w:r>
        <w:rPr>
          <w:rFonts w:ascii="Times New Roman" w:eastAsia="Times New Roman" w:hAnsi="Times New Roman" w:cs="Times New Roman"/>
          <w:sz w:val="24"/>
          <w:szCs w:val="24"/>
        </w:rPr>
        <w:t xml:space="preserve">, E. (2018). Critical dialogical accountability: From accounting-based accountability to accountability-based accounting. </w:t>
      </w:r>
      <w:r>
        <w:rPr>
          <w:rFonts w:ascii="Times New Roman" w:eastAsia="Times New Roman" w:hAnsi="Times New Roman" w:cs="Times New Roman"/>
          <w:i/>
          <w:sz w:val="24"/>
          <w:szCs w:val="24"/>
        </w:rPr>
        <w:t>Critical Perspectives on Accounting</w:t>
      </w:r>
      <w:r>
        <w:rPr>
          <w:rFonts w:ascii="Times New Roman" w:eastAsia="Times New Roman" w:hAnsi="Times New Roman" w:cs="Times New Roman"/>
          <w:sz w:val="24"/>
          <w:szCs w:val="24"/>
        </w:rPr>
        <w:t xml:space="preserve">, 62. </w:t>
      </w:r>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w:t>
      </w:r>
      <w:hyperlink r:id="rId5">
        <w:r>
          <w:rPr>
            <w:rFonts w:ascii="Times New Roman" w:eastAsia="Times New Roman" w:hAnsi="Times New Roman" w:cs="Times New Roman"/>
            <w:sz w:val="24"/>
            <w:szCs w:val="24"/>
          </w:rPr>
          <w:t>https</w:t>
        </w:r>
        <w:r>
          <w:rPr>
            <w:rFonts w:ascii="Times New Roman" w:eastAsia="Times New Roman" w:hAnsi="Times New Roman" w:cs="Times New Roman"/>
            <w:sz w:val="24"/>
            <w:szCs w:val="24"/>
          </w:rPr>
          <w:t>://doi.org/10.1016/j.cpa.2018.10.003</w:t>
        </w:r>
      </w:hyperlink>
      <w:r>
        <w:rPr>
          <w:rFonts w:ascii="Times New Roman" w:eastAsia="Times New Roman" w:hAnsi="Times New Roman" w:cs="Times New Roman"/>
          <w:sz w:val="24"/>
          <w:szCs w:val="24"/>
        </w:rPr>
        <w:t>.</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Fusfeld</w:t>
      </w:r>
      <w:r>
        <w:rPr>
          <w:rFonts w:ascii="Times New Roman" w:eastAsia="Times New Roman" w:hAnsi="Times New Roman" w:cs="Times New Roman"/>
          <w:sz w:val="24"/>
          <w:szCs w:val="24"/>
        </w:rPr>
        <w:t xml:space="preserve">, D.R. (1977). The Development of Economic Institutions. </w:t>
      </w:r>
      <w:r>
        <w:rPr>
          <w:rFonts w:ascii="Times New Roman" w:eastAsia="Times New Roman" w:hAnsi="Times New Roman" w:cs="Times New Roman"/>
          <w:i/>
          <w:sz w:val="24"/>
          <w:szCs w:val="24"/>
        </w:rPr>
        <w:t>Journal of Economic Issues</w:t>
      </w:r>
      <w:r>
        <w:rPr>
          <w:rFonts w:ascii="Times New Roman" w:eastAsia="Times New Roman" w:hAnsi="Times New Roman" w:cs="Times New Roman"/>
          <w:sz w:val="24"/>
          <w:szCs w:val="24"/>
        </w:rPr>
        <w:t xml:space="preserve">, 11(4), pp.743–784.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://doi.org/10.1080/00213624.1977.11503484.</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Garrett, S. and James III, R.N. (2019). Financial Ratios and Perceived Household Financial Satisfaction. </w:t>
      </w:r>
      <w:r>
        <w:rPr>
          <w:rFonts w:ascii="Times New Roman" w:eastAsia="Times New Roman" w:hAnsi="Times New Roman" w:cs="Times New Roman"/>
          <w:i/>
          <w:sz w:val="24"/>
          <w:szCs w:val="24"/>
        </w:rPr>
        <w:t>Journal of Financial Therapy</w:t>
      </w:r>
      <w:r>
        <w:rPr>
          <w:rFonts w:ascii="Times New Roman" w:eastAsia="Times New Roman" w:hAnsi="Times New Roman" w:cs="Times New Roman"/>
          <w:sz w:val="24"/>
          <w:szCs w:val="24"/>
        </w:rPr>
        <w:t xml:space="preserve">, 4(1).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://doi.org/10.4148/jft.v4i1.1839.</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Halíř</w:t>
      </w:r>
      <w:r>
        <w:rPr>
          <w:rFonts w:ascii="Times New Roman" w:eastAsia="Times New Roman" w:hAnsi="Times New Roman" w:cs="Times New Roman"/>
          <w:sz w:val="24"/>
          <w:szCs w:val="24"/>
        </w:rPr>
        <w:t xml:space="preserve">, Z. (2015). Accounting System and Financial Performance Measurements. </w:t>
      </w:r>
      <w:r>
        <w:rPr>
          <w:rFonts w:ascii="Times New Roman" w:eastAsia="Times New Roman" w:hAnsi="Times New Roman" w:cs="Times New Roman"/>
          <w:i/>
          <w:sz w:val="24"/>
          <w:szCs w:val="24"/>
        </w:rPr>
        <w:t>European Financial and Accounting Journal</w:t>
      </w:r>
      <w:r>
        <w:rPr>
          <w:rFonts w:ascii="Times New Roman" w:eastAsia="Times New Roman" w:hAnsi="Times New Roman" w:cs="Times New Roman"/>
          <w:sz w:val="24"/>
          <w:szCs w:val="24"/>
        </w:rPr>
        <w:t xml:space="preserve">, 2011(3), pp.38–65.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://doi.org/10.18267/j.efaj.25.</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Jiambalvo</w:t>
      </w:r>
      <w:r>
        <w:rPr>
          <w:rFonts w:ascii="Times New Roman" w:eastAsia="Times New Roman" w:hAnsi="Times New Roman" w:cs="Times New Roman"/>
          <w:sz w:val="24"/>
          <w:szCs w:val="24"/>
        </w:rPr>
        <w:t xml:space="preserve">, J. (2004). </w:t>
      </w:r>
      <w:r>
        <w:rPr>
          <w:rFonts w:ascii="Times New Roman" w:eastAsia="Times New Roman" w:hAnsi="Times New Roman" w:cs="Times New Roman"/>
          <w:i/>
          <w:sz w:val="24"/>
          <w:szCs w:val="24"/>
        </w:rPr>
        <w:t>Managerial Accounting</w:t>
      </w:r>
      <w:r>
        <w:rPr>
          <w:rFonts w:ascii="Times New Roman" w:eastAsia="Times New Roman" w:hAnsi="Times New Roman" w:cs="Times New Roman"/>
          <w:sz w:val="24"/>
          <w:szCs w:val="24"/>
        </w:rPr>
        <w:t xml:space="preserve">. Hoboken, New Jersey, United States: John Wiley &amp; </w:t>
      </w:r>
      <w:r>
        <w:rPr>
          <w:rFonts w:ascii="Times New Roman" w:eastAsia="Times New Roman" w:hAnsi="Times New Roman" w:cs="Times New Roman"/>
          <w:sz w:val="24"/>
          <w:szCs w:val="24"/>
        </w:rPr>
        <w:t>Sons.,</w:t>
      </w:r>
      <w:r>
        <w:rPr>
          <w:rFonts w:ascii="Times New Roman" w:eastAsia="Times New Roman" w:hAnsi="Times New Roman" w:cs="Times New Roman"/>
          <w:sz w:val="24"/>
          <w:szCs w:val="24"/>
        </w:rPr>
        <w:t xml:space="preserve"> pp.1–650.</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Kimmel, P.D., </w:t>
      </w:r>
      <w:r>
        <w:rPr>
          <w:rFonts w:ascii="Times New Roman" w:eastAsia="Times New Roman" w:hAnsi="Times New Roman" w:cs="Times New Roman"/>
          <w:sz w:val="24"/>
          <w:szCs w:val="24"/>
        </w:rPr>
        <w:t>Weygandt</w:t>
      </w:r>
      <w:r>
        <w:rPr>
          <w:rFonts w:ascii="Times New Roman" w:eastAsia="Times New Roman" w:hAnsi="Times New Roman" w:cs="Times New Roman"/>
          <w:sz w:val="24"/>
          <w:szCs w:val="24"/>
        </w:rPr>
        <w:t xml:space="preserve">, J.J. and </w:t>
      </w:r>
      <w:r>
        <w:rPr>
          <w:rFonts w:ascii="Times New Roman" w:eastAsia="Times New Roman" w:hAnsi="Times New Roman" w:cs="Times New Roman"/>
          <w:sz w:val="24"/>
          <w:szCs w:val="24"/>
        </w:rPr>
        <w:t>Kieso</w:t>
      </w:r>
      <w:r>
        <w:rPr>
          <w:rFonts w:ascii="Times New Roman" w:eastAsia="Times New Roman" w:hAnsi="Times New Roman" w:cs="Times New Roman"/>
          <w:sz w:val="24"/>
          <w:szCs w:val="24"/>
        </w:rPr>
        <w:t xml:space="preserve">, D.E. (2009). </w:t>
      </w:r>
      <w:r>
        <w:rPr>
          <w:rFonts w:ascii="Times New Roman" w:eastAsia="Times New Roman" w:hAnsi="Times New Roman" w:cs="Times New Roman"/>
          <w:i/>
          <w:sz w:val="24"/>
          <w:szCs w:val="24"/>
        </w:rPr>
        <w:t>Financial Accounting</w:t>
      </w:r>
      <w:r>
        <w:rPr>
          <w:rFonts w:ascii="Times New Roman" w:eastAsia="Times New Roman" w:hAnsi="Times New Roman" w:cs="Times New Roman"/>
          <w:sz w:val="24"/>
          <w:szCs w:val="24"/>
        </w:rPr>
        <w:t>. Wiley.</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Marek</w:t>
      </w:r>
      <w:r>
        <w:rPr>
          <w:rFonts w:ascii="Times New Roman" w:eastAsia="Times New Roman" w:hAnsi="Times New Roman" w:cs="Times New Roman"/>
          <w:sz w:val="24"/>
          <w:szCs w:val="24"/>
        </w:rPr>
        <w:t xml:space="preserve">, P. (2008). Financial Crisis, </w:t>
      </w:r>
      <w:r>
        <w:rPr>
          <w:rFonts w:ascii="Times New Roman" w:eastAsia="Times New Roman" w:hAnsi="Times New Roman" w:cs="Times New Roman"/>
          <w:sz w:val="24"/>
          <w:szCs w:val="24"/>
        </w:rPr>
        <w:t>Fall</w:t>
      </w:r>
      <w:r>
        <w:rPr>
          <w:rFonts w:ascii="Times New Roman" w:eastAsia="Times New Roman" w:hAnsi="Times New Roman" w:cs="Times New Roman"/>
          <w:sz w:val="24"/>
          <w:szCs w:val="24"/>
        </w:rPr>
        <w:t xml:space="preserve"> and Financial Theory. </w:t>
      </w:r>
      <w:r>
        <w:rPr>
          <w:rFonts w:ascii="Times New Roman" w:eastAsia="Times New Roman" w:hAnsi="Times New Roman" w:cs="Times New Roman"/>
          <w:i/>
          <w:sz w:val="24"/>
          <w:szCs w:val="24"/>
        </w:rPr>
        <w:t>European Financial and Accounting Journal</w:t>
      </w:r>
      <w:r>
        <w:rPr>
          <w:rFonts w:ascii="Times New Roman" w:eastAsia="Times New Roman" w:hAnsi="Times New Roman" w:cs="Times New Roman"/>
          <w:sz w:val="24"/>
          <w:szCs w:val="24"/>
        </w:rPr>
        <w:t xml:space="preserve">, 2008(4), pp.4–5.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://doi.org/10.18267/j.efaj.86.</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Ons.gov.uk (2018). </w:t>
      </w:r>
      <w:r>
        <w:rPr>
          <w:rFonts w:ascii="Times New Roman" w:eastAsia="Times New Roman" w:hAnsi="Times New Roman" w:cs="Times New Roman"/>
          <w:i/>
          <w:sz w:val="24"/>
          <w:szCs w:val="24"/>
        </w:rPr>
        <w:t>Average household income, UK - Office for National Statistics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www.ons.gov.uk. Available at: https://www.ons.gov.uk/peoplepopulationandcommunity/personalandhouseholdfinances/incomeandwealth/bulletins/householddisposableincomeandinequality/financialyearending2022#:~:text=Median%20 income%20for%20the%20 richest [Accessed 3 Apr. 2023].</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Pope, T. and </w:t>
      </w:r>
      <w:r>
        <w:rPr>
          <w:rFonts w:ascii="Times New Roman" w:eastAsia="Times New Roman" w:hAnsi="Times New Roman" w:cs="Times New Roman"/>
          <w:sz w:val="24"/>
          <w:szCs w:val="24"/>
        </w:rPr>
        <w:t>Hourston</w:t>
      </w:r>
      <w:r>
        <w:rPr>
          <w:rFonts w:ascii="Times New Roman" w:eastAsia="Times New Roman" w:hAnsi="Times New Roman" w:cs="Times New Roman"/>
          <w:sz w:val="24"/>
          <w:szCs w:val="24"/>
        </w:rPr>
        <w:t xml:space="preserve">, P. (2020). </w:t>
      </w:r>
      <w:r>
        <w:rPr>
          <w:rFonts w:ascii="Times New Roman" w:eastAsia="Times New Roman" w:hAnsi="Times New Roman" w:cs="Times New Roman"/>
          <w:i/>
          <w:sz w:val="24"/>
          <w:szCs w:val="24"/>
        </w:rPr>
        <w:t>Current UK fiscal rules</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Institute for Government. Available at: https://www.instituteforgovernment.org.uk/explainer/current-fiscal-rules [Accessed 3 Apr. 2023].</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Soin</w:t>
      </w:r>
      <w:r>
        <w:rPr>
          <w:rFonts w:ascii="Times New Roman" w:eastAsia="Times New Roman" w:hAnsi="Times New Roman" w:cs="Times New Roman"/>
          <w:sz w:val="24"/>
          <w:szCs w:val="24"/>
        </w:rPr>
        <w:t xml:space="preserve">, K. and Collier, P. (2013). Risk and risk management in management accounting and control. </w:t>
      </w:r>
      <w:r>
        <w:rPr>
          <w:rFonts w:ascii="Times New Roman" w:eastAsia="Times New Roman" w:hAnsi="Times New Roman" w:cs="Times New Roman"/>
          <w:i/>
          <w:sz w:val="24"/>
          <w:szCs w:val="24"/>
        </w:rPr>
        <w:t>Management Accounting Research</w:t>
      </w:r>
      <w:r>
        <w:rPr>
          <w:rFonts w:ascii="Times New Roman" w:eastAsia="Times New Roman" w:hAnsi="Times New Roman" w:cs="Times New Roman"/>
          <w:sz w:val="24"/>
          <w:szCs w:val="24"/>
        </w:rPr>
        <w:t xml:space="preserve">, 24(2), pp.82–87. </w:t>
      </w:r>
      <w:r>
        <w:rPr>
          <w:rFonts w:ascii="Times New Roman" w:eastAsia="Times New Roman" w:hAnsi="Times New Roman" w:cs="Times New Roman"/>
          <w:sz w:val="24"/>
          <w:szCs w:val="24"/>
        </w:rPr>
        <w:t>doi:https</w:t>
      </w:r>
      <w:r>
        <w:rPr>
          <w:rFonts w:ascii="Times New Roman" w:eastAsia="Times New Roman" w:hAnsi="Times New Roman" w:cs="Times New Roman"/>
          <w:sz w:val="24"/>
          <w:szCs w:val="24"/>
        </w:rPr>
        <w:t>://doi.org/10.1016/j.mar.2013.04.003.</w:t>
      </w:r>
    </w:p>
    <w:p w:rsidR="008B28B7" w:rsidP="008B28B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Wahlen</w:t>
      </w:r>
      <w:r>
        <w:rPr>
          <w:rFonts w:ascii="Times New Roman" w:eastAsia="Times New Roman" w:hAnsi="Times New Roman" w:cs="Times New Roman"/>
          <w:sz w:val="24"/>
          <w:szCs w:val="24"/>
        </w:rPr>
        <w:t xml:space="preserve">, J.M., </w:t>
      </w:r>
      <w:r>
        <w:rPr>
          <w:rFonts w:ascii="Times New Roman" w:eastAsia="Times New Roman" w:hAnsi="Times New Roman" w:cs="Times New Roman"/>
          <w:sz w:val="24"/>
          <w:szCs w:val="24"/>
        </w:rPr>
        <w:t>Baginski</w:t>
      </w:r>
      <w:r>
        <w:rPr>
          <w:rFonts w:ascii="Times New Roman" w:eastAsia="Times New Roman" w:hAnsi="Times New Roman" w:cs="Times New Roman"/>
          <w:sz w:val="24"/>
          <w:szCs w:val="24"/>
        </w:rPr>
        <w:t xml:space="preserve">, S.P. and Bradshaw, M.T. (2011). </w:t>
      </w:r>
      <w:r>
        <w:rPr>
          <w:rFonts w:ascii="Times New Roman" w:eastAsia="Times New Roman" w:hAnsi="Times New Roman" w:cs="Times New Roman"/>
          <w:i/>
          <w:sz w:val="24"/>
          <w:szCs w:val="24"/>
        </w:rPr>
        <w:t>Financial reporting, financial statement analysis, and valuation from a strategic perspective</w:t>
      </w:r>
      <w:r>
        <w:rPr>
          <w:rFonts w:ascii="Times New Roman" w:eastAsia="Times New Roman" w:hAnsi="Times New Roman" w:cs="Times New Roman"/>
          <w:sz w:val="24"/>
          <w:szCs w:val="24"/>
        </w:rPr>
        <w:t>. Mason, Ohio U.A.] Thomson [U.A.</w:t>
      </w:r>
    </w:p>
    <w:sectPr w:rsidSect="001C2E5D">
      <w:footerReference w:type="default" r:id="rId6"/>
      <w:pgSz w:w="11909" w:h="16834"/>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43597145"/>
      <w:docPartObj>
        <w:docPartGallery w:val="Page Numbers (Bottom of Page)"/>
        <w:docPartUnique/>
      </w:docPartObj>
    </w:sdtPr>
    <w:sdtEndPr>
      <w:rPr>
        <w:noProof/>
      </w:rPr>
    </w:sdtEndPr>
    <w:sdtContent>
      <w:p w:rsidR="001C2E5D">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1C2E5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FA"/>
    <w:rsid w:val="001C2E5D"/>
    <w:rsid w:val="002460FA"/>
    <w:rsid w:val="008B28B7"/>
    <w:rsid w:val="00D06FD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D5BA94FE-C555-4A29-8003-442E425B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8B28B7"/>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8B28B7"/>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tblPr>
      <w:tblStyleRowBandSize w:val="1"/>
      <w:tblStyleColBandSize w:val="1"/>
      <w:tblInd w:w="0" w:type="dxa"/>
      <w:tblCellMar>
        <w:top w:w="100" w:type="dxa"/>
        <w:left w:w="100" w:type="dxa"/>
        <w:bottom w:w="100" w:type="dxa"/>
        <w:right w:w="100" w:type="dxa"/>
      </w:tblCellMar>
    </w:tblPr>
  </w:style>
  <w:style w:type="table" w:customStyle="1" w:styleId="a3">
    <w:name w:val="a3"/>
    <w:basedOn w:val="TableNormal"/>
    <w:tblPr>
      <w:tblStyleRowBandSize w:val="1"/>
      <w:tblStyleColBandSize w:val="1"/>
      <w:tblInd w:w="0" w:type="dxa"/>
      <w:tblCellMar>
        <w:top w:w="100" w:type="dxa"/>
        <w:left w:w="100" w:type="dxa"/>
        <w:bottom w:w="100" w:type="dxa"/>
        <w:right w:w="100" w:type="dxa"/>
      </w:tblCellMar>
    </w:tblPr>
  </w:style>
  <w:style w:type="table" w:customStyle="1" w:styleId="a4">
    <w:name w:val="a4"/>
    <w:basedOn w:val="TableNormal"/>
    <w:tblPr>
      <w:tblStyleRowBandSize w:val="1"/>
      <w:tblStyleColBandSize w:val="1"/>
      <w:tblInd w:w="0" w:type="dxa"/>
      <w:tblCellMar>
        <w:top w:w="100" w:type="dxa"/>
        <w:left w:w="100" w:type="dxa"/>
        <w:bottom w:w="100" w:type="dxa"/>
        <w:right w:w="100" w:type="dxa"/>
      </w:tblCellMar>
    </w:tblPr>
  </w:style>
  <w:style w:type="table" w:customStyle="1" w:styleId="a5">
    <w:name w:val="a5"/>
    <w:basedOn w:val="TableNormal"/>
    <w:tblPr>
      <w:tblStyleRowBandSize w:val="1"/>
      <w:tblStyleColBandSize w:val="1"/>
      <w:tblInd w:w="0" w:type="dxa"/>
      <w:tblCellMar>
        <w:top w:w="100" w:type="dxa"/>
        <w:left w:w="100" w:type="dxa"/>
        <w:bottom w:w="100" w:type="dxa"/>
        <w:right w:w="100" w:type="dxa"/>
      </w:tblCellMar>
    </w:tblPr>
  </w:style>
  <w:style w:type="table" w:customStyle="1" w:styleId="a6">
    <w:name w:val="a6"/>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C2E5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C2E5D"/>
    <w:pPr>
      <w:spacing w:after="100"/>
    </w:pPr>
  </w:style>
  <w:style w:type="paragraph" w:styleId="TOC2">
    <w:name w:val="toc 2"/>
    <w:basedOn w:val="Normal"/>
    <w:next w:val="Normal"/>
    <w:autoRedefine/>
    <w:uiPriority w:val="39"/>
    <w:unhideWhenUsed/>
    <w:rsid w:val="001C2E5D"/>
    <w:pPr>
      <w:spacing w:after="100"/>
      <w:ind w:left="220"/>
    </w:pPr>
  </w:style>
  <w:style w:type="character" w:styleId="Hyperlink">
    <w:name w:val="Hyperlink"/>
    <w:basedOn w:val="DefaultParagraphFont"/>
    <w:uiPriority w:val="99"/>
    <w:unhideWhenUsed/>
    <w:rsid w:val="001C2E5D"/>
    <w:rPr>
      <w:color w:val="0000FF" w:themeColor="hyperlink"/>
      <w:u w:val="single"/>
    </w:rPr>
  </w:style>
  <w:style w:type="paragraph" w:styleId="Header">
    <w:name w:val="header"/>
    <w:basedOn w:val="Normal"/>
    <w:link w:val="HeaderChar"/>
    <w:uiPriority w:val="99"/>
    <w:unhideWhenUsed/>
    <w:rsid w:val="001C2E5D"/>
    <w:pPr>
      <w:tabs>
        <w:tab w:val="center" w:pos="4513"/>
        <w:tab w:val="right" w:pos="9026"/>
      </w:tabs>
      <w:spacing w:line="240" w:lineRule="auto"/>
    </w:pPr>
  </w:style>
  <w:style w:type="character" w:customStyle="1" w:styleId="HeaderChar">
    <w:name w:val="Header Char"/>
    <w:basedOn w:val="DefaultParagraphFont"/>
    <w:link w:val="Header"/>
    <w:uiPriority w:val="99"/>
    <w:rsid w:val="001C2E5D"/>
  </w:style>
  <w:style w:type="paragraph" w:styleId="Footer">
    <w:name w:val="footer"/>
    <w:basedOn w:val="Normal"/>
    <w:link w:val="FooterChar"/>
    <w:uiPriority w:val="99"/>
    <w:unhideWhenUsed/>
    <w:rsid w:val="001C2E5D"/>
    <w:pPr>
      <w:tabs>
        <w:tab w:val="center" w:pos="4513"/>
        <w:tab w:val="right" w:pos="9026"/>
      </w:tabs>
      <w:spacing w:line="240" w:lineRule="auto"/>
    </w:pPr>
  </w:style>
  <w:style w:type="character" w:customStyle="1" w:styleId="FooterChar">
    <w:name w:val="Footer Char"/>
    <w:basedOn w:val="DefaultParagraphFont"/>
    <w:link w:val="Footer"/>
    <w:uiPriority w:val="99"/>
    <w:rsid w:val="001C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doi.org/10.1016/j.cpa.2018.10.003"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C245-C2FA-49CD-A375-1726B4CF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3205</Words>
  <Characters>18273</Characters>
  <Application>Microsoft Office Word</Application>
  <DocSecurity>0</DocSecurity>
  <Lines>152</Lines>
  <Paragraphs>42</Paragraphs>
  <ScaleCrop>false</ScaleCrop>
  <Company/>
  <LinksUpToDate>false</LinksUpToDate>
  <CharactersWithSpaces>21436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2023-04-25T12:33:00Z</dcterms:created>
  <dcterms:modified xsi:type="dcterms:W3CDTF">2023-04-25T12:38:00Z</dcterms:modified>
</cp:coreProperties>
</file>