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69D" w:rsidRPr="00D01EFA" w:rsidRDefault="00DB269D" w:rsidP="00DB269D">
      <w:pPr>
        <w:spacing w:line="360" w:lineRule="auto"/>
        <w:rPr>
          <w:b/>
          <w:sz w:val="32"/>
          <w:szCs w:val="32"/>
          <w:lang w:val="en-GB"/>
        </w:rPr>
      </w:pPr>
    </w:p>
    <w:p w:rsidR="00DB269D" w:rsidRPr="00D01EFA" w:rsidRDefault="00DB269D" w:rsidP="00DB269D">
      <w:pPr>
        <w:spacing w:line="360" w:lineRule="auto"/>
        <w:rPr>
          <w:b/>
          <w:sz w:val="32"/>
          <w:szCs w:val="32"/>
          <w:lang w:val="en-GB"/>
        </w:rPr>
      </w:pPr>
    </w:p>
    <w:p w:rsidR="00DB269D" w:rsidRPr="00D01EFA" w:rsidRDefault="00DB269D" w:rsidP="00DB269D">
      <w:pPr>
        <w:spacing w:line="360" w:lineRule="auto"/>
        <w:rPr>
          <w:b/>
          <w:sz w:val="32"/>
          <w:szCs w:val="32"/>
          <w:lang w:val="en-GB"/>
        </w:rPr>
      </w:pPr>
    </w:p>
    <w:p w:rsidR="00DB269D" w:rsidRPr="00D01EFA" w:rsidRDefault="00DB269D" w:rsidP="00DB269D">
      <w:pPr>
        <w:spacing w:line="360" w:lineRule="auto"/>
        <w:rPr>
          <w:b/>
          <w:sz w:val="32"/>
          <w:szCs w:val="32"/>
          <w:lang w:val="en-GB"/>
        </w:rPr>
      </w:pPr>
    </w:p>
    <w:p w:rsidR="00DB269D" w:rsidRPr="00D01EFA" w:rsidRDefault="00DB269D" w:rsidP="00DB269D">
      <w:pPr>
        <w:spacing w:line="360" w:lineRule="auto"/>
        <w:rPr>
          <w:b/>
          <w:sz w:val="32"/>
          <w:szCs w:val="32"/>
          <w:lang w:val="en-GB"/>
        </w:rPr>
      </w:pPr>
    </w:p>
    <w:p w:rsidR="00DB269D" w:rsidRPr="00D01EFA" w:rsidRDefault="00DB269D" w:rsidP="00DB269D">
      <w:pPr>
        <w:spacing w:line="360" w:lineRule="auto"/>
        <w:rPr>
          <w:b/>
          <w:sz w:val="32"/>
          <w:szCs w:val="32"/>
          <w:lang w:val="en-GB"/>
        </w:rPr>
      </w:pPr>
    </w:p>
    <w:p w:rsidR="00DB269D" w:rsidRPr="00D01EFA" w:rsidRDefault="00DB269D" w:rsidP="00DB269D">
      <w:pPr>
        <w:spacing w:line="360" w:lineRule="auto"/>
        <w:rPr>
          <w:b/>
          <w:sz w:val="32"/>
          <w:szCs w:val="32"/>
          <w:lang w:val="en-GB"/>
        </w:rPr>
      </w:pPr>
    </w:p>
    <w:p w:rsidR="00DB269D" w:rsidRPr="00D01EFA" w:rsidRDefault="00DB269D" w:rsidP="00DB269D">
      <w:pPr>
        <w:spacing w:line="360" w:lineRule="auto"/>
        <w:rPr>
          <w:b/>
          <w:sz w:val="32"/>
          <w:szCs w:val="32"/>
          <w:lang w:val="en-GB"/>
        </w:rPr>
      </w:pPr>
    </w:p>
    <w:p w:rsidR="00DB269D" w:rsidRPr="00D01EFA" w:rsidRDefault="00DB269D" w:rsidP="00DB269D">
      <w:pPr>
        <w:spacing w:line="360" w:lineRule="auto"/>
        <w:rPr>
          <w:b/>
          <w:sz w:val="32"/>
          <w:szCs w:val="32"/>
          <w:lang w:val="en-GB"/>
        </w:rPr>
      </w:pPr>
    </w:p>
    <w:p w:rsidR="00DB269D" w:rsidRPr="00D01EFA" w:rsidRDefault="00DB269D" w:rsidP="00DB269D">
      <w:pPr>
        <w:spacing w:line="360" w:lineRule="auto"/>
        <w:rPr>
          <w:b/>
          <w:sz w:val="32"/>
          <w:szCs w:val="32"/>
          <w:lang w:val="en-GB"/>
        </w:rPr>
      </w:pPr>
    </w:p>
    <w:p w:rsidR="00DB269D" w:rsidRPr="00D01EFA" w:rsidRDefault="00DB269D" w:rsidP="00DB269D">
      <w:pPr>
        <w:spacing w:line="360" w:lineRule="auto"/>
        <w:rPr>
          <w:b/>
          <w:sz w:val="32"/>
          <w:szCs w:val="32"/>
          <w:lang w:val="en-GB"/>
        </w:rPr>
      </w:pPr>
    </w:p>
    <w:p w:rsidR="00DB269D" w:rsidRPr="00D01EFA" w:rsidRDefault="00DB269D" w:rsidP="00DB269D">
      <w:pPr>
        <w:spacing w:line="360" w:lineRule="auto"/>
        <w:rPr>
          <w:b/>
          <w:sz w:val="32"/>
          <w:szCs w:val="32"/>
          <w:highlight w:val="white"/>
          <w:lang w:val="en-GB"/>
        </w:rPr>
      </w:pPr>
      <w:r w:rsidRPr="00D01EFA">
        <w:rPr>
          <w:b/>
          <w:sz w:val="32"/>
          <w:szCs w:val="32"/>
          <w:lang w:val="en-GB"/>
        </w:rPr>
        <w:t>APC308 FINANCIAL MANAGEMENT</w:t>
      </w:r>
    </w:p>
    <w:p w:rsidR="00D03F9E" w:rsidRPr="00D01EFA" w:rsidRDefault="00A14766">
      <w:pPr>
        <w:pStyle w:val="normal0"/>
        <w:rPr>
          <w:lang w:val="en-GB"/>
        </w:rPr>
      </w:pPr>
      <w:r w:rsidRPr="00D01EFA">
        <w:rPr>
          <w:lang w:val="en-GB"/>
        </w:rPr>
        <w:br w:type="page"/>
      </w:r>
    </w:p>
    <w:sdt>
      <w:sdtPr>
        <w:rPr>
          <w:rFonts w:ascii="Times New Roman" w:eastAsia="Times New Roman" w:hAnsi="Times New Roman" w:cs="Times New Roman"/>
          <w:b w:val="0"/>
          <w:bCs w:val="0"/>
          <w:color w:val="auto"/>
          <w:sz w:val="24"/>
          <w:szCs w:val="24"/>
          <w:lang w:val="en-GB"/>
        </w:rPr>
        <w:id w:val="27661786"/>
        <w:docPartObj>
          <w:docPartGallery w:val="Table of Contents"/>
          <w:docPartUnique/>
        </w:docPartObj>
      </w:sdtPr>
      <w:sdtContent>
        <w:p w:rsidR="00A57612" w:rsidRPr="00D01EFA" w:rsidRDefault="00A57612" w:rsidP="00A57612">
          <w:pPr>
            <w:pStyle w:val="TOCHeading"/>
            <w:jc w:val="center"/>
            <w:rPr>
              <w:color w:val="auto"/>
              <w:lang w:val="en-GB"/>
            </w:rPr>
          </w:pPr>
          <w:r w:rsidRPr="00D01EFA">
            <w:rPr>
              <w:rFonts w:ascii="Times New Roman" w:hAnsi="Times New Roman" w:cs="Times New Roman"/>
              <w:color w:val="auto"/>
              <w:sz w:val="24"/>
              <w:lang w:val="en-GB"/>
            </w:rPr>
            <w:t>Table of contents</w:t>
          </w:r>
        </w:p>
        <w:p w:rsidR="005E57EE" w:rsidRPr="00D01EFA" w:rsidRDefault="00D854FE">
          <w:pPr>
            <w:pStyle w:val="TOC1"/>
            <w:tabs>
              <w:tab w:val="right" w:leader="dot" w:pos="9019"/>
            </w:tabs>
            <w:rPr>
              <w:rFonts w:asciiTheme="minorHAnsi" w:eastAsiaTheme="minorEastAsia" w:hAnsiTheme="minorHAnsi" w:cstheme="minorBidi"/>
              <w:noProof/>
              <w:sz w:val="22"/>
              <w:szCs w:val="22"/>
              <w:lang w:val="en-GB"/>
            </w:rPr>
          </w:pPr>
          <w:r w:rsidRPr="00D01EFA">
            <w:rPr>
              <w:lang w:val="en-GB"/>
            </w:rPr>
            <w:fldChar w:fldCharType="begin"/>
          </w:r>
          <w:r w:rsidR="00A57612" w:rsidRPr="00D01EFA">
            <w:rPr>
              <w:lang w:val="en-GB"/>
            </w:rPr>
            <w:instrText xml:space="preserve"> TOC \o "1-3" \h \z \u </w:instrText>
          </w:r>
          <w:r w:rsidRPr="00D01EFA">
            <w:rPr>
              <w:lang w:val="en-GB"/>
            </w:rPr>
            <w:fldChar w:fldCharType="separate"/>
          </w:r>
          <w:hyperlink w:anchor="_Toc132646767" w:history="1">
            <w:r w:rsidR="005E57EE" w:rsidRPr="00D01EFA">
              <w:rPr>
                <w:rStyle w:val="Hyperlink"/>
                <w:noProof/>
                <w:lang w:val="en-GB"/>
              </w:rPr>
              <w:t>Question 1- Cost of capital and Capital structure</w:t>
            </w:r>
            <w:r w:rsidR="005E57EE" w:rsidRPr="00D01EFA">
              <w:rPr>
                <w:noProof/>
                <w:webHidden/>
                <w:lang w:val="en-GB"/>
              </w:rPr>
              <w:tab/>
            </w:r>
            <w:r w:rsidRPr="00D01EFA">
              <w:rPr>
                <w:noProof/>
                <w:webHidden/>
                <w:lang w:val="en-GB"/>
              </w:rPr>
              <w:fldChar w:fldCharType="begin"/>
            </w:r>
            <w:r w:rsidR="005E57EE" w:rsidRPr="00D01EFA">
              <w:rPr>
                <w:noProof/>
                <w:webHidden/>
                <w:lang w:val="en-GB"/>
              </w:rPr>
              <w:instrText xml:space="preserve"> PAGEREF _Toc132646767 \h </w:instrText>
            </w:r>
            <w:r w:rsidRPr="00D01EFA">
              <w:rPr>
                <w:noProof/>
                <w:webHidden/>
                <w:lang w:val="en-GB"/>
              </w:rPr>
            </w:r>
            <w:r w:rsidRPr="00D01EFA">
              <w:rPr>
                <w:noProof/>
                <w:webHidden/>
                <w:lang w:val="en-GB"/>
              </w:rPr>
              <w:fldChar w:fldCharType="separate"/>
            </w:r>
            <w:r w:rsidR="005E57EE" w:rsidRPr="00D01EFA">
              <w:rPr>
                <w:noProof/>
                <w:webHidden/>
                <w:lang w:val="en-GB"/>
              </w:rPr>
              <w:t>2</w:t>
            </w:r>
            <w:r w:rsidRPr="00D01EFA">
              <w:rPr>
                <w:noProof/>
                <w:webHidden/>
                <w:lang w:val="en-GB"/>
              </w:rPr>
              <w:fldChar w:fldCharType="end"/>
            </w:r>
          </w:hyperlink>
        </w:p>
        <w:p w:rsidR="005E57EE" w:rsidRPr="00D01EFA" w:rsidRDefault="00D854FE">
          <w:pPr>
            <w:pStyle w:val="TOC1"/>
            <w:tabs>
              <w:tab w:val="right" w:leader="dot" w:pos="9019"/>
            </w:tabs>
            <w:rPr>
              <w:rFonts w:asciiTheme="minorHAnsi" w:eastAsiaTheme="minorEastAsia" w:hAnsiTheme="minorHAnsi" w:cstheme="minorBidi"/>
              <w:noProof/>
              <w:sz w:val="22"/>
              <w:szCs w:val="22"/>
              <w:lang w:val="en-GB"/>
            </w:rPr>
          </w:pPr>
          <w:hyperlink w:anchor="_Toc132646768" w:history="1">
            <w:r w:rsidR="005E57EE" w:rsidRPr="00D01EFA">
              <w:rPr>
                <w:rStyle w:val="Hyperlink"/>
                <w:noProof/>
                <w:lang w:val="en-GB"/>
              </w:rPr>
              <w:t>A. Estimation of WACC as per book value and market value</w:t>
            </w:r>
            <w:r w:rsidR="005E57EE" w:rsidRPr="00D01EFA">
              <w:rPr>
                <w:noProof/>
                <w:webHidden/>
                <w:lang w:val="en-GB"/>
              </w:rPr>
              <w:tab/>
            </w:r>
            <w:r w:rsidRPr="00D01EFA">
              <w:rPr>
                <w:noProof/>
                <w:webHidden/>
                <w:lang w:val="en-GB"/>
              </w:rPr>
              <w:fldChar w:fldCharType="begin"/>
            </w:r>
            <w:r w:rsidR="005E57EE" w:rsidRPr="00D01EFA">
              <w:rPr>
                <w:noProof/>
                <w:webHidden/>
                <w:lang w:val="en-GB"/>
              </w:rPr>
              <w:instrText xml:space="preserve"> PAGEREF _Toc132646768 \h </w:instrText>
            </w:r>
            <w:r w:rsidRPr="00D01EFA">
              <w:rPr>
                <w:noProof/>
                <w:webHidden/>
                <w:lang w:val="en-GB"/>
              </w:rPr>
            </w:r>
            <w:r w:rsidRPr="00D01EFA">
              <w:rPr>
                <w:noProof/>
                <w:webHidden/>
                <w:lang w:val="en-GB"/>
              </w:rPr>
              <w:fldChar w:fldCharType="separate"/>
            </w:r>
            <w:r w:rsidR="005E57EE" w:rsidRPr="00D01EFA">
              <w:rPr>
                <w:noProof/>
                <w:webHidden/>
                <w:lang w:val="en-GB"/>
              </w:rPr>
              <w:t>2</w:t>
            </w:r>
            <w:r w:rsidRPr="00D01EFA">
              <w:rPr>
                <w:noProof/>
                <w:webHidden/>
                <w:lang w:val="en-GB"/>
              </w:rPr>
              <w:fldChar w:fldCharType="end"/>
            </w:r>
          </w:hyperlink>
        </w:p>
        <w:p w:rsidR="005E57EE" w:rsidRPr="00D01EFA" w:rsidRDefault="00D854FE">
          <w:pPr>
            <w:pStyle w:val="TOC1"/>
            <w:tabs>
              <w:tab w:val="right" w:leader="dot" w:pos="9019"/>
            </w:tabs>
            <w:rPr>
              <w:rFonts w:asciiTheme="minorHAnsi" w:eastAsiaTheme="minorEastAsia" w:hAnsiTheme="minorHAnsi" w:cstheme="minorBidi"/>
              <w:noProof/>
              <w:sz w:val="22"/>
              <w:szCs w:val="22"/>
              <w:lang w:val="en-GB"/>
            </w:rPr>
          </w:pPr>
          <w:hyperlink w:anchor="_Toc132646769" w:history="1">
            <w:r w:rsidR="005E57EE" w:rsidRPr="00D01EFA">
              <w:rPr>
                <w:rStyle w:val="Hyperlink"/>
                <w:noProof/>
                <w:lang w:val="en-GB"/>
              </w:rPr>
              <w:t>B. Recalculation of company’s cost of capital as per proposed changes</w:t>
            </w:r>
            <w:r w:rsidR="005E57EE" w:rsidRPr="00D01EFA">
              <w:rPr>
                <w:noProof/>
                <w:webHidden/>
                <w:lang w:val="en-GB"/>
              </w:rPr>
              <w:tab/>
            </w:r>
            <w:r w:rsidRPr="00D01EFA">
              <w:rPr>
                <w:noProof/>
                <w:webHidden/>
                <w:lang w:val="en-GB"/>
              </w:rPr>
              <w:fldChar w:fldCharType="begin"/>
            </w:r>
            <w:r w:rsidR="005E57EE" w:rsidRPr="00D01EFA">
              <w:rPr>
                <w:noProof/>
                <w:webHidden/>
                <w:lang w:val="en-GB"/>
              </w:rPr>
              <w:instrText xml:space="preserve"> PAGEREF _Toc132646769 \h </w:instrText>
            </w:r>
            <w:r w:rsidRPr="00D01EFA">
              <w:rPr>
                <w:noProof/>
                <w:webHidden/>
                <w:lang w:val="en-GB"/>
              </w:rPr>
            </w:r>
            <w:r w:rsidRPr="00D01EFA">
              <w:rPr>
                <w:noProof/>
                <w:webHidden/>
                <w:lang w:val="en-GB"/>
              </w:rPr>
              <w:fldChar w:fldCharType="separate"/>
            </w:r>
            <w:r w:rsidR="005E57EE" w:rsidRPr="00D01EFA">
              <w:rPr>
                <w:noProof/>
                <w:webHidden/>
                <w:lang w:val="en-GB"/>
              </w:rPr>
              <w:t>5</w:t>
            </w:r>
            <w:r w:rsidRPr="00D01EFA">
              <w:rPr>
                <w:noProof/>
                <w:webHidden/>
                <w:lang w:val="en-GB"/>
              </w:rPr>
              <w:fldChar w:fldCharType="end"/>
            </w:r>
          </w:hyperlink>
        </w:p>
        <w:p w:rsidR="005E57EE" w:rsidRPr="00D01EFA" w:rsidRDefault="00D854FE">
          <w:pPr>
            <w:pStyle w:val="TOC1"/>
            <w:tabs>
              <w:tab w:val="right" w:leader="dot" w:pos="9019"/>
            </w:tabs>
            <w:rPr>
              <w:rFonts w:asciiTheme="minorHAnsi" w:eastAsiaTheme="minorEastAsia" w:hAnsiTheme="minorHAnsi" w:cstheme="minorBidi"/>
              <w:noProof/>
              <w:sz w:val="22"/>
              <w:szCs w:val="22"/>
              <w:lang w:val="en-GB"/>
            </w:rPr>
          </w:pPr>
          <w:hyperlink w:anchor="_Toc132646770" w:history="1">
            <w:r w:rsidR="005E57EE" w:rsidRPr="00D01EFA">
              <w:rPr>
                <w:rStyle w:val="Hyperlink"/>
                <w:noProof/>
                <w:lang w:val="en-GB"/>
              </w:rPr>
              <w:t>C. Possible inaccuracies that may occur with the estimation of finance director</w:t>
            </w:r>
            <w:r w:rsidR="005E57EE" w:rsidRPr="00D01EFA">
              <w:rPr>
                <w:noProof/>
                <w:webHidden/>
                <w:lang w:val="en-GB"/>
              </w:rPr>
              <w:tab/>
            </w:r>
            <w:r w:rsidRPr="00D01EFA">
              <w:rPr>
                <w:noProof/>
                <w:webHidden/>
                <w:lang w:val="en-GB"/>
              </w:rPr>
              <w:fldChar w:fldCharType="begin"/>
            </w:r>
            <w:r w:rsidR="005E57EE" w:rsidRPr="00D01EFA">
              <w:rPr>
                <w:noProof/>
                <w:webHidden/>
                <w:lang w:val="en-GB"/>
              </w:rPr>
              <w:instrText xml:space="preserve"> PAGEREF _Toc132646770 \h </w:instrText>
            </w:r>
            <w:r w:rsidRPr="00D01EFA">
              <w:rPr>
                <w:noProof/>
                <w:webHidden/>
                <w:lang w:val="en-GB"/>
              </w:rPr>
            </w:r>
            <w:r w:rsidRPr="00D01EFA">
              <w:rPr>
                <w:noProof/>
                <w:webHidden/>
                <w:lang w:val="en-GB"/>
              </w:rPr>
              <w:fldChar w:fldCharType="separate"/>
            </w:r>
            <w:r w:rsidR="005E57EE" w:rsidRPr="00D01EFA">
              <w:rPr>
                <w:noProof/>
                <w:webHidden/>
                <w:lang w:val="en-GB"/>
              </w:rPr>
              <w:t>9</w:t>
            </w:r>
            <w:r w:rsidRPr="00D01EFA">
              <w:rPr>
                <w:noProof/>
                <w:webHidden/>
                <w:lang w:val="en-GB"/>
              </w:rPr>
              <w:fldChar w:fldCharType="end"/>
            </w:r>
          </w:hyperlink>
        </w:p>
        <w:p w:rsidR="005E57EE" w:rsidRPr="00D01EFA" w:rsidRDefault="00D854FE">
          <w:pPr>
            <w:pStyle w:val="TOC1"/>
            <w:tabs>
              <w:tab w:val="right" w:leader="dot" w:pos="9019"/>
            </w:tabs>
            <w:rPr>
              <w:rFonts w:asciiTheme="minorHAnsi" w:eastAsiaTheme="minorEastAsia" w:hAnsiTheme="minorHAnsi" w:cstheme="minorBidi"/>
              <w:noProof/>
              <w:sz w:val="22"/>
              <w:szCs w:val="22"/>
              <w:lang w:val="en-GB"/>
            </w:rPr>
          </w:pPr>
          <w:hyperlink w:anchor="_Toc132646771" w:history="1">
            <w:r w:rsidR="005E57EE" w:rsidRPr="00D01EFA">
              <w:rPr>
                <w:rStyle w:val="Hyperlink"/>
                <w:noProof/>
                <w:lang w:val="en-GB"/>
              </w:rPr>
              <w:t>D. Integration of reasonable level of gearing may reduce weighted average cost of capital</w:t>
            </w:r>
            <w:r w:rsidR="005E57EE" w:rsidRPr="00D01EFA">
              <w:rPr>
                <w:noProof/>
                <w:webHidden/>
                <w:lang w:val="en-GB"/>
              </w:rPr>
              <w:tab/>
            </w:r>
            <w:r w:rsidRPr="00D01EFA">
              <w:rPr>
                <w:noProof/>
                <w:webHidden/>
                <w:lang w:val="en-GB"/>
              </w:rPr>
              <w:fldChar w:fldCharType="begin"/>
            </w:r>
            <w:r w:rsidR="005E57EE" w:rsidRPr="00D01EFA">
              <w:rPr>
                <w:noProof/>
                <w:webHidden/>
                <w:lang w:val="en-GB"/>
              </w:rPr>
              <w:instrText xml:space="preserve"> PAGEREF _Toc132646771 \h </w:instrText>
            </w:r>
            <w:r w:rsidRPr="00D01EFA">
              <w:rPr>
                <w:noProof/>
                <w:webHidden/>
                <w:lang w:val="en-GB"/>
              </w:rPr>
            </w:r>
            <w:r w:rsidRPr="00D01EFA">
              <w:rPr>
                <w:noProof/>
                <w:webHidden/>
                <w:lang w:val="en-GB"/>
              </w:rPr>
              <w:fldChar w:fldCharType="separate"/>
            </w:r>
            <w:r w:rsidR="005E57EE" w:rsidRPr="00D01EFA">
              <w:rPr>
                <w:noProof/>
                <w:webHidden/>
                <w:lang w:val="en-GB"/>
              </w:rPr>
              <w:t>9</w:t>
            </w:r>
            <w:r w:rsidRPr="00D01EFA">
              <w:rPr>
                <w:noProof/>
                <w:webHidden/>
                <w:lang w:val="en-GB"/>
              </w:rPr>
              <w:fldChar w:fldCharType="end"/>
            </w:r>
          </w:hyperlink>
        </w:p>
        <w:p w:rsidR="005E57EE" w:rsidRPr="00D01EFA" w:rsidRDefault="00D854FE">
          <w:pPr>
            <w:pStyle w:val="TOC1"/>
            <w:tabs>
              <w:tab w:val="right" w:leader="dot" w:pos="9019"/>
            </w:tabs>
            <w:rPr>
              <w:rFonts w:asciiTheme="minorHAnsi" w:eastAsiaTheme="minorEastAsia" w:hAnsiTheme="minorHAnsi" w:cstheme="minorBidi"/>
              <w:noProof/>
              <w:sz w:val="22"/>
              <w:szCs w:val="22"/>
              <w:lang w:val="en-GB"/>
            </w:rPr>
          </w:pPr>
          <w:hyperlink w:anchor="_Toc132646772" w:history="1">
            <w:r w:rsidR="005E57EE" w:rsidRPr="00D01EFA">
              <w:rPr>
                <w:rStyle w:val="Hyperlink"/>
                <w:noProof/>
                <w:lang w:val="en-GB"/>
              </w:rPr>
              <w:t>Question 2 - Investment Appraisal Techniques</w:t>
            </w:r>
            <w:r w:rsidR="005E57EE" w:rsidRPr="00D01EFA">
              <w:rPr>
                <w:noProof/>
                <w:webHidden/>
                <w:lang w:val="en-GB"/>
              </w:rPr>
              <w:tab/>
            </w:r>
            <w:r w:rsidRPr="00D01EFA">
              <w:rPr>
                <w:noProof/>
                <w:webHidden/>
                <w:lang w:val="en-GB"/>
              </w:rPr>
              <w:fldChar w:fldCharType="begin"/>
            </w:r>
            <w:r w:rsidR="005E57EE" w:rsidRPr="00D01EFA">
              <w:rPr>
                <w:noProof/>
                <w:webHidden/>
                <w:lang w:val="en-GB"/>
              </w:rPr>
              <w:instrText xml:space="preserve"> PAGEREF _Toc132646772 \h </w:instrText>
            </w:r>
            <w:r w:rsidRPr="00D01EFA">
              <w:rPr>
                <w:noProof/>
                <w:webHidden/>
                <w:lang w:val="en-GB"/>
              </w:rPr>
            </w:r>
            <w:r w:rsidRPr="00D01EFA">
              <w:rPr>
                <w:noProof/>
                <w:webHidden/>
                <w:lang w:val="en-GB"/>
              </w:rPr>
              <w:fldChar w:fldCharType="separate"/>
            </w:r>
            <w:r w:rsidR="005E57EE" w:rsidRPr="00D01EFA">
              <w:rPr>
                <w:noProof/>
                <w:webHidden/>
                <w:lang w:val="en-GB"/>
              </w:rPr>
              <w:t>10</w:t>
            </w:r>
            <w:r w:rsidRPr="00D01EFA">
              <w:rPr>
                <w:noProof/>
                <w:webHidden/>
                <w:lang w:val="en-GB"/>
              </w:rPr>
              <w:fldChar w:fldCharType="end"/>
            </w:r>
          </w:hyperlink>
        </w:p>
        <w:p w:rsidR="005E57EE" w:rsidRPr="00D01EFA" w:rsidRDefault="00D854FE">
          <w:pPr>
            <w:pStyle w:val="TOC1"/>
            <w:tabs>
              <w:tab w:val="right" w:leader="dot" w:pos="9019"/>
            </w:tabs>
            <w:rPr>
              <w:rFonts w:asciiTheme="minorHAnsi" w:eastAsiaTheme="minorEastAsia" w:hAnsiTheme="minorHAnsi" w:cstheme="minorBidi"/>
              <w:noProof/>
              <w:sz w:val="22"/>
              <w:szCs w:val="22"/>
              <w:lang w:val="en-GB"/>
            </w:rPr>
          </w:pPr>
          <w:hyperlink w:anchor="_Toc132646773" w:history="1">
            <w:r w:rsidR="005E57EE" w:rsidRPr="00D01EFA">
              <w:rPr>
                <w:rStyle w:val="Hyperlink"/>
                <w:noProof/>
                <w:lang w:val="en-GB"/>
              </w:rPr>
              <w:t>(A). Estimating proposed scope of investment</w:t>
            </w:r>
            <w:r w:rsidR="005E57EE" w:rsidRPr="00D01EFA">
              <w:rPr>
                <w:noProof/>
                <w:webHidden/>
                <w:lang w:val="en-GB"/>
              </w:rPr>
              <w:tab/>
            </w:r>
            <w:r w:rsidRPr="00D01EFA">
              <w:rPr>
                <w:noProof/>
                <w:webHidden/>
                <w:lang w:val="en-GB"/>
              </w:rPr>
              <w:fldChar w:fldCharType="begin"/>
            </w:r>
            <w:r w:rsidR="005E57EE" w:rsidRPr="00D01EFA">
              <w:rPr>
                <w:noProof/>
                <w:webHidden/>
                <w:lang w:val="en-GB"/>
              </w:rPr>
              <w:instrText xml:space="preserve"> PAGEREF _Toc132646773 \h </w:instrText>
            </w:r>
            <w:r w:rsidRPr="00D01EFA">
              <w:rPr>
                <w:noProof/>
                <w:webHidden/>
                <w:lang w:val="en-GB"/>
              </w:rPr>
            </w:r>
            <w:r w:rsidRPr="00D01EFA">
              <w:rPr>
                <w:noProof/>
                <w:webHidden/>
                <w:lang w:val="en-GB"/>
              </w:rPr>
              <w:fldChar w:fldCharType="separate"/>
            </w:r>
            <w:r w:rsidR="005E57EE" w:rsidRPr="00D01EFA">
              <w:rPr>
                <w:noProof/>
                <w:webHidden/>
                <w:lang w:val="en-GB"/>
              </w:rPr>
              <w:t>10</w:t>
            </w:r>
            <w:r w:rsidRPr="00D01EFA">
              <w:rPr>
                <w:noProof/>
                <w:webHidden/>
                <w:lang w:val="en-GB"/>
              </w:rPr>
              <w:fldChar w:fldCharType="end"/>
            </w:r>
          </w:hyperlink>
        </w:p>
        <w:p w:rsidR="005E57EE" w:rsidRPr="00D01EFA" w:rsidRDefault="00D854FE">
          <w:pPr>
            <w:pStyle w:val="TOC1"/>
            <w:tabs>
              <w:tab w:val="right" w:leader="dot" w:pos="9019"/>
            </w:tabs>
            <w:rPr>
              <w:rFonts w:asciiTheme="minorHAnsi" w:eastAsiaTheme="minorEastAsia" w:hAnsiTheme="minorHAnsi" w:cstheme="minorBidi"/>
              <w:noProof/>
              <w:sz w:val="22"/>
              <w:szCs w:val="22"/>
              <w:lang w:val="en-GB"/>
            </w:rPr>
          </w:pPr>
          <w:hyperlink w:anchor="_Toc132646774" w:history="1">
            <w:r w:rsidR="005E57EE" w:rsidRPr="00D01EFA">
              <w:rPr>
                <w:rStyle w:val="Hyperlink"/>
                <w:noProof/>
                <w:lang w:val="en-GB"/>
              </w:rPr>
              <w:t>(B). Critical evaluation of the impact of proposal of finance director</w:t>
            </w:r>
            <w:r w:rsidR="005E57EE" w:rsidRPr="00D01EFA">
              <w:rPr>
                <w:noProof/>
                <w:webHidden/>
                <w:lang w:val="en-GB"/>
              </w:rPr>
              <w:tab/>
            </w:r>
            <w:r w:rsidRPr="00D01EFA">
              <w:rPr>
                <w:noProof/>
                <w:webHidden/>
                <w:lang w:val="en-GB"/>
              </w:rPr>
              <w:fldChar w:fldCharType="begin"/>
            </w:r>
            <w:r w:rsidR="005E57EE" w:rsidRPr="00D01EFA">
              <w:rPr>
                <w:noProof/>
                <w:webHidden/>
                <w:lang w:val="en-GB"/>
              </w:rPr>
              <w:instrText xml:space="preserve"> PAGEREF _Toc132646774 \h </w:instrText>
            </w:r>
            <w:r w:rsidRPr="00D01EFA">
              <w:rPr>
                <w:noProof/>
                <w:webHidden/>
                <w:lang w:val="en-GB"/>
              </w:rPr>
            </w:r>
            <w:r w:rsidRPr="00D01EFA">
              <w:rPr>
                <w:noProof/>
                <w:webHidden/>
                <w:lang w:val="en-GB"/>
              </w:rPr>
              <w:fldChar w:fldCharType="separate"/>
            </w:r>
            <w:r w:rsidR="005E57EE" w:rsidRPr="00D01EFA">
              <w:rPr>
                <w:noProof/>
                <w:webHidden/>
                <w:lang w:val="en-GB"/>
              </w:rPr>
              <w:t>14</w:t>
            </w:r>
            <w:r w:rsidRPr="00D01EFA">
              <w:rPr>
                <w:noProof/>
                <w:webHidden/>
                <w:lang w:val="en-GB"/>
              </w:rPr>
              <w:fldChar w:fldCharType="end"/>
            </w:r>
          </w:hyperlink>
        </w:p>
        <w:p w:rsidR="005E57EE" w:rsidRPr="00D01EFA" w:rsidRDefault="00D854FE">
          <w:pPr>
            <w:pStyle w:val="TOC1"/>
            <w:tabs>
              <w:tab w:val="right" w:leader="dot" w:pos="9019"/>
            </w:tabs>
            <w:rPr>
              <w:rFonts w:asciiTheme="minorHAnsi" w:eastAsiaTheme="minorEastAsia" w:hAnsiTheme="minorHAnsi" w:cstheme="minorBidi"/>
              <w:noProof/>
              <w:sz w:val="22"/>
              <w:szCs w:val="22"/>
              <w:lang w:val="en-GB"/>
            </w:rPr>
          </w:pPr>
          <w:hyperlink w:anchor="_Toc132646775" w:history="1">
            <w:r w:rsidR="005E57EE" w:rsidRPr="00D01EFA">
              <w:rPr>
                <w:rStyle w:val="Hyperlink"/>
                <w:noProof/>
                <w:lang w:val="en-GB"/>
              </w:rPr>
              <w:t>(C). Discussion of proposed sources of finance</w:t>
            </w:r>
            <w:r w:rsidR="005E57EE" w:rsidRPr="00D01EFA">
              <w:rPr>
                <w:noProof/>
                <w:webHidden/>
                <w:lang w:val="en-GB"/>
              </w:rPr>
              <w:tab/>
            </w:r>
            <w:r w:rsidRPr="00D01EFA">
              <w:rPr>
                <w:noProof/>
                <w:webHidden/>
                <w:lang w:val="en-GB"/>
              </w:rPr>
              <w:fldChar w:fldCharType="begin"/>
            </w:r>
            <w:r w:rsidR="005E57EE" w:rsidRPr="00D01EFA">
              <w:rPr>
                <w:noProof/>
                <w:webHidden/>
                <w:lang w:val="en-GB"/>
              </w:rPr>
              <w:instrText xml:space="preserve"> PAGEREF _Toc132646775 \h </w:instrText>
            </w:r>
            <w:r w:rsidRPr="00D01EFA">
              <w:rPr>
                <w:noProof/>
                <w:webHidden/>
                <w:lang w:val="en-GB"/>
              </w:rPr>
            </w:r>
            <w:r w:rsidRPr="00D01EFA">
              <w:rPr>
                <w:noProof/>
                <w:webHidden/>
                <w:lang w:val="en-GB"/>
              </w:rPr>
              <w:fldChar w:fldCharType="separate"/>
            </w:r>
            <w:r w:rsidR="005E57EE" w:rsidRPr="00D01EFA">
              <w:rPr>
                <w:noProof/>
                <w:webHidden/>
                <w:lang w:val="en-GB"/>
              </w:rPr>
              <w:t>15</w:t>
            </w:r>
            <w:r w:rsidRPr="00D01EFA">
              <w:rPr>
                <w:noProof/>
                <w:webHidden/>
                <w:lang w:val="en-GB"/>
              </w:rPr>
              <w:fldChar w:fldCharType="end"/>
            </w:r>
          </w:hyperlink>
        </w:p>
        <w:p w:rsidR="005E57EE" w:rsidRPr="00D01EFA" w:rsidRDefault="00D854FE">
          <w:pPr>
            <w:pStyle w:val="TOC1"/>
            <w:tabs>
              <w:tab w:val="right" w:leader="dot" w:pos="9019"/>
            </w:tabs>
            <w:rPr>
              <w:rFonts w:asciiTheme="minorHAnsi" w:eastAsiaTheme="minorEastAsia" w:hAnsiTheme="minorHAnsi" w:cstheme="minorBidi"/>
              <w:noProof/>
              <w:sz w:val="22"/>
              <w:szCs w:val="22"/>
              <w:lang w:val="en-GB"/>
            </w:rPr>
          </w:pPr>
          <w:hyperlink w:anchor="_Toc132646776" w:history="1">
            <w:r w:rsidR="005E57EE" w:rsidRPr="00D01EFA">
              <w:rPr>
                <w:rStyle w:val="Hyperlink"/>
                <w:noProof/>
                <w:lang w:val="en-GB"/>
              </w:rPr>
              <w:t>(D). Critical evaluation of investment appraisal techniques</w:t>
            </w:r>
            <w:r w:rsidR="005E57EE" w:rsidRPr="00D01EFA">
              <w:rPr>
                <w:noProof/>
                <w:webHidden/>
                <w:lang w:val="en-GB"/>
              </w:rPr>
              <w:tab/>
            </w:r>
            <w:r w:rsidRPr="00D01EFA">
              <w:rPr>
                <w:noProof/>
                <w:webHidden/>
                <w:lang w:val="en-GB"/>
              </w:rPr>
              <w:fldChar w:fldCharType="begin"/>
            </w:r>
            <w:r w:rsidR="005E57EE" w:rsidRPr="00D01EFA">
              <w:rPr>
                <w:noProof/>
                <w:webHidden/>
                <w:lang w:val="en-GB"/>
              </w:rPr>
              <w:instrText xml:space="preserve"> PAGEREF _Toc132646776 \h </w:instrText>
            </w:r>
            <w:r w:rsidRPr="00D01EFA">
              <w:rPr>
                <w:noProof/>
                <w:webHidden/>
                <w:lang w:val="en-GB"/>
              </w:rPr>
            </w:r>
            <w:r w:rsidRPr="00D01EFA">
              <w:rPr>
                <w:noProof/>
                <w:webHidden/>
                <w:lang w:val="en-GB"/>
              </w:rPr>
              <w:fldChar w:fldCharType="separate"/>
            </w:r>
            <w:r w:rsidR="005E57EE" w:rsidRPr="00D01EFA">
              <w:rPr>
                <w:noProof/>
                <w:webHidden/>
                <w:lang w:val="en-GB"/>
              </w:rPr>
              <w:t>16</w:t>
            </w:r>
            <w:r w:rsidRPr="00D01EFA">
              <w:rPr>
                <w:noProof/>
                <w:webHidden/>
                <w:lang w:val="en-GB"/>
              </w:rPr>
              <w:fldChar w:fldCharType="end"/>
            </w:r>
          </w:hyperlink>
        </w:p>
        <w:p w:rsidR="005E57EE" w:rsidRPr="00D01EFA" w:rsidRDefault="00D854FE">
          <w:pPr>
            <w:pStyle w:val="TOC1"/>
            <w:tabs>
              <w:tab w:val="right" w:leader="dot" w:pos="9019"/>
            </w:tabs>
            <w:rPr>
              <w:rFonts w:asciiTheme="minorHAnsi" w:eastAsiaTheme="minorEastAsia" w:hAnsiTheme="minorHAnsi" w:cstheme="minorBidi"/>
              <w:noProof/>
              <w:sz w:val="22"/>
              <w:szCs w:val="22"/>
              <w:lang w:val="en-GB"/>
            </w:rPr>
          </w:pPr>
          <w:hyperlink w:anchor="_Toc132646777" w:history="1">
            <w:r w:rsidR="005E57EE" w:rsidRPr="00D01EFA">
              <w:rPr>
                <w:rStyle w:val="Hyperlink"/>
                <w:noProof/>
                <w:lang w:val="en-GB"/>
              </w:rPr>
              <w:t>Reference list</w:t>
            </w:r>
            <w:r w:rsidR="005E57EE" w:rsidRPr="00D01EFA">
              <w:rPr>
                <w:noProof/>
                <w:webHidden/>
                <w:lang w:val="en-GB"/>
              </w:rPr>
              <w:tab/>
            </w:r>
            <w:r w:rsidRPr="00D01EFA">
              <w:rPr>
                <w:noProof/>
                <w:webHidden/>
                <w:lang w:val="en-GB"/>
              </w:rPr>
              <w:fldChar w:fldCharType="begin"/>
            </w:r>
            <w:r w:rsidR="005E57EE" w:rsidRPr="00D01EFA">
              <w:rPr>
                <w:noProof/>
                <w:webHidden/>
                <w:lang w:val="en-GB"/>
              </w:rPr>
              <w:instrText xml:space="preserve"> PAGEREF _Toc132646777 \h </w:instrText>
            </w:r>
            <w:r w:rsidRPr="00D01EFA">
              <w:rPr>
                <w:noProof/>
                <w:webHidden/>
                <w:lang w:val="en-GB"/>
              </w:rPr>
            </w:r>
            <w:r w:rsidRPr="00D01EFA">
              <w:rPr>
                <w:noProof/>
                <w:webHidden/>
                <w:lang w:val="en-GB"/>
              </w:rPr>
              <w:fldChar w:fldCharType="separate"/>
            </w:r>
            <w:r w:rsidR="005E57EE" w:rsidRPr="00D01EFA">
              <w:rPr>
                <w:noProof/>
                <w:webHidden/>
                <w:lang w:val="en-GB"/>
              </w:rPr>
              <w:t>18</w:t>
            </w:r>
            <w:r w:rsidRPr="00D01EFA">
              <w:rPr>
                <w:noProof/>
                <w:webHidden/>
                <w:lang w:val="en-GB"/>
              </w:rPr>
              <w:fldChar w:fldCharType="end"/>
            </w:r>
          </w:hyperlink>
        </w:p>
        <w:p w:rsidR="00A57612" w:rsidRPr="00D01EFA" w:rsidRDefault="00D854FE">
          <w:pPr>
            <w:rPr>
              <w:lang w:val="en-GB"/>
            </w:rPr>
          </w:pPr>
          <w:r w:rsidRPr="00D01EFA">
            <w:rPr>
              <w:lang w:val="en-GB"/>
            </w:rPr>
            <w:fldChar w:fldCharType="end"/>
          </w:r>
        </w:p>
      </w:sdtContent>
    </w:sdt>
    <w:p w:rsidR="00A57612" w:rsidRPr="00D01EFA" w:rsidRDefault="00A57612" w:rsidP="00A57612">
      <w:pPr>
        <w:pStyle w:val="normal0"/>
        <w:spacing w:before="240" w:after="240"/>
        <w:rPr>
          <w:lang w:val="en-GB"/>
        </w:rPr>
      </w:pPr>
    </w:p>
    <w:p w:rsidR="00D03F9E" w:rsidRPr="00D01EFA" w:rsidRDefault="00A14766" w:rsidP="00A57612">
      <w:pPr>
        <w:pStyle w:val="normal0"/>
        <w:spacing w:before="240" w:after="240"/>
        <w:rPr>
          <w:lang w:val="en-GB"/>
        </w:rPr>
      </w:pPr>
      <w:r w:rsidRPr="00D01EFA">
        <w:rPr>
          <w:lang w:val="en-GB"/>
        </w:rPr>
        <w:br w:type="page"/>
      </w:r>
    </w:p>
    <w:p w:rsidR="00D03F9E" w:rsidRPr="00D01EFA" w:rsidRDefault="00A14766" w:rsidP="00A57612">
      <w:pPr>
        <w:pStyle w:val="Heading1"/>
        <w:rPr>
          <w:highlight w:val="white"/>
          <w:lang w:val="en-GB"/>
        </w:rPr>
      </w:pPr>
      <w:bookmarkStart w:id="0" w:name="_Toc132646767"/>
      <w:r w:rsidRPr="00D01EFA">
        <w:rPr>
          <w:highlight w:val="white"/>
          <w:lang w:val="en-GB"/>
        </w:rPr>
        <w:lastRenderedPageBreak/>
        <w:t>Question 1- Cost of capital and Capital structure</w:t>
      </w:r>
      <w:bookmarkEnd w:id="0"/>
      <w:r w:rsidRPr="00D01EFA">
        <w:rPr>
          <w:highlight w:val="white"/>
          <w:lang w:val="en-GB"/>
        </w:rPr>
        <w:t xml:space="preserve"> </w:t>
      </w:r>
    </w:p>
    <w:p w:rsidR="00D03F9E" w:rsidRPr="00D01EFA" w:rsidRDefault="00A14766" w:rsidP="00A57612">
      <w:pPr>
        <w:pStyle w:val="Heading1"/>
        <w:spacing w:before="200" w:after="200" w:line="360" w:lineRule="auto"/>
        <w:rPr>
          <w:lang w:val="en-GB"/>
        </w:rPr>
      </w:pPr>
      <w:bookmarkStart w:id="1" w:name="_3oegy1tyfec0" w:colFirst="0" w:colLast="0"/>
      <w:bookmarkStart w:id="2" w:name="_Toc132646768"/>
      <w:bookmarkEnd w:id="1"/>
      <w:r w:rsidRPr="00D01EFA">
        <w:rPr>
          <w:lang w:val="en-GB"/>
        </w:rPr>
        <w:t>A. Estimation of WACC as per book value and market value</w:t>
      </w:r>
      <w:bookmarkEnd w:id="2"/>
    </w:p>
    <w:tbl>
      <w:tblPr>
        <w:tblStyle w:val="a"/>
        <w:tblW w:w="8865" w:type="dxa"/>
        <w:tblBorders>
          <w:top w:val="nil"/>
          <w:left w:val="nil"/>
          <w:bottom w:val="nil"/>
          <w:right w:val="nil"/>
          <w:insideH w:val="nil"/>
          <w:insideV w:val="nil"/>
        </w:tblBorders>
        <w:tblLayout w:type="fixed"/>
        <w:tblLook w:val="0600"/>
      </w:tblPr>
      <w:tblGrid>
        <w:gridCol w:w="6405"/>
        <w:gridCol w:w="2460"/>
      </w:tblGrid>
      <w:tr w:rsidR="00D03F9E" w:rsidRPr="00D01EFA">
        <w:trPr>
          <w:cantSplit/>
          <w:trHeight w:val="515"/>
          <w:tblHeader/>
        </w:trPr>
        <w:tc>
          <w:tcPr>
            <w:tcW w:w="64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Sources of funds</w:t>
            </w:r>
          </w:p>
        </w:tc>
        <w:tc>
          <w:tcPr>
            <w:tcW w:w="2460"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Amt (£'000)</w:t>
            </w:r>
          </w:p>
        </w:tc>
      </w:tr>
      <w:tr w:rsidR="00D03F9E" w:rsidRPr="00D01EFA">
        <w:trPr>
          <w:cantSplit/>
          <w:trHeight w:val="515"/>
          <w:tblHeader/>
        </w:trPr>
        <w:tc>
          <w:tcPr>
            <w:tcW w:w="64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Equity shares (£1/share)</w:t>
            </w:r>
          </w:p>
        </w:tc>
        <w:tc>
          <w:tcPr>
            <w:tcW w:w="246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15000</w:t>
            </w:r>
          </w:p>
        </w:tc>
      </w:tr>
      <w:tr w:rsidR="00D03F9E" w:rsidRPr="00D01EFA">
        <w:trPr>
          <w:cantSplit/>
          <w:trHeight w:val="515"/>
          <w:tblHeader/>
        </w:trPr>
        <w:tc>
          <w:tcPr>
            <w:tcW w:w="64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Capital and Reserves</w:t>
            </w:r>
          </w:p>
        </w:tc>
        <w:tc>
          <w:tcPr>
            <w:tcW w:w="246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10000</w:t>
            </w:r>
          </w:p>
        </w:tc>
      </w:tr>
      <w:tr w:rsidR="00D03F9E" w:rsidRPr="00D01EFA">
        <w:trPr>
          <w:cantSplit/>
          <w:trHeight w:val="515"/>
          <w:tblHeader/>
        </w:trPr>
        <w:tc>
          <w:tcPr>
            <w:tcW w:w="64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 preference share (£1/share)</w:t>
            </w:r>
          </w:p>
        </w:tc>
        <w:tc>
          <w:tcPr>
            <w:tcW w:w="246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10000</w:t>
            </w:r>
          </w:p>
        </w:tc>
      </w:tr>
      <w:tr w:rsidR="00D03F9E" w:rsidRPr="00D01EFA">
        <w:trPr>
          <w:cantSplit/>
          <w:trHeight w:val="515"/>
          <w:tblHeader/>
        </w:trPr>
        <w:tc>
          <w:tcPr>
            <w:tcW w:w="64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 redeemable bonds</w:t>
            </w:r>
          </w:p>
        </w:tc>
        <w:tc>
          <w:tcPr>
            <w:tcW w:w="246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15000</w:t>
            </w:r>
          </w:p>
        </w:tc>
      </w:tr>
      <w:tr w:rsidR="00D03F9E" w:rsidRPr="00D01EFA">
        <w:trPr>
          <w:cantSplit/>
          <w:trHeight w:val="515"/>
          <w:tblHeader/>
        </w:trPr>
        <w:tc>
          <w:tcPr>
            <w:tcW w:w="64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Total sources of funds</w:t>
            </w:r>
          </w:p>
        </w:tc>
        <w:tc>
          <w:tcPr>
            <w:tcW w:w="246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50000</w:t>
            </w:r>
          </w:p>
        </w:tc>
      </w:tr>
    </w:tbl>
    <w:p w:rsidR="00D03F9E" w:rsidRPr="00D01EFA" w:rsidRDefault="00A14766">
      <w:pPr>
        <w:pStyle w:val="normal0"/>
        <w:spacing w:before="240" w:after="240"/>
        <w:rPr>
          <w:lang w:val="en-GB"/>
        </w:rPr>
      </w:pPr>
      <w:r w:rsidRPr="00D01EFA">
        <w:rPr>
          <w:lang w:val="en-GB"/>
        </w:rPr>
        <w:t xml:space="preserve"> </w:t>
      </w:r>
    </w:p>
    <w:tbl>
      <w:tblPr>
        <w:tblStyle w:val="a0"/>
        <w:tblW w:w="8865" w:type="dxa"/>
        <w:tblBorders>
          <w:top w:val="nil"/>
          <w:left w:val="nil"/>
          <w:bottom w:val="nil"/>
          <w:right w:val="nil"/>
          <w:insideH w:val="nil"/>
          <w:insideV w:val="nil"/>
        </w:tblBorders>
        <w:tblLayout w:type="fixed"/>
        <w:tblLook w:val="0600"/>
      </w:tblPr>
      <w:tblGrid>
        <w:gridCol w:w="5895"/>
        <w:gridCol w:w="2970"/>
      </w:tblGrid>
      <w:tr w:rsidR="00D03F9E" w:rsidRPr="00D01EFA">
        <w:trPr>
          <w:cantSplit/>
          <w:trHeight w:val="515"/>
          <w:tblHeader/>
        </w:trPr>
        <w:tc>
          <w:tcPr>
            <w:tcW w:w="886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Growth rate calculation</w:t>
            </w:r>
          </w:p>
        </w:tc>
      </w:tr>
      <w:tr w:rsidR="00D03F9E" w:rsidRPr="00D01EFA">
        <w:trPr>
          <w:cantSplit/>
          <w:trHeight w:val="515"/>
          <w:tblHeader/>
        </w:trPr>
        <w:tc>
          <w:tcPr>
            <w:tcW w:w="58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Particulars</w:t>
            </w:r>
          </w:p>
        </w:tc>
        <w:tc>
          <w:tcPr>
            <w:tcW w:w="29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Values</w:t>
            </w:r>
          </w:p>
        </w:tc>
      </w:tr>
      <w:tr w:rsidR="00D03F9E" w:rsidRPr="00D01EFA">
        <w:trPr>
          <w:cantSplit/>
          <w:trHeight w:val="515"/>
          <w:tblHeader/>
        </w:trPr>
        <w:tc>
          <w:tcPr>
            <w:tcW w:w="58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Present dividend</w:t>
            </w:r>
          </w:p>
        </w:tc>
        <w:tc>
          <w:tcPr>
            <w:tcW w:w="29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29</w:t>
            </w:r>
          </w:p>
        </w:tc>
      </w:tr>
      <w:tr w:rsidR="00D03F9E" w:rsidRPr="00D01EFA">
        <w:trPr>
          <w:cantSplit/>
          <w:trHeight w:val="515"/>
          <w:tblHeader/>
        </w:trPr>
        <w:tc>
          <w:tcPr>
            <w:tcW w:w="58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Past dividend</w:t>
            </w:r>
          </w:p>
        </w:tc>
        <w:tc>
          <w:tcPr>
            <w:tcW w:w="29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22</w:t>
            </w:r>
          </w:p>
        </w:tc>
      </w:tr>
      <w:tr w:rsidR="00D03F9E" w:rsidRPr="00D01EFA">
        <w:trPr>
          <w:cantSplit/>
          <w:trHeight w:val="515"/>
          <w:tblHeader/>
        </w:trPr>
        <w:tc>
          <w:tcPr>
            <w:tcW w:w="58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Total years</w:t>
            </w:r>
          </w:p>
        </w:tc>
        <w:tc>
          <w:tcPr>
            <w:tcW w:w="29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4</w:t>
            </w:r>
          </w:p>
        </w:tc>
      </w:tr>
      <w:tr w:rsidR="00D03F9E" w:rsidRPr="00D01EFA">
        <w:trPr>
          <w:cantSplit/>
          <w:trHeight w:val="515"/>
          <w:tblHeader/>
        </w:trPr>
        <w:tc>
          <w:tcPr>
            <w:tcW w:w="58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Growth rate</w:t>
            </w:r>
          </w:p>
        </w:tc>
        <w:tc>
          <w:tcPr>
            <w:tcW w:w="29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7.15%</w:t>
            </w:r>
          </w:p>
        </w:tc>
      </w:tr>
    </w:tbl>
    <w:p w:rsidR="00D03F9E" w:rsidRPr="00D01EFA" w:rsidRDefault="00A14766">
      <w:pPr>
        <w:pStyle w:val="normal0"/>
        <w:spacing w:before="240" w:after="240"/>
        <w:rPr>
          <w:lang w:val="en-GB"/>
        </w:rPr>
      </w:pPr>
      <w:r w:rsidRPr="00D01EFA">
        <w:rPr>
          <w:lang w:val="en-GB"/>
        </w:rPr>
        <w:t xml:space="preserve"> </w:t>
      </w:r>
    </w:p>
    <w:tbl>
      <w:tblPr>
        <w:tblStyle w:val="a1"/>
        <w:tblW w:w="8865" w:type="dxa"/>
        <w:tblBorders>
          <w:top w:val="nil"/>
          <w:left w:val="nil"/>
          <w:bottom w:val="nil"/>
          <w:right w:val="nil"/>
          <w:insideH w:val="nil"/>
          <w:insideV w:val="nil"/>
        </w:tblBorders>
        <w:tblLayout w:type="fixed"/>
        <w:tblLook w:val="0600"/>
      </w:tblPr>
      <w:tblGrid>
        <w:gridCol w:w="6735"/>
        <w:gridCol w:w="2130"/>
      </w:tblGrid>
      <w:tr w:rsidR="00D03F9E" w:rsidRPr="00D01EFA">
        <w:trPr>
          <w:cantSplit/>
          <w:trHeight w:val="515"/>
          <w:tblHeader/>
        </w:trPr>
        <w:tc>
          <w:tcPr>
            <w:tcW w:w="88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Equity cost</w:t>
            </w:r>
          </w:p>
        </w:tc>
      </w:tr>
      <w:tr w:rsidR="00D03F9E" w:rsidRPr="00D01EFA">
        <w:trPr>
          <w:cantSplit/>
          <w:trHeight w:val="515"/>
          <w:tblHeader/>
        </w:trPr>
        <w:tc>
          <w:tcPr>
            <w:tcW w:w="67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Particulars</w:t>
            </w:r>
          </w:p>
        </w:tc>
        <w:tc>
          <w:tcPr>
            <w:tcW w:w="21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Values</w:t>
            </w:r>
          </w:p>
        </w:tc>
      </w:tr>
      <w:tr w:rsidR="00D03F9E" w:rsidRPr="00D01EFA">
        <w:trPr>
          <w:cantSplit/>
          <w:trHeight w:val="515"/>
          <w:tblHeader/>
        </w:trPr>
        <w:tc>
          <w:tcPr>
            <w:tcW w:w="67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lastRenderedPageBreak/>
              <w:t>Dividend (last year)</w:t>
            </w:r>
          </w:p>
        </w:tc>
        <w:tc>
          <w:tcPr>
            <w:tcW w:w="21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29</w:t>
            </w:r>
          </w:p>
        </w:tc>
      </w:tr>
      <w:tr w:rsidR="00D03F9E" w:rsidRPr="00D01EFA">
        <w:trPr>
          <w:cantSplit/>
          <w:trHeight w:val="515"/>
          <w:tblHeader/>
        </w:trPr>
        <w:tc>
          <w:tcPr>
            <w:tcW w:w="67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Growth rate</w:t>
            </w:r>
          </w:p>
        </w:tc>
        <w:tc>
          <w:tcPr>
            <w:tcW w:w="21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7.15%</w:t>
            </w:r>
          </w:p>
        </w:tc>
      </w:tr>
      <w:tr w:rsidR="00D03F9E" w:rsidRPr="00D01EFA">
        <w:trPr>
          <w:cantSplit/>
          <w:trHeight w:val="515"/>
          <w:tblHeader/>
        </w:trPr>
        <w:tc>
          <w:tcPr>
            <w:tcW w:w="67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Equity shares (Book price)</w:t>
            </w:r>
          </w:p>
        </w:tc>
        <w:tc>
          <w:tcPr>
            <w:tcW w:w="21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265</w:t>
            </w:r>
          </w:p>
        </w:tc>
      </w:tr>
      <w:tr w:rsidR="00D03F9E" w:rsidRPr="00D01EFA">
        <w:trPr>
          <w:cantSplit/>
          <w:trHeight w:val="515"/>
          <w:tblHeader/>
        </w:trPr>
        <w:tc>
          <w:tcPr>
            <w:tcW w:w="67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Cost of equity</w:t>
            </w:r>
          </w:p>
        </w:tc>
        <w:tc>
          <w:tcPr>
            <w:tcW w:w="21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11.73%</w:t>
            </w:r>
          </w:p>
        </w:tc>
      </w:tr>
    </w:tbl>
    <w:p w:rsidR="00D03F9E" w:rsidRPr="00D01EFA" w:rsidRDefault="00A14766">
      <w:pPr>
        <w:pStyle w:val="normal0"/>
        <w:spacing w:before="240" w:after="240"/>
        <w:rPr>
          <w:lang w:val="en-GB"/>
        </w:rPr>
      </w:pPr>
      <w:r w:rsidRPr="00D01EFA">
        <w:rPr>
          <w:lang w:val="en-GB"/>
        </w:rPr>
        <w:t xml:space="preserve"> </w:t>
      </w:r>
    </w:p>
    <w:tbl>
      <w:tblPr>
        <w:tblStyle w:val="a2"/>
        <w:tblW w:w="8865" w:type="dxa"/>
        <w:tblBorders>
          <w:top w:val="nil"/>
          <w:left w:val="nil"/>
          <w:bottom w:val="nil"/>
          <w:right w:val="nil"/>
          <w:insideH w:val="nil"/>
          <w:insideV w:val="nil"/>
        </w:tblBorders>
        <w:tblLayout w:type="fixed"/>
        <w:tblLook w:val="0600"/>
      </w:tblPr>
      <w:tblGrid>
        <w:gridCol w:w="7215"/>
        <w:gridCol w:w="1650"/>
      </w:tblGrid>
      <w:tr w:rsidR="00D03F9E" w:rsidRPr="00D01EFA">
        <w:trPr>
          <w:cantSplit/>
          <w:trHeight w:val="515"/>
          <w:tblHeader/>
        </w:trPr>
        <w:tc>
          <w:tcPr>
            <w:tcW w:w="88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Preference share cost</w:t>
            </w:r>
          </w:p>
        </w:tc>
      </w:tr>
      <w:tr w:rsidR="00D03F9E" w:rsidRPr="00D01EFA">
        <w:trPr>
          <w:cantSplit/>
          <w:trHeight w:val="515"/>
          <w:tblHeader/>
        </w:trPr>
        <w:tc>
          <w:tcPr>
            <w:tcW w:w="721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Particulars</w:t>
            </w:r>
          </w:p>
        </w:tc>
        <w:tc>
          <w:tcPr>
            <w:tcW w:w="16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Values</w:t>
            </w:r>
          </w:p>
        </w:tc>
      </w:tr>
      <w:tr w:rsidR="00D03F9E" w:rsidRPr="00D01EFA">
        <w:trPr>
          <w:cantSplit/>
          <w:trHeight w:val="515"/>
          <w:tblHeader/>
        </w:trPr>
        <w:tc>
          <w:tcPr>
            <w:tcW w:w="721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Dividend rate payable (pref. share)</w:t>
            </w:r>
          </w:p>
        </w:tc>
        <w:tc>
          <w:tcPr>
            <w:tcW w:w="16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w:t>
            </w:r>
          </w:p>
        </w:tc>
      </w:tr>
      <w:tr w:rsidR="00D03F9E" w:rsidRPr="00D01EFA">
        <w:trPr>
          <w:cantSplit/>
          <w:trHeight w:val="515"/>
          <w:tblHeader/>
        </w:trPr>
        <w:tc>
          <w:tcPr>
            <w:tcW w:w="721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Preference share (market value)</w:t>
            </w:r>
          </w:p>
        </w:tc>
        <w:tc>
          <w:tcPr>
            <w:tcW w:w="16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75</w:t>
            </w:r>
          </w:p>
        </w:tc>
      </w:tr>
      <w:tr w:rsidR="00D03F9E" w:rsidRPr="00D01EFA">
        <w:trPr>
          <w:cantSplit/>
          <w:trHeight w:val="515"/>
          <w:tblHeader/>
        </w:trPr>
        <w:tc>
          <w:tcPr>
            <w:tcW w:w="721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Cost of preference share</w:t>
            </w:r>
          </w:p>
        </w:tc>
        <w:tc>
          <w:tcPr>
            <w:tcW w:w="16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9.33%</w:t>
            </w:r>
          </w:p>
        </w:tc>
      </w:tr>
    </w:tbl>
    <w:p w:rsidR="00D03F9E" w:rsidRPr="00D01EFA" w:rsidRDefault="00A14766">
      <w:pPr>
        <w:pStyle w:val="normal0"/>
        <w:spacing w:before="240" w:after="240"/>
        <w:rPr>
          <w:lang w:val="en-GB"/>
        </w:rPr>
      </w:pPr>
      <w:r w:rsidRPr="00D01EFA">
        <w:rPr>
          <w:lang w:val="en-GB"/>
        </w:rPr>
        <w:t xml:space="preserve"> </w:t>
      </w:r>
    </w:p>
    <w:tbl>
      <w:tblPr>
        <w:tblStyle w:val="a3"/>
        <w:tblW w:w="8865" w:type="dxa"/>
        <w:tblBorders>
          <w:top w:val="nil"/>
          <w:left w:val="nil"/>
          <w:bottom w:val="nil"/>
          <w:right w:val="nil"/>
          <w:insideH w:val="nil"/>
          <w:insideV w:val="nil"/>
        </w:tblBorders>
        <w:tblLayout w:type="fixed"/>
        <w:tblLook w:val="0600"/>
      </w:tblPr>
      <w:tblGrid>
        <w:gridCol w:w="6825"/>
        <w:gridCol w:w="2040"/>
      </w:tblGrid>
      <w:tr w:rsidR="00D03F9E" w:rsidRPr="00D01EFA">
        <w:trPr>
          <w:cantSplit/>
          <w:trHeight w:val="515"/>
          <w:tblHeader/>
        </w:trPr>
        <w:tc>
          <w:tcPr>
            <w:tcW w:w="88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630A14">
            <w:pPr>
              <w:pStyle w:val="normal0"/>
              <w:spacing w:before="240"/>
              <w:rPr>
                <w:b/>
                <w:lang w:val="en-GB"/>
              </w:rPr>
            </w:pPr>
            <w:r w:rsidRPr="00D01EFA">
              <w:rPr>
                <w:b/>
                <w:lang w:val="en-GB"/>
              </w:rPr>
              <w:t>Redeemable</w:t>
            </w:r>
            <w:r w:rsidR="00A14766" w:rsidRPr="00D01EFA">
              <w:rPr>
                <w:b/>
                <w:lang w:val="en-GB"/>
              </w:rPr>
              <w:t xml:space="preserve"> bonds cost</w:t>
            </w:r>
          </w:p>
        </w:tc>
      </w:tr>
      <w:tr w:rsidR="00D03F9E" w:rsidRPr="00D01EFA">
        <w:trPr>
          <w:cantSplit/>
          <w:trHeight w:val="515"/>
          <w:tblHeader/>
        </w:trPr>
        <w:tc>
          <w:tcPr>
            <w:tcW w:w="68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Particulars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Values</w:t>
            </w:r>
          </w:p>
        </w:tc>
      </w:tr>
      <w:tr w:rsidR="00D03F9E" w:rsidRPr="00D01EFA">
        <w:trPr>
          <w:cantSplit/>
          <w:trHeight w:val="515"/>
          <w:tblHeader/>
        </w:trPr>
        <w:tc>
          <w:tcPr>
            <w:tcW w:w="68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Bond rate</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w:t>
            </w:r>
          </w:p>
        </w:tc>
      </w:tr>
      <w:tr w:rsidR="00D03F9E" w:rsidRPr="00D01EFA">
        <w:trPr>
          <w:cantSplit/>
          <w:trHeight w:val="515"/>
          <w:tblHeader/>
        </w:trPr>
        <w:tc>
          <w:tcPr>
            <w:tcW w:w="68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Corporate tax rate</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30%</w:t>
            </w:r>
          </w:p>
        </w:tc>
      </w:tr>
      <w:tr w:rsidR="00D03F9E" w:rsidRPr="00D01EFA">
        <w:trPr>
          <w:cantSplit/>
          <w:trHeight w:val="515"/>
          <w:tblHeader/>
        </w:trPr>
        <w:tc>
          <w:tcPr>
            <w:tcW w:w="68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Bond (market price)</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102</w:t>
            </w:r>
          </w:p>
        </w:tc>
      </w:tr>
      <w:tr w:rsidR="00D03F9E" w:rsidRPr="00D01EFA">
        <w:trPr>
          <w:cantSplit/>
          <w:trHeight w:val="515"/>
          <w:tblHeader/>
        </w:trPr>
        <w:tc>
          <w:tcPr>
            <w:tcW w:w="68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Redeemable bonds cost</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6.86%</w:t>
            </w:r>
          </w:p>
        </w:tc>
      </w:tr>
    </w:tbl>
    <w:p w:rsidR="00D03F9E" w:rsidRPr="00D01EFA" w:rsidRDefault="00A14766">
      <w:pPr>
        <w:pStyle w:val="normal0"/>
        <w:spacing w:before="240" w:after="240"/>
        <w:rPr>
          <w:lang w:val="en-GB"/>
        </w:rPr>
      </w:pPr>
      <w:r w:rsidRPr="00D01EFA">
        <w:rPr>
          <w:lang w:val="en-GB"/>
        </w:rPr>
        <w:t xml:space="preserve"> </w:t>
      </w:r>
    </w:p>
    <w:p w:rsidR="00D03F9E" w:rsidRPr="00D01EFA" w:rsidRDefault="00A14766">
      <w:pPr>
        <w:pStyle w:val="normal0"/>
        <w:spacing w:before="240" w:after="240"/>
        <w:rPr>
          <w:lang w:val="en-GB"/>
        </w:rPr>
      </w:pPr>
      <w:r w:rsidRPr="00D01EFA">
        <w:rPr>
          <w:lang w:val="en-GB"/>
        </w:rPr>
        <w:lastRenderedPageBreak/>
        <w:t xml:space="preserve"> </w:t>
      </w:r>
    </w:p>
    <w:p w:rsidR="00D03F9E" w:rsidRPr="00D01EFA" w:rsidRDefault="00A14766">
      <w:pPr>
        <w:pStyle w:val="normal0"/>
        <w:spacing w:before="240" w:after="240"/>
        <w:rPr>
          <w:lang w:val="en-GB"/>
        </w:rPr>
      </w:pPr>
      <w:r w:rsidRPr="00D01EFA">
        <w:rPr>
          <w:lang w:val="en-GB"/>
        </w:rPr>
        <w:t xml:space="preserve"> </w:t>
      </w:r>
    </w:p>
    <w:tbl>
      <w:tblPr>
        <w:tblStyle w:val="a4"/>
        <w:tblW w:w="8880" w:type="dxa"/>
        <w:tblBorders>
          <w:top w:val="nil"/>
          <w:left w:val="nil"/>
          <w:bottom w:val="nil"/>
          <w:right w:val="nil"/>
          <w:insideH w:val="nil"/>
          <w:insideV w:val="nil"/>
        </w:tblBorders>
        <w:tblLayout w:type="fixed"/>
        <w:tblLook w:val="0600"/>
      </w:tblPr>
      <w:tblGrid>
        <w:gridCol w:w="3195"/>
        <w:gridCol w:w="1980"/>
        <w:gridCol w:w="1680"/>
        <w:gridCol w:w="2025"/>
      </w:tblGrid>
      <w:tr w:rsidR="00D03F9E" w:rsidRPr="00D01EFA">
        <w:trPr>
          <w:cantSplit/>
          <w:trHeight w:val="515"/>
          <w:tblHeader/>
        </w:trPr>
        <w:tc>
          <w:tcPr>
            <w:tcW w:w="31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Sources of funds</w:t>
            </w:r>
          </w:p>
        </w:tc>
        <w:tc>
          <w:tcPr>
            <w:tcW w:w="198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Book price</w:t>
            </w:r>
          </w:p>
        </w:tc>
        <w:tc>
          <w:tcPr>
            <w:tcW w:w="168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Rates</w:t>
            </w:r>
          </w:p>
        </w:tc>
        <w:tc>
          <w:tcPr>
            <w:tcW w:w="202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Market price</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Equity shares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15000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2.65</w:t>
            </w: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39750</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Capital and reserves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10000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2.65</w:t>
            </w: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26500</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 preference shares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10000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0.75</w:t>
            </w: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7500</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 bonds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15000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1.02</w:t>
            </w: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15300</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Total sources of funds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50000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D03F9E">
            <w:pPr>
              <w:pStyle w:val="normal0"/>
              <w:rPr>
                <w:lang w:val="en-GB"/>
              </w:rPr>
            </w:pP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89050</w:t>
            </w:r>
          </w:p>
        </w:tc>
      </w:tr>
    </w:tbl>
    <w:p w:rsidR="00D03F9E" w:rsidRPr="00D01EFA" w:rsidRDefault="00A14766">
      <w:pPr>
        <w:pStyle w:val="normal0"/>
        <w:spacing w:before="240" w:after="240"/>
        <w:rPr>
          <w:lang w:val="en-GB"/>
        </w:rPr>
      </w:pPr>
      <w:r w:rsidRPr="00D01EFA">
        <w:rPr>
          <w:lang w:val="en-GB"/>
        </w:rPr>
        <w:t xml:space="preserve"> </w:t>
      </w:r>
    </w:p>
    <w:tbl>
      <w:tblPr>
        <w:tblStyle w:val="a5"/>
        <w:tblW w:w="8880" w:type="dxa"/>
        <w:tblBorders>
          <w:top w:val="nil"/>
          <w:left w:val="nil"/>
          <w:bottom w:val="nil"/>
          <w:right w:val="nil"/>
          <w:insideH w:val="nil"/>
          <w:insideV w:val="nil"/>
        </w:tblBorders>
        <w:tblLayout w:type="fixed"/>
        <w:tblLook w:val="0600"/>
      </w:tblPr>
      <w:tblGrid>
        <w:gridCol w:w="3195"/>
        <w:gridCol w:w="1980"/>
        <w:gridCol w:w="1680"/>
        <w:gridCol w:w="2025"/>
      </w:tblGrid>
      <w:tr w:rsidR="00D03F9E" w:rsidRPr="00D01EFA">
        <w:trPr>
          <w:cantSplit/>
          <w:trHeight w:val="515"/>
          <w:tblHeader/>
        </w:trPr>
        <w:tc>
          <w:tcPr>
            <w:tcW w:w="31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Sources of funds</w:t>
            </w:r>
          </w:p>
        </w:tc>
        <w:tc>
          <w:tcPr>
            <w:tcW w:w="198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Book price</w:t>
            </w:r>
          </w:p>
        </w:tc>
        <w:tc>
          <w:tcPr>
            <w:tcW w:w="168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Rates</w:t>
            </w:r>
          </w:p>
        </w:tc>
        <w:tc>
          <w:tcPr>
            <w:tcW w:w="202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Cost of capital</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Equity shares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15000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11.73%</w:t>
            </w: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1758.9</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Capital and reserves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10000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11.73%</w:t>
            </w: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1172.6</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 preference shares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10000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9.33%</w:t>
            </w: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933.3</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 bonds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15000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6.86%</w:t>
            </w: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1029.4</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Total sources of funds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50000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D03F9E">
            <w:pPr>
              <w:pStyle w:val="normal0"/>
              <w:rPr>
                <w:lang w:val="en-GB"/>
              </w:rPr>
            </w:pP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4894.2</w:t>
            </w:r>
          </w:p>
        </w:tc>
      </w:tr>
      <w:tr w:rsidR="00D03F9E" w:rsidRPr="00D01EFA">
        <w:trPr>
          <w:cantSplit/>
          <w:trHeight w:val="515"/>
          <w:tblHeader/>
        </w:trPr>
        <w:tc>
          <w:tcPr>
            <w:tcW w:w="685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WACC as per book price</w:t>
            </w: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9.8%</w:t>
            </w:r>
          </w:p>
        </w:tc>
      </w:tr>
    </w:tbl>
    <w:p w:rsidR="00D03F9E" w:rsidRPr="00D01EFA" w:rsidRDefault="00A14766">
      <w:pPr>
        <w:pStyle w:val="normal0"/>
        <w:spacing w:before="240" w:after="240"/>
        <w:rPr>
          <w:lang w:val="en-GB"/>
        </w:rPr>
      </w:pPr>
      <w:r w:rsidRPr="00D01EFA">
        <w:rPr>
          <w:lang w:val="en-GB"/>
        </w:rPr>
        <w:t xml:space="preserve"> </w:t>
      </w:r>
    </w:p>
    <w:tbl>
      <w:tblPr>
        <w:tblStyle w:val="a6"/>
        <w:tblW w:w="8880" w:type="dxa"/>
        <w:tblBorders>
          <w:top w:val="nil"/>
          <w:left w:val="nil"/>
          <w:bottom w:val="nil"/>
          <w:right w:val="nil"/>
          <w:insideH w:val="nil"/>
          <w:insideV w:val="nil"/>
        </w:tblBorders>
        <w:tblLayout w:type="fixed"/>
        <w:tblLook w:val="0600"/>
      </w:tblPr>
      <w:tblGrid>
        <w:gridCol w:w="3195"/>
        <w:gridCol w:w="1980"/>
        <w:gridCol w:w="1680"/>
        <w:gridCol w:w="2025"/>
      </w:tblGrid>
      <w:tr w:rsidR="00D03F9E" w:rsidRPr="00D01EFA">
        <w:trPr>
          <w:cantSplit/>
          <w:trHeight w:val="515"/>
          <w:tblHeader/>
        </w:trPr>
        <w:tc>
          <w:tcPr>
            <w:tcW w:w="31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Sources of funds</w:t>
            </w:r>
          </w:p>
        </w:tc>
        <w:tc>
          <w:tcPr>
            <w:tcW w:w="198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Market price</w:t>
            </w:r>
          </w:p>
        </w:tc>
        <w:tc>
          <w:tcPr>
            <w:tcW w:w="168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Rates</w:t>
            </w:r>
          </w:p>
        </w:tc>
        <w:tc>
          <w:tcPr>
            <w:tcW w:w="202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Cost of capital</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lastRenderedPageBreak/>
              <w:t>Equity shares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39750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11.73%</w:t>
            </w: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4661</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Capital and reserves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26500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11.73%</w:t>
            </w: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3107</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 preference shares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7500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9.33%</w:t>
            </w: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700</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 bonds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15300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6.86%</w:t>
            </w: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1050</w:t>
            </w:r>
          </w:p>
        </w:tc>
      </w:tr>
      <w:tr w:rsidR="00D03F9E" w:rsidRPr="00D01EFA">
        <w:trPr>
          <w:cantSplit/>
          <w:trHeight w:val="515"/>
          <w:tblHeader/>
        </w:trPr>
        <w:tc>
          <w:tcPr>
            <w:tcW w:w="31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Total sources of funds</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89050</w:t>
            </w:r>
          </w:p>
        </w:tc>
        <w:tc>
          <w:tcPr>
            <w:tcW w:w="16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D03F9E">
            <w:pPr>
              <w:pStyle w:val="normal0"/>
              <w:rPr>
                <w:lang w:val="en-GB"/>
              </w:rPr>
            </w:pP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9518</w:t>
            </w:r>
          </w:p>
        </w:tc>
      </w:tr>
      <w:tr w:rsidR="00D03F9E" w:rsidRPr="00D01EFA">
        <w:trPr>
          <w:cantSplit/>
          <w:trHeight w:val="515"/>
          <w:tblHeader/>
        </w:trPr>
        <w:tc>
          <w:tcPr>
            <w:tcW w:w="685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WACC as per market price</w:t>
            </w:r>
          </w:p>
        </w:tc>
        <w:tc>
          <w:tcPr>
            <w:tcW w:w="20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10.7%</w:t>
            </w:r>
          </w:p>
        </w:tc>
      </w:tr>
    </w:tbl>
    <w:p w:rsidR="00D03F9E" w:rsidRPr="00D01EFA" w:rsidRDefault="00D03F9E">
      <w:pPr>
        <w:pStyle w:val="normal0"/>
        <w:rPr>
          <w:lang w:val="en-GB"/>
        </w:rPr>
      </w:pPr>
    </w:p>
    <w:p w:rsidR="00D03F9E" w:rsidRPr="00D01EFA" w:rsidRDefault="00A14766">
      <w:pPr>
        <w:pStyle w:val="Heading1"/>
        <w:spacing w:before="200" w:after="200" w:line="360" w:lineRule="auto"/>
        <w:rPr>
          <w:lang w:val="en-GB"/>
        </w:rPr>
      </w:pPr>
      <w:bookmarkStart w:id="3" w:name="_wkrbi12xl78p" w:colFirst="0" w:colLast="0"/>
      <w:bookmarkStart w:id="4" w:name="_Toc132646769"/>
      <w:bookmarkEnd w:id="3"/>
      <w:r w:rsidRPr="00D01EFA">
        <w:rPr>
          <w:lang w:val="en-GB"/>
        </w:rPr>
        <w:t>B. Recalculation of company’s cost of capital as per proposed changes</w:t>
      </w:r>
      <w:bookmarkEnd w:id="4"/>
    </w:p>
    <w:p w:rsidR="00D03F9E" w:rsidRPr="00D01EFA" w:rsidRDefault="00D03F9E">
      <w:pPr>
        <w:pStyle w:val="normal0"/>
        <w:rPr>
          <w:lang w:val="en-GB"/>
        </w:rPr>
      </w:pPr>
    </w:p>
    <w:tbl>
      <w:tblPr>
        <w:tblStyle w:val="a7"/>
        <w:tblW w:w="8865" w:type="dxa"/>
        <w:tblBorders>
          <w:top w:val="nil"/>
          <w:left w:val="nil"/>
          <w:bottom w:val="nil"/>
          <w:right w:val="nil"/>
          <w:insideH w:val="nil"/>
          <w:insideV w:val="nil"/>
        </w:tblBorders>
        <w:tblLayout w:type="fixed"/>
        <w:tblLook w:val="0600"/>
      </w:tblPr>
      <w:tblGrid>
        <w:gridCol w:w="6405"/>
        <w:gridCol w:w="2460"/>
      </w:tblGrid>
      <w:tr w:rsidR="00D03F9E" w:rsidRPr="00D01EFA">
        <w:trPr>
          <w:cantSplit/>
          <w:trHeight w:val="515"/>
          <w:tblHeader/>
        </w:trPr>
        <w:tc>
          <w:tcPr>
            <w:tcW w:w="64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Sources of funds</w:t>
            </w:r>
          </w:p>
        </w:tc>
        <w:tc>
          <w:tcPr>
            <w:tcW w:w="2460"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Amt (£'000)</w:t>
            </w:r>
          </w:p>
        </w:tc>
      </w:tr>
      <w:tr w:rsidR="00D03F9E" w:rsidRPr="00D01EFA">
        <w:trPr>
          <w:cantSplit/>
          <w:trHeight w:val="515"/>
          <w:tblHeader/>
        </w:trPr>
        <w:tc>
          <w:tcPr>
            <w:tcW w:w="64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Equity shares (£1/share)</w:t>
            </w:r>
          </w:p>
        </w:tc>
        <w:tc>
          <w:tcPr>
            <w:tcW w:w="246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15000</w:t>
            </w:r>
          </w:p>
        </w:tc>
      </w:tr>
      <w:tr w:rsidR="00D03F9E" w:rsidRPr="00D01EFA">
        <w:trPr>
          <w:cantSplit/>
          <w:trHeight w:val="515"/>
          <w:tblHeader/>
        </w:trPr>
        <w:tc>
          <w:tcPr>
            <w:tcW w:w="64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Capital and Reserves</w:t>
            </w:r>
          </w:p>
        </w:tc>
        <w:tc>
          <w:tcPr>
            <w:tcW w:w="246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10000</w:t>
            </w:r>
          </w:p>
        </w:tc>
      </w:tr>
      <w:tr w:rsidR="00D03F9E" w:rsidRPr="00D01EFA">
        <w:trPr>
          <w:cantSplit/>
          <w:trHeight w:val="515"/>
          <w:tblHeader/>
        </w:trPr>
        <w:tc>
          <w:tcPr>
            <w:tcW w:w="64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 preference share (£1/share)</w:t>
            </w:r>
          </w:p>
        </w:tc>
        <w:tc>
          <w:tcPr>
            <w:tcW w:w="246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10000</w:t>
            </w:r>
          </w:p>
        </w:tc>
      </w:tr>
      <w:tr w:rsidR="00D03F9E" w:rsidRPr="00D01EFA">
        <w:trPr>
          <w:cantSplit/>
          <w:trHeight w:val="515"/>
          <w:tblHeader/>
        </w:trPr>
        <w:tc>
          <w:tcPr>
            <w:tcW w:w="64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 redeemable bonds</w:t>
            </w:r>
          </w:p>
        </w:tc>
        <w:tc>
          <w:tcPr>
            <w:tcW w:w="246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15000</w:t>
            </w:r>
          </w:p>
        </w:tc>
      </w:tr>
      <w:tr w:rsidR="00D03F9E" w:rsidRPr="00D01EFA">
        <w:trPr>
          <w:cantSplit/>
          <w:trHeight w:val="515"/>
          <w:tblHeader/>
        </w:trPr>
        <w:tc>
          <w:tcPr>
            <w:tcW w:w="64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Total sources of funds</w:t>
            </w:r>
          </w:p>
        </w:tc>
        <w:tc>
          <w:tcPr>
            <w:tcW w:w="246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50000</w:t>
            </w:r>
          </w:p>
        </w:tc>
      </w:tr>
    </w:tbl>
    <w:p w:rsidR="00D03F9E" w:rsidRPr="00D01EFA" w:rsidRDefault="00A14766">
      <w:pPr>
        <w:pStyle w:val="normal0"/>
        <w:spacing w:before="240" w:after="240"/>
        <w:rPr>
          <w:lang w:val="en-GB"/>
        </w:rPr>
      </w:pPr>
      <w:r w:rsidRPr="00D01EFA">
        <w:rPr>
          <w:lang w:val="en-GB"/>
        </w:rPr>
        <w:t xml:space="preserve"> </w:t>
      </w:r>
    </w:p>
    <w:tbl>
      <w:tblPr>
        <w:tblStyle w:val="a8"/>
        <w:tblW w:w="8865" w:type="dxa"/>
        <w:tblBorders>
          <w:top w:val="nil"/>
          <w:left w:val="nil"/>
          <w:bottom w:val="nil"/>
          <w:right w:val="nil"/>
          <w:insideH w:val="nil"/>
          <w:insideV w:val="nil"/>
        </w:tblBorders>
        <w:tblLayout w:type="fixed"/>
        <w:tblLook w:val="0600"/>
      </w:tblPr>
      <w:tblGrid>
        <w:gridCol w:w="5895"/>
        <w:gridCol w:w="2970"/>
      </w:tblGrid>
      <w:tr w:rsidR="00D03F9E" w:rsidRPr="00D01EFA">
        <w:trPr>
          <w:cantSplit/>
          <w:trHeight w:val="515"/>
          <w:tblHeader/>
        </w:trPr>
        <w:tc>
          <w:tcPr>
            <w:tcW w:w="886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Growth rate calculation</w:t>
            </w:r>
          </w:p>
        </w:tc>
      </w:tr>
      <w:tr w:rsidR="00D03F9E" w:rsidRPr="00D01EFA">
        <w:trPr>
          <w:cantSplit/>
          <w:trHeight w:val="515"/>
          <w:tblHeader/>
        </w:trPr>
        <w:tc>
          <w:tcPr>
            <w:tcW w:w="58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Particulars</w:t>
            </w:r>
          </w:p>
        </w:tc>
        <w:tc>
          <w:tcPr>
            <w:tcW w:w="29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Amt (£)</w:t>
            </w:r>
          </w:p>
        </w:tc>
      </w:tr>
      <w:tr w:rsidR="00D03F9E" w:rsidRPr="00D01EFA">
        <w:trPr>
          <w:cantSplit/>
          <w:trHeight w:val="515"/>
          <w:tblHeader/>
        </w:trPr>
        <w:tc>
          <w:tcPr>
            <w:tcW w:w="58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Present dividend</w:t>
            </w:r>
          </w:p>
        </w:tc>
        <w:tc>
          <w:tcPr>
            <w:tcW w:w="29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29</w:t>
            </w:r>
          </w:p>
        </w:tc>
      </w:tr>
      <w:tr w:rsidR="00D03F9E" w:rsidRPr="00D01EFA">
        <w:trPr>
          <w:cantSplit/>
          <w:trHeight w:val="515"/>
          <w:tblHeader/>
        </w:trPr>
        <w:tc>
          <w:tcPr>
            <w:tcW w:w="58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lastRenderedPageBreak/>
              <w:t>Past dividend</w:t>
            </w:r>
          </w:p>
        </w:tc>
        <w:tc>
          <w:tcPr>
            <w:tcW w:w="29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22</w:t>
            </w:r>
          </w:p>
        </w:tc>
      </w:tr>
      <w:tr w:rsidR="00D03F9E" w:rsidRPr="00D01EFA">
        <w:trPr>
          <w:cantSplit/>
          <w:trHeight w:val="515"/>
          <w:tblHeader/>
        </w:trPr>
        <w:tc>
          <w:tcPr>
            <w:tcW w:w="58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Total years</w:t>
            </w:r>
          </w:p>
        </w:tc>
        <w:tc>
          <w:tcPr>
            <w:tcW w:w="29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4</w:t>
            </w:r>
          </w:p>
        </w:tc>
      </w:tr>
      <w:tr w:rsidR="00D03F9E" w:rsidRPr="00D01EFA">
        <w:trPr>
          <w:cantSplit/>
          <w:trHeight w:val="515"/>
          <w:tblHeader/>
        </w:trPr>
        <w:tc>
          <w:tcPr>
            <w:tcW w:w="58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Growth rate</w:t>
            </w:r>
          </w:p>
        </w:tc>
        <w:tc>
          <w:tcPr>
            <w:tcW w:w="29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7.15%</w:t>
            </w:r>
          </w:p>
        </w:tc>
      </w:tr>
    </w:tbl>
    <w:p w:rsidR="00D03F9E" w:rsidRPr="00D01EFA" w:rsidRDefault="00A14766">
      <w:pPr>
        <w:pStyle w:val="normal0"/>
        <w:spacing w:before="240" w:after="240"/>
        <w:rPr>
          <w:lang w:val="en-GB"/>
        </w:rPr>
      </w:pPr>
      <w:r w:rsidRPr="00D01EFA">
        <w:rPr>
          <w:lang w:val="en-GB"/>
        </w:rPr>
        <w:t xml:space="preserve"> </w:t>
      </w:r>
    </w:p>
    <w:tbl>
      <w:tblPr>
        <w:tblStyle w:val="a9"/>
        <w:tblW w:w="8865" w:type="dxa"/>
        <w:tblBorders>
          <w:top w:val="nil"/>
          <w:left w:val="nil"/>
          <w:bottom w:val="nil"/>
          <w:right w:val="nil"/>
          <w:insideH w:val="nil"/>
          <w:insideV w:val="nil"/>
        </w:tblBorders>
        <w:tblLayout w:type="fixed"/>
        <w:tblLook w:val="0600"/>
      </w:tblPr>
      <w:tblGrid>
        <w:gridCol w:w="6735"/>
        <w:gridCol w:w="2130"/>
      </w:tblGrid>
      <w:tr w:rsidR="00D03F9E" w:rsidRPr="00D01EFA">
        <w:trPr>
          <w:cantSplit/>
          <w:trHeight w:val="515"/>
          <w:tblHeader/>
        </w:trPr>
        <w:tc>
          <w:tcPr>
            <w:tcW w:w="88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Equity cost</w:t>
            </w:r>
          </w:p>
        </w:tc>
      </w:tr>
      <w:tr w:rsidR="00D03F9E" w:rsidRPr="00D01EFA">
        <w:trPr>
          <w:cantSplit/>
          <w:trHeight w:val="515"/>
          <w:tblHeader/>
        </w:trPr>
        <w:tc>
          <w:tcPr>
            <w:tcW w:w="67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Particulars</w:t>
            </w:r>
          </w:p>
        </w:tc>
        <w:tc>
          <w:tcPr>
            <w:tcW w:w="21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Values</w:t>
            </w:r>
          </w:p>
        </w:tc>
      </w:tr>
      <w:tr w:rsidR="00D03F9E" w:rsidRPr="00D01EFA">
        <w:trPr>
          <w:cantSplit/>
          <w:trHeight w:val="515"/>
          <w:tblHeader/>
        </w:trPr>
        <w:tc>
          <w:tcPr>
            <w:tcW w:w="67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Dividend (last year)</w:t>
            </w:r>
          </w:p>
        </w:tc>
        <w:tc>
          <w:tcPr>
            <w:tcW w:w="21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29</w:t>
            </w:r>
          </w:p>
        </w:tc>
      </w:tr>
      <w:tr w:rsidR="00D03F9E" w:rsidRPr="00D01EFA">
        <w:trPr>
          <w:cantSplit/>
          <w:trHeight w:val="515"/>
          <w:tblHeader/>
        </w:trPr>
        <w:tc>
          <w:tcPr>
            <w:tcW w:w="67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Growth rate</w:t>
            </w:r>
          </w:p>
        </w:tc>
        <w:tc>
          <w:tcPr>
            <w:tcW w:w="21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w:t>
            </w:r>
          </w:p>
        </w:tc>
      </w:tr>
      <w:tr w:rsidR="00D03F9E" w:rsidRPr="00D01EFA">
        <w:trPr>
          <w:cantSplit/>
          <w:trHeight w:val="515"/>
          <w:tblHeader/>
        </w:trPr>
        <w:tc>
          <w:tcPr>
            <w:tcW w:w="67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Equity shares (Book price)</w:t>
            </w:r>
          </w:p>
        </w:tc>
        <w:tc>
          <w:tcPr>
            <w:tcW w:w="21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278</w:t>
            </w:r>
          </w:p>
        </w:tc>
      </w:tr>
      <w:tr w:rsidR="00D03F9E" w:rsidRPr="00D01EFA">
        <w:trPr>
          <w:cantSplit/>
          <w:trHeight w:val="515"/>
          <w:tblHeader/>
        </w:trPr>
        <w:tc>
          <w:tcPr>
            <w:tcW w:w="67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Cost of equity</w:t>
            </w:r>
          </w:p>
        </w:tc>
        <w:tc>
          <w:tcPr>
            <w:tcW w:w="21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11.18%</w:t>
            </w:r>
          </w:p>
        </w:tc>
      </w:tr>
    </w:tbl>
    <w:tbl>
      <w:tblPr>
        <w:tblStyle w:val="aa"/>
        <w:tblW w:w="8865" w:type="dxa"/>
        <w:tblBorders>
          <w:top w:val="nil"/>
          <w:left w:val="nil"/>
          <w:bottom w:val="nil"/>
          <w:right w:val="nil"/>
          <w:insideH w:val="nil"/>
          <w:insideV w:val="nil"/>
        </w:tblBorders>
        <w:tblLayout w:type="fixed"/>
        <w:tblLook w:val="0600"/>
      </w:tblPr>
      <w:tblGrid>
        <w:gridCol w:w="7290"/>
        <w:gridCol w:w="1575"/>
      </w:tblGrid>
      <w:tr w:rsidR="00D03F9E" w:rsidRPr="00D01EFA">
        <w:trPr>
          <w:cantSplit/>
          <w:trHeight w:val="515"/>
          <w:tblHeader/>
        </w:trPr>
        <w:tc>
          <w:tcPr>
            <w:tcW w:w="88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Preference share cost</w:t>
            </w:r>
          </w:p>
        </w:tc>
      </w:tr>
      <w:tr w:rsidR="00D03F9E" w:rsidRPr="00D01EFA">
        <w:trPr>
          <w:cantSplit/>
          <w:trHeight w:val="515"/>
          <w:tblHeader/>
        </w:trPr>
        <w:tc>
          <w:tcPr>
            <w:tcW w:w="729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Particulars</w:t>
            </w:r>
          </w:p>
        </w:tc>
        <w:tc>
          <w:tcPr>
            <w:tcW w:w="15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Values</w:t>
            </w:r>
          </w:p>
        </w:tc>
      </w:tr>
      <w:tr w:rsidR="00D03F9E" w:rsidRPr="00D01EFA">
        <w:trPr>
          <w:cantSplit/>
          <w:trHeight w:val="515"/>
          <w:tblHeader/>
        </w:trPr>
        <w:tc>
          <w:tcPr>
            <w:tcW w:w="729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Dividend rate payable (pref. share)</w:t>
            </w:r>
          </w:p>
        </w:tc>
        <w:tc>
          <w:tcPr>
            <w:tcW w:w="15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w:t>
            </w:r>
          </w:p>
        </w:tc>
      </w:tr>
      <w:tr w:rsidR="00D03F9E" w:rsidRPr="00D01EFA">
        <w:trPr>
          <w:cantSplit/>
          <w:trHeight w:val="515"/>
          <w:tblHeader/>
        </w:trPr>
        <w:tc>
          <w:tcPr>
            <w:tcW w:w="729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Preference share (market value)</w:t>
            </w:r>
          </w:p>
        </w:tc>
        <w:tc>
          <w:tcPr>
            <w:tcW w:w="15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75</w:t>
            </w:r>
          </w:p>
        </w:tc>
      </w:tr>
      <w:tr w:rsidR="00D03F9E" w:rsidRPr="00D01EFA">
        <w:trPr>
          <w:cantSplit/>
          <w:trHeight w:val="515"/>
          <w:tblHeader/>
        </w:trPr>
        <w:tc>
          <w:tcPr>
            <w:tcW w:w="729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Cost of preference share</w:t>
            </w:r>
          </w:p>
        </w:tc>
        <w:tc>
          <w:tcPr>
            <w:tcW w:w="15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9.33%</w:t>
            </w:r>
          </w:p>
        </w:tc>
      </w:tr>
    </w:tbl>
    <w:p w:rsidR="00D03F9E" w:rsidRPr="00D01EFA" w:rsidRDefault="00A14766">
      <w:pPr>
        <w:pStyle w:val="normal0"/>
        <w:spacing w:before="240" w:after="240"/>
        <w:rPr>
          <w:lang w:val="en-GB"/>
        </w:rPr>
      </w:pPr>
      <w:r w:rsidRPr="00D01EFA">
        <w:rPr>
          <w:lang w:val="en-GB"/>
        </w:rPr>
        <w:t xml:space="preserve"> </w:t>
      </w:r>
    </w:p>
    <w:tbl>
      <w:tblPr>
        <w:tblStyle w:val="ab"/>
        <w:tblW w:w="8865" w:type="dxa"/>
        <w:tblBorders>
          <w:top w:val="nil"/>
          <w:left w:val="nil"/>
          <w:bottom w:val="nil"/>
          <w:right w:val="nil"/>
          <w:insideH w:val="nil"/>
          <w:insideV w:val="nil"/>
        </w:tblBorders>
        <w:tblLayout w:type="fixed"/>
        <w:tblLook w:val="0600"/>
      </w:tblPr>
      <w:tblGrid>
        <w:gridCol w:w="6825"/>
        <w:gridCol w:w="2040"/>
      </w:tblGrid>
      <w:tr w:rsidR="00D03F9E" w:rsidRPr="00D01EFA">
        <w:trPr>
          <w:cantSplit/>
          <w:trHeight w:val="515"/>
          <w:tblHeader/>
        </w:trPr>
        <w:tc>
          <w:tcPr>
            <w:tcW w:w="88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Redeemable bonds cost</w:t>
            </w:r>
          </w:p>
        </w:tc>
      </w:tr>
      <w:tr w:rsidR="00D03F9E" w:rsidRPr="00D01EFA">
        <w:trPr>
          <w:cantSplit/>
          <w:trHeight w:val="515"/>
          <w:tblHeader/>
        </w:trPr>
        <w:tc>
          <w:tcPr>
            <w:tcW w:w="68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Particulars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Values</w:t>
            </w:r>
          </w:p>
        </w:tc>
      </w:tr>
      <w:tr w:rsidR="00D03F9E" w:rsidRPr="00D01EFA">
        <w:trPr>
          <w:cantSplit/>
          <w:trHeight w:val="515"/>
          <w:tblHeader/>
        </w:trPr>
        <w:tc>
          <w:tcPr>
            <w:tcW w:w="68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lastRenderedPageBreak/>
              <w:t>Bond rate</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w:t>
            </w:r>
          </w:p>
        </w:tc>
      </w:tr>
      <w:tr w:rsidR="00D03F9E" w:rsidRPr="00D01EFA">
        <w:trPr>
          <w:cantSplit/>
          <w:trHeight w:val="515"/>
          <w:tblHeader/>
        </w:trPr>
        <w:tc>
          <w:tcPr>
            <w:tcW w:w="68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Corporate tax rate</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30%</w:t>
            </w:r>
          </w:p>
        </w:tc>
      </w:tr>
      <w:tr w:rsidR="00D03F9E" w:rsidRPr="00D01EFA">
        <w:trPr>
          <w:cantSplit/>
          <w:trHeight w:val="515"/>
          <w:tblHeader/>
        </w:trPr>
        <w:tc>
          <w:tcPr>
            <w:tcW w:w="68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Bond (market price)</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102</w:t>
            </w:r>
          </w:p>
        </w:tc>
      </w:tr>
      <w:tr w:rsidR="00D03F9E" w:rsidRPr="00D01EFA">
        <w:trPr>
          <w:cantSplit/>
          <w:trHeight w:val="515"/>
          <w:tblHeader/>
        </w:trPr>
        <w:tc>
          <w:tcPr>
            <w:tcW w:w="68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Redeemable bonds cost</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7.55%</w:t>
            </w:r>
          </w:p>
        </w:tc>
      </w:tr>
    </w:tbl>
    <w:p w:rsidR="00D03F9E" w:rsidRPr="00D01EFA" w:rsidRDefault="00A14766">
      <w:pPr>
        <w:pStyle w:val="normal0"/>
        <w:spacing w:before="240" w:after="240"/>
        <w:rPr>
          <w:lang w:val="en-GB"/>
        </w:rPr>
      </w:pPr>
      <w:r w:rsidRPr="00D01EFA">
        <w:rPr>
          <w:lang w:val="en-GB"/>
        </w:rPr>
        <w:t xml:space="preserve"> </w:t>
      </w:r>
    </w:p>
    <w:tbl>
      <w:tblPr>
        <w:tblStyle w:val="ac"/>
        <w:tblW w:w="8865" w:type="dxa"/>
        <w:tblBorders>
          <w:top w:val="nil"/>
          <w:left w:val="nil"/>
          <w:bottom w:val="nil"/>
          <w:right w:val="nil"/>
          <w:insideH w:val="nil"/>
          <w:insideV w:val="nil"/>
        </w:tblBorders>
        <w:tblLayout w:type="fixed"/>
        <w:tblLook w:val="0600"/>
      </w:tblPr>
      <w:tblGrid>
        <w:gridCol w:w="7035"/>
        <w:gridCol w:w="1830"/>
      </w:tblGrid>
      <w:tr w:rsidR="00D03F9E" w:rsidRPr="00D01EFA">
        <w:trPr>
          <w:cantSplit/>
          <w:trHeight w:val="515"/>
          <w:tblHeader/>
        </w:trPr>
        <w:tc>
          <w:tcPr>
            <w:tcW w:w="88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11% redeemable bonds cost</w:t>
            </w:r>
          </w:p>
        </w:tc>
      </w:tr>
      <w:tr w:rsidR="00D03F9E" w:rsidRPr="00D01EFA">
        <w:trPr>
          <w:cantSplit/>
          <w:trHeight w:val="515"/>
          <w:tblHeader/>
        </w:trPr>
        <w:tc>
          <w:tcPr>
            <w:tcW w:w="70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Particulars</w:t>
            </w:r>
          </w:p>
        </w:tc>
        <w:tc>
          <w:tcPr>
            <w:tcW w:w="18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Values</w:t>
            </w:r>
          </w:p>
        </w:tc>
      </w:tr>
      <w:tr w:rsidR="00D03F9E" w:rsidRPr="00D01EFA">
        <w:trPr>
          <w:cantSplit/>
          <w:trHeight w:val="515"/>
          <w:tblHeader/>
        </w:trPr>
        <w:tc>
          <w:tcPr>
            <w:tcW w:w="70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Bond rate</w:t>
            </w:r>
          </w:p>
        </w:tc>
        <w:tc>
          <w:tcPr>
            <w:tcW w:w="18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w:t>
            </w:r>
          </w:p>
        </w:tc>
      </w:tr>
      <w:tr w:rsidR="00D03F9E" w:rsidRPr="00D01EFA">
        <w:trPr>
          <w:cantSplit/>
          <w:trHeight w:val="515"/>
          <w:tblHeader/>
        </w:trPr>
        <w:tc>
          <w:tcPr>
            <w:tcW w:w="70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Corporate tax rate</w:t>
            </w:r>
          </w:p>
        </w:tc>
        <w:tc>
          <w:tcPr>
            <w:tcW w:w="18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30%</w:t>
            </w:r>
          </w:p>
        </w:tc>
      </w:tr>
      <w:tr w:rsidR="00D03F9E" w:rsidRPr="00D01EFA">
        <w:trPr>
          <w:cantSplit/>
          <w:trHeight w:val="515"/>
          <w:tblHeader/>
        </w:trPr>
        <w:tc>
          <w:tcPr>
            <w:tcW w:w="70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Bond (market price)</w:t>
            </w:r>
          </w:p>
        </w:tc>
        <w:tc>
          <w:tcPr>
            <w:tcW w:w="18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105</w:t>
            </w:r>
          </w:p>
        </w:tc>
      </w:tr>
      <w:tr w:rsidR="00D03F9E" w:rsidRPr="00D01EFA">
        <w:trPr>
          <w:cantSplit/>
          <w:trHeight w:val="515"/>
          <w:tblHeader/>
        </w:trPr>
        <w:tc>
          <w:tcPr>
            <w:tcW w:w="70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11% redeemable bond cost</w:t>
            </w:r>
          </w:p>
        </w:tc>
        <w:tc>
          <w:tcPr>
            <w:tcW w:w="18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7.33%</w:t>
            </w:r>
          </w:p>
        </w:tc>
      </w:tr>
    </w:tbl>
    <w:p w:rsidR="00D03F9E" w:rsidRPr="00D01EFA" w:rsidRDefault="00A14766">
      <w:pPr>
        <w:pStyle w:val="normal0"/>
        <w:spacing w:before="240" w:after="240"/>
        <w:rPr>
          <w:lang w:val="en-GB"/>
        </w:rPr>
      </w:pPr>
      <w:r w:rsidRPr="00D01EFA">
        <w:rPr>
          <w:lang w:val="en-GB"/>
        </w:rPr>
        <w:t xml:space="preserve"> </w:t>
      </w:r>
    </w:p>
    <w:tbl>
      <w:tblPr>
        <w:tblStyle w:val="ad"/>
        <w:tblW w:w="8850" w:type="dxa"/>
        <w:tblBorders>
          <w:top w:val="nil"/>
          <w:left w:val="nil"/>
          <w:bottom w:val="nil"/>
          <w:right w:val="nil"/>
          <w:insideH w:val="nil"/>
          <w:insideV w:val="nil"/>
        </w:tblBorders>
        <w:tblLayout w:type="fixed"/>
        <w:tblLook w:val="0600"/>
      </w:tblPr>
      <w:tblGrid>
        <w:gridCol w:w="3300"/>
        <w:gridCol w:w="2040"/>
        <w:gridCol w:w="1335"/>
        <w:gridCol w:w="2175"/>
      </w:tblGrid>
      <w:tr w:rsidR="00D03F9E" w:rsidRPr="00D01EFA">
        <w:trPr>
          <w:cantSplit/>
          <w:trHeight w:val="515"/>
          <w:tblHeader/>
        </w:trPr>
        <w:tc>
          <w:tcPr>
            <w:tcW w:w="33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Sources of funds</w:t>
            </w:r>
          </w:p>
        </w:tc>
        <w:tc>
          <w:tcPr>
            <w:tcW w:w="204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Book price</w:t>
            </w:r>
          </w:p>
        </w:tc>
        <w:tc>
          <w:tcPr>
            <w:tcW w:w="133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Rates</w:t>
            </w:r>
          </w:p>
        </w:tc>
        <w:tc>
          <w:tcPr>
            <w:tcW w:w="217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Market price</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Equity shares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15000</w:t>
            </w:r>
          </w:p>
        </w:tc>
        <w:tc>
          <w:tcPr>
            <w:tcW w:w="13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2.65</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39750</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Capital and reserves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10000</w:t>
            </w:r>
          </w:p>
        </w:tc>
        <w:tc>
          <w:tcPr>
            <w:tcW w:w="13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2.65</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26500</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 preference shares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10000</w:t>
            </w:r>
          </w:p>
        </w:tc>
        <w:tc>
          <w:tcPr>
            <w:tcW w:w="13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0.75</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7500</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 bonds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15000</w:t>
            </w:r>
          </w:p>
        </w:tc>
        <w:tc>
          <w:tcPr>
            <w:tcW w:w="13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1.02</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15300</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 bonds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15000</w:t>
            </w:r>
          </w:p>
        </w:tc>
        <w:tc>
          <w:tcPr>
            <w:tcW w:w="13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1.05</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15750</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lastRenderedPageBreak/>
              <w:t>Total sources of funds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65000</w:t>
            </w:r>
          </w:p>
        </w:tc>
        <w:tc>
          <w:tcPr>
            <w:tcW w:w="13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D03F9E">
            <w:pPr>
              <w:pStyle w:val="normal0"/>
              <w:rPr>
                <w:lang w:val="en-GB"/>
              </w:rPr>
            </w:pP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104800</w:t>
            </w:r>
          </w:p>
        </w:tc>
      </w:tr>
    </w:tbl>
    <w:p w:rsidR="00D03F9E" w:rsidRPr="00D01EFA" w:rsidRDefault="00A14766">
      <w:pPr>
        <w:pStyle w:val="normal0"/>
        <w:spacing w:before="240" w:after="240"/>
        <w:rPr>
          <w:lang w:val="en-GB"/>
        </w:rPr>
      </w:pPr>
      <w:r w:rsidRPr="00D01EFA">
        <w:rPr>
          <w:lang w:val="en-GB"/>
        </w:rPr>
        <w:t xml:space="preserve"> </w:t>
      </w:r>
    </w:p>
    <w:tbl>
      <w:tblPr>
        <w:tblStyle w:val="ae"/>
        <w:tblW w:w="8850" w:type="dxa"/>
        <w:tblBorders>
          <w:top w:val="nil"/>
          <w:left w:val="nil"/>
          <w:bottom w:val="nil"/>
          <w:right w:val="nil"/>
          <w:insideH w:val="nil"/>
          <w:insideV w:val="nil"/>
        </w:tblBorders>
        <w:tblLayout w:type="fixed"/>
        <w:tblLook w:val="0600"/>
      </w:tblPr>
      <w:tblGrid>
        <w:gridCol w:w="3300"/>
        <w:gridCol w:w="2040"/>
        <w:gridCol w:w="1335"/>
        <w:gridCol w:w="2175"/>
      </w:tblGrid>
      <w:tr w:rsidR="00D03F9E" w:rsidRPr="00D01EFA">
        <w:trPr>
          <w:cantSplit/>
          <w:trHeight w:val="515"/>
          <w:tblHeader/>
        </w:trPr>
        <w:tc>
          <w:tcPr>
            <w:tcW w:w="33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Sources of funds</w:t>
            </w:r>
          </w:p>
        </w:tc>
        <w:tc>
          <w:tcPr>
            <w:tcW w:w="204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Book price</w:t>
            </w:r>
          </w:p>
        </w:tc>
        <w:tc>
          <w:tcPr>
            <w:tcW w:w="133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Rates</w:t>
            </w:r>
          </w:p>
        </w:tc>
        <w:tc>
          <w:tcPr>
            <w:tcW w:w="217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Cost of capital</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Equity shares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15000</w:t>
            </w:r>
          </w:p>
        </w:tc>
        <w:tc>
          <w:tcPr>
            <w:tcW w:w="13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11.18%</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1676.63</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Capital and reserves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10000</w:t>
            </w:r>
          </w:p>
        </w:tc>
        <w:tc>
          <w:tcPr>
            <w:tcW w:w="1335" w:type="dxa"/>
            <w:tcBorders>
              <w:top w:val="nil"/>
              <w:left w:val="nil"/>
              <w:bottom w:val="nil"/>
              <w:right w:val="nil"/>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11.18%</w:t>
            </w:r>
          </w:p>
        </w:tc>
        <w:tc>
          <w:tcPr>
            <w:tcW w:w="21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1117.76</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 preference shares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10000</w:t>
            </w:r>
          </w:p>
        </w:tc>
        <w:tc>
          <w:tcPr>
            <w:tcW w:w="133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9.33%</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933.33</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 bonds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15000</w:t>
            </w:r>
          </w:p>
        </w:tc>
        <w:tc>
          <w:tcPr>
            <w:tcW w:w="13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7.55%</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1132.35</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 bonds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15000</w:t>
            </w:r>
          </w:p>
        </w:tc>
        <w:tc>
          <w:tcPr>
            <w:tcW w:w="13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7.33%</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1100.00</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Total sources of funds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65000</w:t>
            </w:r>
          </w:p>
        </w:tc>
        <w:tc>
          <w:tcPr>
            <w:tcW w:w="13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D03F9E">
            <w:pPr>
              <w:pStyle w:val="normal0"/>
              <w:rPr>
                <w:lang w:val="en-GB"/>
              </w:rPr>
            </w:pP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5960.08</w:t>
            </w:r>
          </w:p>
        </w:tc>
      </w:tr>
      <w:tr w:rsidR="00D03F9E" w:rsidRPr="00D01EFA">
        <w:trPr>
          <w:cantSplit/>
          <w:trHeight w:val="515"/>
          <w:tblHeader/>
        </w:trPr>
        <w:tc>
          <w:tcPr>
            <w:tcW w:w="667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WACC as per book price</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9.17%</w:t>
            </w:r>
          </w:p>
        </w:tc>
      </w:tr>
    </w:tbl>
    <w:p w:rsidR="00D03F9E" w:rsidRPr="00D01EFA" w:rsidRDefault="00A14766">
      <w:pPr>
        <w:pStyle w:val="normal0"/>
        <w:spacing w:before="240" w:after="240"/>
        <w:rPr>
          <w:lang w:val="en-GB"/>
        </w:rPr>
      </w:pPr>
      <w:r w:rsidRPr="00D01EFA">
        <w:rPr>
          <w:lang w:val="en-GB"/>
        </w:rPr>
        <w:t xml:space="preserve"> </w:t>
      </w:r>
    </w:p>
    <w:tbl>
      <w:tblPr>
        <w:tblStyle w:val="af"/>
        <w:tblW w:w="8850" w:type="dxa"/>
        <w:tblBorders>
          <w:top w:val="nil"/>
          <w:left w:val="nil"/>
          <w:bottom w:val="nil"/>
          <w:right w:val="nil"/>
          <w:insideH w:val="nil"/>
          <w:insideV w:val="nil"/>
        </w:tblBorders>
        <w:tblLayout w:type="fixed"/>
        <w:tblLook w:val="0600"/>
      </w:tblPr>
      <w:tblGrid>
        <w:gridCol w:w="3300"/>
        <w:gridCol w:w="2040"/>
        <w:gridCol w:w="1335"/>
        <w:gridCol w:w="2175"/>
      </w:tblGrid>
      <w:tr w:rsidR="00D03F9E" w:rsidRPr="00D01EFA">
        <w:trPr>
          <w:cantSplit/>
          <w:trHeight w:val="515"/>
          <w:tblHeader/>
        </w:trPr>
        <w:tc>
          <w:tcPr>
            <w:tcW w:w="33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Sources of funds</w:t>
            </w:r>
          </w:p>
        </w:tc>
        <w:tc>
          <w:tcPr>
            <w:tcW w:w="204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Market price</w:t>
            </w:r>
          </w:p>
        </w:tc>
        <w:tc>
          <w:tcPr>
            <w:tcW w:w="133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Rates</w:t>
            </w:r>
          </w:p>
        </w:tc>
        <w:tc>
          <w:tcPr>
            <w:tcW w:w="217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Cost of capital</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Equity shares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39750</w:t>
            </w:r>
          </w:p>
        </w:tc>
        <w:tc>
          <w:tcPr>
            <w:tcW w:w="13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11.18%</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4443</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Capital and reserves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26500</w:t>
            </w:r>
          </w:p>
        </w:tc>
        <w:tc>
          <w:tcPr>
            <w:tcW w:w="1335" w:type="dxa"/>
            <w:tcBorders>
              <w:top w:val="nil"/>
              <w:left w:val="nil"/>
              <w:bottom w:val="nil"/>
              <w:right w:val="nil"/>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11.18%</w:t>
            </w:r>
          </w:p>
        </w:tc>
        <w:tc>
          <w:tcPr>
            <w:tcW w:w="21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2962</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 preference shares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7500</w:t>
            </w:r>
          </w:p>
        </w:tc>
        <w:tc>
          <w:tcPr>
            <w:tcW w:w="133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9.33%</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700</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10% bonds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15300</w:t>
            </w:r>
          </w:p>
        </w:tc>
        <w:tc>
          <w:tcPr>
            <w:tcW w:w="13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7.55%</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1155</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 bonds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15750</w:t>
            </w:r>
          </w:p>
        </w:tc>
        <w:tc>
          <w:tcPr>
            <w:tcW w:w="13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7.33%</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lang w:val="en-GB"/>
              </w:rPr>
            </w:pPr>
            <w:r w:rsidRPr="00D01EFA">
              <w:rPr>
                <w:lang w:val="en-GB"/>
              </w:rPr>
              <w:t>1155</w:t>
            </w:r>
          </w:p>
        </w:tc>
      </w:tr>
      <w:tr w:rsidR="00D03F9E" w:rsidRPr="00D01EFA">
        <w:trPr>
          <w:cantSplit/>
          <w:trHeight w:val="515"/>
          <w:tblHeader/>
        </w:trPr>
        <w:tc>
          <w:tcPr>
            <w:tcW w:w="33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Total sources of funds</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104800</w:t>
            </w:r>
          </w:p>
        </w:tc>
        <w:tc>
          <w:tcPr>
            <w:tcW w:w="13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D03F9E">
            <w:pPr>
              <w:pStyle w:val="normal0"/>
              <w:rPr>
                <w:lang w:val="en-GB"/>
              </w:rPr>
            </w:pP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10415</w:t>
            </w:r>
          </w:p>
        </w:tc>
      </w:tr>
      <w:tr w:rsidR="00D03F9E" w:rsidRPr="00D01EFA">
        <w:trPr>
          <w:cantSplit/>
          <w:trHeight w:val="515"/>
          <w:tblHeader/>
        </w:trPr>
        <w:tc>
          <w:tcPr>
            <w:tcW w:w="667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lastRenderedPageBreak/>
              <w:t>WACC as per market price</w:t>
            </w:r>
          </w:p>
        </w:tc>
        <w:tc>
          <w:tcPr>
            <w:tcW w:w="21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9.94%</w:t>
            </w:r>
          </w:p>
        </w:tc>
      </w:tr>
    </w:tbl>
    <w:p w:rsidR="00D03F9E" w:rsidRPr="00D01EFA" w:rsidRDefault="00D03F9E">
      <w:pPr>
        <w:pStyle w:val="normal0"/>
        <w:rPr>
          <w:lang w:val="en-GB"/>
        </w:rPr>
      </w:pPr>
    </w:p>
    <w:p w:rsidR="00D03F9E" w:rsidRPr="00D01EFA" w:rsidRDefault="00A14766">
      <w:pPr>
        <w:pStyle w:val="Heading1"/>
        <w:spacing w:before="200" w:after="200" w:line="360" w:lineRule="auto"/>
        <w:rPr>
          <w:lang w:val="en-GB"/>
        </w:rPr>
      </w:pPr>
      <w:bookmarkStart w:id="5" w:name="_xxyq3wvoddw9" w:colFirst="0" w:colLast="0"/>
      <w:bookmarkStart w:id="6" w:name="_Toc132646770"/>
      <w:bookmarkEnd w:id="5"/>
      <w:r w:rsidRPr="00D01EFA">
        <w:rPr>
          <w:lang w:val="en-GB"/>
        </w:rPr>
        <w:t>C. Possible inaccuracies that may occur with the estimation of finance director</w:t>
      </w:r>
      <w:bookmarkEnd w:id="6"/>
    </w:p>
    <w:p w:rsidR="00D03F9E" w:rsidRPr="00D01EFA" w:rsidRDefault="00A14766">
      <w:pPr>
        <w:pStyle w:val="normal0"/>
        <w:spacing w:before="200" w:after="200" w:line="360" w:lineRule="auto"/>
        <w:jc w:val="both"/>
        <w:rPr>
          <w:lang w:val="en-GB"/>
        </w:rPr>
      </w:pPr>
      <w:r w:rsidRPr="00D01EFA">
        <w:rPr>
          <w:lang w:val="en-GB"/>
        </w:rPr>
        <w:t xml:space="preserve">The above calculation of cost of capital as per proposed amendments of the finance director is stating that WACC of Alpha Plc is increased to 9.94%. It could be easily determined that the weighted average cost of capital in market value is more than the book value. According to viewpoint of Budhathoki </w:t>
      </w:r>
      <w:r w:rsidRPr="00D01EFA">
        <w:rPr>
          <w:i/>
          <w:lang w:val="en-GB"/>
        </w:rPr>
        <w:t>et al.</w:t>
      </w:r>
      <w:r w:rsidRPr="00D01EFA">
        <w:rPr>
          <w:lang w:val="en-GB"/>
        </w:rPr>
        <w:t xml:space="preserve"> (2020), WACC of an organisation may help them to measure their total cost after taking the cost of total debt and cost of total equity. Therefore, for maintaining excessive expenses an organisation shall require to control the weighted average cost of capital. In this company, the value of weighted average cost of capital as per market price is decreasing from 10.7% to 9.94%. </w:t>
      </w:r>
      <w:r w:rsidR="00630A14" w:rsidRPr="00D01EFA">
        <w:rPr>
          <w:lang w:val="en-GB"/>
        </w:rPr>
        <w:t>Along with</w:t>
      </w:r>
      <w:r w:rsidRPr="00D01EFA">
        <w:rPr>
          <w:lang w:val="en-GB"/>
        </w:rPr>
        <w:t xml:space="preserve">, the value of WACC as per book price is also decreasing from 9.8% to 9.17%. It might possess a positive impact on financing of this organisation. Subsequently, it could be stated that the proposed projection of the finance manager of Alpha plc might decrease the WACC and that shall enhance their scope of expanding. However, inaccuracies like increase in cost of equity and enhancement of cost of bond may emerge. This might negatively impact the trust of shareholders with this organisation. The shareholders might not invest their cumulative capital in future. Increase in bond price might affect the debt structure of this company. Increasing debt liability on this firm might significantly increase their financial expenses. The profit might fluctuate during future years. Thus, assuming adequate availability of reserves is an unreasonable aspect.  Hence, in this case, it is highly recommended not to adopt this initiative as this might hamper the company’s capital structure by increasing the cost of equity and may cause fluctuations in its bond price. Therefore, further gearing might obstruct the share price and hamper the reputation of Alpha plc. Other factors have been assumed to remain constant which is subject to fluctuation in future dynamics.      </w:t>
      </w:r>
    </w:p>
    <w:p w:rsidR="00D03F9E" w:rsidRPr="00D01EFA" w:rsidRDefault="00A14766">
      <w:pPr>
        <w:pStyle w:val="Heading1"/>
        <w:spacing w:before="200" w:after="200" w:line="360" w:lineRule="auto"/>
        <w:rPr>
          <w:lang w:val="en-GB"/>
        </w:rPr>
      </w:pPr>
      <w:bookmarkStart w:id="7" w:name="_dsdgjrfcsaxz" w:colFirst="0" w:colLast="0"/>
      <w:bookmarkStart w:id="8" w:name="_Toc132646771"/>
      <w:bookmarkEnd w:id="7"/>
      <w:r w:rsidRPr="00D01EFA">
        <w:rPr>
          <w:lang w:val="en-GB"/>
        </w:rPr>
        <w:t>D. Integration of reasonable level of gearing may reduce weighted average cost of capital</w:t>
      </w:r>
      <w:bookmarkEnd w:id="8"/>
    </w:p>
    <w:p w:rsidR="00D03F9E" w:rsidRPr="00D01EFA" w:rsidRDefault="00A14766">
      <w:pPr>
        <w:pStyle w:val="normal0"/>
        <w:spacing w:before="200" w:after="200" w:line="360" w:lineRule="auto"/>
        <w:jc w:val="both"/>
        <w:rPr>
          <w:lang w:val="en-GB"/>
        </w:rPr>
      </w:pPr>
      <w:r w:rsidRPr="00D01EFA">
        <w:rPr>
          <w:lang w:val="en-GB"/>
        </w:rPr>
        <w:t>For maintaining excessive expenses an organisation shall require to control the weighted average cost of capital. As stated by Bello</w:t>
      </w:r>
      <w:r w:rsidRPr="00D01EFA">
        <w:rPr>
          <w:i/>
          <w:lang w:val="en-GB"/>
        </w:rPr>
        <w:t xml:space="preserve"> et al</w:t>
      </w:r>
      <w:r w:rsidRPr="00D01EFA">
        <w:rPr>
          <w:lang w:val="en-GB"/>
        </w:rPr>
        <w:t xml:space="preserve">. (2022), maintenance of weighted average cost of capital is very vital as it reflects the return that shareholders are expecting for investing their cumulative capital to company. Integration of debt and equity financing may </w:t>
      </w:r>
      <w:r w:rsidRPr="00D01EFA">
        <w:rPr>
          <w:lang w:val="en-GB"/>
        </w:rPr>
        <w:lastRenderedPageBreak/>
        <w:t xml:space="preserve">offer decent growth in value of entities. It may assist to reduce the weighted average cost of capital. Alpha plc might experience an efficient WACC after adding a decent amount of debt funds to their capital structure. However, an increase in debt liability might significantly enhance their financial expenses (Luo, 2019). It might affect the profitability of this organisation as it increases costs. Enhancement in finance cost might affect solvency of Alpha </w:t>
      </w:r>
      <w:r w:rsidR="00630A14" w:rsidRPr="00D01EFA">
        <w:rPr>
          <w:lang w:val="en-GB"/>
        </w:rPr>
        <w:t>Plc Company</w:t>
      </w:r>
      <w:r w:rsidRPr="00D01EFA">
        <w:rPr>
          <w:lang w:val="en-GB"/>
        </w:rPr>
        <w:t xml:space="preserve">. The profit of this organisation might fluctuate in the long term. A well-judged integration of debt and equity is optimised by establishing a decent computation of WACC. It helps to understand potential changes within the capital structure of this organisation by optimising the proportion of increased cost of debt offset against escalated cost of financing debt. </w:t>
      </w:r>
    </w:p>
    <w:p w:rsidR="00D03F9E" w:rsidRPr="00D01EFA" w:rsidRDefault="00A14766">
      <w:pPr>
        <w:pStyle w:val="normal0"/>
        <w:spacing w:before="200" w:after="200" w:line="360" w:lineRule="auto"/>
        <w:jc w:val="both"/>
        <w:rPr>
          <w:lang w:val="en-GB"/>
        </w:rPr>
      </w:pPr>
      <w:r w:rsidRPr="00D01EFA">
        <w:rPr>
          <w:lang w:val="en-GB"/>
        </w:rPr>
        <w:t xml:space="preserve">As mentioned by Saluga </w:t>
      </w:r>
      <w:r w:rsidRPr="00D01EFA">
        <w:rPr>
          <w:i/>
          <w:lang w:val="en-GB"/>
        </w:rPr>
        <w:t>et al.</w:t>
      </w:r>
      <w:r w:rsidRPr="00D01EFA">
        <w:rPr>
          <w:lang w:val="en-GB"/>
        </w:rPr>
        <w:t xml:space="preserve"> (2020), weighted average cost of capital could be performed as a discount rate for estimation of net present value. Further, it is very helpful to evaluate the investment opportunities of an organisation. Alpha plc may impress their shareholders by integration of the suitable factors to reduce weighted average cost of capital. Further, this organisation could be able to take decisions on any required investment or share repurchase or paying dividend. On the contrary, this integration of debt cost might affect capital and reserves of this organisation (Yusuf and Mohd, 2021). As </w:t>
      </w:r>
      <w:r w:rsidR="00630A14" w:rsidRPr="00D01EFA">
        <w:rPr>
          <w:lang w:val="en-GB"/>
        </w:rPr>
        <w:t>increase</w:t>
      </w:r>
      <w:r w:rsidRPr="00D01EFA">
        <w:rPr>
          <w:lang w:val="en-GB"/>
        </w:rPr>
        <w:t xml:space="preserve"> in debt might </w:t>
      </w:r>
      <w:r w:rsidR="00630A14" w:rsidRPr="00D01EFA">
        <w:rPr>
          <w:lang w:val="en-GB"/>
        </w:rPr>
        <w:t>enhance</w:t>
      </w:r>
      <w:r w:rsidRPr="00D01EFA">
        <w:rPr>
          <w:lang w:val="en-GB"/>
        </w:rPr>
        <w:t xml:space="preserve"> imbalance in debt and equity. It might affect financial stability of this organisation. During any financial uncertainty organisation may need relevant funds that may be unavailable due to debt financing. Excessive use of debt may also increase the WACC as it increases the finance cost of any firm. Hence, inclusion of debt financing may be beneficial for minimising WACC but it could affect profitability and financial stability of this firm.       </w:t>
      </w:r>
    </w:p>
    <w:p w:rsidR="00D03F9E" w:rsidRPr="00D01EFA" w:rsidRDefault="00A14766" w:rsidP="00A57612">
      <w:pPr>
        <w:pStyle w:val="Heading1"/>
        <w:rPr>
          <w:highlight w:val="white"/>
          <w:lang w:val="en-GB"/>
        </w:rPr>
      </w:pPr>
      <w:bookmarkStart w:id="9" w:name="_Toc132646772"/>
      <w:r w:rsidRPr="00D01EFA">
        <w:rPr>
          <w:highlight w:val="white"/>
          <w:lang w:val="en-GB"/>
        </w:rPr>
        <w:t>Question 2 - Investment Appraisal Techniques</w:t>
      </w:r>
      <w:bookmarkEnd w:id="9"/>
      <w:r w:rsidRPr="00D01EFA">
        <w:rPr>
          <w:highlight w:val="white"/>
          <w:lang w:val="en-GB"/>
        </w:rPr>
        <w:t xml:space="preserve"> </w:t>
      </w:r>
    </w:p>
    <w:p w:rsidR="00D03F9E" w:rsidRPr="00D01EFA" w:rsidRDefault="00A14766">
      <w:pPr>
        <w:pStyle w:val="Heading1"/>
        <w:spacing w:before="200" w:after="200" w:line="360" w:lineRule="auto"/>
        <w:rPr>
          <w:lang w:val="en-GB"/>
        </w:rPr>
      </w:pPr>
      <w:bookmarkStart w:id="10" w:name="_eo68pwwheukf" w:colFirst="0" w:colLast="0"/>
      <w:bookmarkStart w:id="11" w:name="_Toc132646773"/>
      <w:bookmarkEnd w:id="10"/>
      <w:r w:rsidRPr="00D01EFA">
        <w:rPr>
          <w:lang w:val="en-GB"/>
        </w:rPr>
        <w:t>(</w:t>
      </w:r>
      <w:r w:rsidR="00630A14" w:rsidRPr="00D01EFA">
        <w:rPr>
          <w:lang w:val="en-GB"/>
        </w:rPr>
        <w:t>A</w:t>
      </w:r>
      <w:r w:rsidRPr="00D01EFA">
        <w:rPr>
          <w:lang w:val="en-GB"/>
        </w:rPr>
        <w:t>). Estimating proposed scope of investment</w:t>
      </w:r>
      <w:bookmarkEnd w:id="11"/>
    </w:p>
    <w:p w:rsidR="00D03F9E" w:rsidRPr="00D01EFA" w:rsidRDefault="00A14766">
      <w:pPr>
        <w:pStyle w:val="normal0"/>
        <w:jc w:val="both"/>
        <w:rPr>
          <w:lang w:val="en-GB"/>
        </w:rPr>
      </w:pPr>
      <w:r w:rsidRPr="00D01EFA">
        <w:rPr>
          <w:lang w:val="en-GB"/>
        </w:rPr>
        <w:t>(i). Payback period</w:t>
      </w:r>
    </w:p>
    <w:p w:rsidR="00D03F9E" w:rsidRPr="00D01EFA" w:rsidRDefault="00D03F9E">
      <w:pPr>
        <w:pStyle w:val="normal0"/>
        <w:jc w:val="both"/>
        <w:rPr>
          <w:lang w:val="en-GB"/>
        </w:rPr>
      </w:pPr>
    </w:p>
    <w:tbl>
      <w:tblPr>
        <w:tblStyle w:val="af0"/>
        <w:tblW w:w="9025" w:type="dxa"/>
        <w:tblBorders>
          <w:top w:val="nil"/>
          <w:left w:val="nil"/>
          <w:bottom w:val="nil"/>
          <w:right w:val="nil"/>
          <w:insideH w:val="nil"/>
          <w:insideV w:val="nil"/>
        </w:tblBorders>
        <w:tblLayout w:type="fixed"/>
        <w:tblLook w:val="0600"/>
      </w:tblPr>
      <w:tblGrid>
        <w:gridCol w:w="900"/>
        <w:gridCol w:w="1754"/>
        <w:gridCol w:w="1946"/>
        <w:gridCol w:w="1622"/>
        <w:gridCol w:w="2803"/>
      </w:tblGrid>
      <w:tr w:rsidR="00D03F9E" w:rsidRPr="00D01EFA">
        <w:trPr>
          <w:cantSplit/>
          <w:trHeight w:val="515"/>
          <w:tblHeader/>
        </w:trPr>
        <w:tc>
          <w:tcPr>
            <w:tcW w:w="8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Period</w:t>
            </w:r>
          </w:p>
        </w:tc>
        <w:tc>
          <w:tcPr>
            <w:tcW w:w="1754"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Cash inflow (£)</w:t>
            </w:r>
          </w:p>
        </w:tc>
        <w:tc>
          <w:tcPr>
            <w:tcW w:w="1946"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Cash outflow  (£)</w:t>
            </w:r>
          </w:p>
        </w:tc>
        <w:tc>
          <w:tcPr>
            <w:tcW w:w="1622"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Cash flow  (£)</w:t>
            </w:r>
          </w:p>
        </w:tc>
        <w:tc>
          <w:tcPr>
            <w:tcW w:w="2802"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Cumulative cash flow  (£)</w:t>
            </w:r>
          </w:p>
        </w:tc>
      </w:tr>
      <w:tr w:rsidR="00D03F9E" w:rsidRPr="00D01EFA">
        <w:trPr>
          <w:cantSplit/>
          <w:trHeight w:val="515"/>
          <w:tblHeader/>
        </w:trPr>
        <w:tc>
          <w:tcPr>
            <w:tcW w:w="899"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0</w:t>
            </w:r>
          </w:p>
        </w:tc>
        <w:tc>
          <w:tcPr>
            <w:tcW w:w="1754"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D03F9E">
            <w:pPr>
              <w:pStyle w:val="normal0"/>
              <w:spacing w:before="240"/>
              <w:jc w:val="right"/>
              <w:rPr>
                <w:lang w:val="en-GB"/>
              </w:rPr>
            </w:pPr>
          </w:p>
        </w:tc>
        <w:tc>
          <w:tcPr>
            <w:tcW w:w="1946"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-588300</w:t>
            </w:r>
          </w:p>
        </w:tc>
        <w:tc>
          <w:tcPr>
            <w:tcW w:w="1622"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-588300</w:t>
            </w:r>
          </w:p>
        </w:tc>
        <w:tc>
          <w:tcPr>
            <w:tcW w:w="2802"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-588300</w:t>
            </w:r>
          </w:p>
        </w:tc>
      </w:tr>
      <w:tr w:rsidR="00D03F9E" w:rsidRPr="00D01EFA">
        <w:trPr>
          <w:cantSplit/>
          <w:trHeight w:val="515"/>
          <w:tblHeader/>
        </w:trPr>
        <w:tc>
          <w:tcPr>
            <w:tcW w:w="899"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w:t>
            </w:r>
          </w:p>
        </w:tc>
        <w:tc>
          <w:tcPr>
            <w:tcW w:w="1754"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223600</w:t>
            </w:r>
          </w:p>
        </w:tc>
        <w:tc>
          <w:tcPr>
            <w:tcW w:w="1946"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32700</w:t>
            </w:r>
          </w:p>
        </w:tc>
        <w:tc>
          <w:tcPr>
            <w:tcW w:w="1622"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2802"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-397400</w:t>
            </w:r>
          </w:p>
        </w:tc>
      </w:tr>
      <w:tr w:rsidR="00D03F9E" w:rsidRPr="00D01EFA">
        <w:trPr>
          <w:cantSplit/>
          <w:trHeight w:val="515"/>
          <w:tblHeader/>
        </w:trPr>
        <w:tc>
          <w:tcPr>
            <w:tcW w:w="899"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lastRenderedPageBreak/>
              <w:t>2</w:t>
            </w:r>
          </w:p>
        </w:tc>
        <w:tc>
          <w:tcPr>
            <w:tcW w:w="1754"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223600</w:t>
            </w:r>
          </w:p>
        </w:tc>
        <w:tc>
          <w:tcPr>
            <w:tcW w:w="1946"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32700</w:t>
            </w:r>
          </w:p>
        </w:tc>
        <w:tc>
          <w:tcPr>
            <w:tcW w:w="1622"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2802"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-206500</w:t>
            </w:r>
          </w:p>
        </w:tc>
      </w:tr>
      <w:tr w:rsidR="00D03F9E" w:rsidRPr="00D01EFA">
        <w:trPr>
          <w:cantSplit/>
          <w:trHeight w:val="515"/>
          <w:tblHeader/>
        </w:trPr>
        <w:tc>
          <w:tcPr>
            <w:tcW w:w="899"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3</w:t>
            </w:r>
          </w:p>
        </w:tc>
        <w:tc>
          <w:tcPr>
            <w:tcW w:w="1754"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223600</w:t>
            </w:r>
          </w:p>
        </w:tc>
        <w:tc>
          <w:tcPr>
            <w:tcW w:w="1946"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32700</w:t>
            </w:r>
          </w:p>
        </w:tc>
        <w:tc>
          <w:tcPr>
            <w:tcW w:w="1622"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2802"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-15600</w:t>
            </w:r>
          </w:p>
        </w:tc>
      </w:tr>
      <w:tr w:rsidR="00D03F9E" w:rsidRPr="00D01EFA">
        <w:trPr>
          <w:cantSplit/>
          <w:trHeight w:val="515"/>
          <w:tblHeader/>
        </w:trPr>
        <w:tc>
          <w:tcPr>
            <w:tcW w:w="899"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4</w:t>
            </w:r>
          </w:p>
        </w:tc>
        <w:tc>
          <w:tcPr>
            <w:tcW w:w="1754"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223600</w:t>
            </w:r>
          </w:p>
        </w:tc>
        <w:tc>
          <w:tcPr>
            <w:tcW w:w="1946"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32700</w:t>
            </w:r>
          </w:p>
        </w:tc>
        <w:tc>
          <w:tcPr>
            <w:tcW w:w="1622"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2802"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175300</w:t>
            </w:r>
          </w:p>
        </w:tc>
      </w:tr>
      <w:tr w:rsidR="00D03F9E" w:rsidRPr="00D01EFA">
        <w:trPr>
          <w:cantSplit/>
          <w:trHeight w:val="515"/>
          <w:tblHeader/>
        </w:trPr>
        <w:tc>
          <w:tcPr>
            <w:tcW w:w="899"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5</w:t>
            </w:r>
          </w:p>
        </w:tc>
        <w:tc>
          <w:tcPr>
            <w:tcW w:w="1754"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223600</w:t>
            </w:r>
          </w:p>
        </w:tc>
        <w:tc>
          <w:tcPr>
            <w:tcW w:w="1946"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32700</w:t>
            </w:r>
          </w:p>
        </w:tc>
        <w:tc>
          <w:tcPr>
            <w:tcW w:w="1622"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2802"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366200</w:t>
            </w:r>
          </w:p>
        </w:tc>
      </w:tr>
      <w:tr w:rsidR="00D03F9E" w:rsidRPr="00D01EFA">
        <w:trPr>
          <w:cantSplit/>
          <w:trHeight w:val="515"/>
          <w:tblHeader/>
        </w:trPr>
        <w:tc>
          <w:tcPr>
            <w:tcW w:w="899"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6</w:t>
            </w:r>
          </w:p>
        </w:tc>
        <w:tc>
          <w:tcPr>
            <w:tcW w:w="1754"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223600</w:t>
            </w:r>
          </w:p>
        </w:tc>
        <w:tc>
          <w:tcPr>
            <w:tcW w:w="1946"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32700</w:t>
            </w:r>
          </w:p>
        </w:tc>
        <w:tc>
          <w:tcPr>
            <w:tcW w:w="1622"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2802"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557100</w:t>
            </w:r>
          </w:p>
        </w:tc>
      </w:tr>
      <w:tr w:rsidR="00D03F9E" w:rsidRPr="00D01EFA">
        <w:trPr>
          <w:cantSplit/>
          <w:trHeight w:val="515"/>
          <w:tblHeader/>
        </w:trPr>
        <w:tc>
          <w:tcPr>
            <w:tcW w:w="4599" w:type="dxa"/>
            <w:gridSpan w:val="3"/>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Payback period</w:t>
            </w:r>
          </w:p>
        </w:tc>
        <w:tc>
          <w:tcPr>
            <w:tcW w:w="4424" w:type="dxa"/>
            <w:gridSpan w:val="2"/>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3 years 1 month</w:t>
            </w:r>
          </w:p>
        </w:tc>
      </w:tr>
    </w:tbl>
    <w:p w:rsidR="00D03F9E" w:rsidRPr="00D01EFA" w:rsidRDefault="00A14766">
      <w:pPr>
        <w:pStyle w:val="normal0"/>
        <w:spacing w:before="200" w:after="200" w:line="360" w:lineRule="auto"/>
        <w:jc w:val="both"/>
        <w:rPr>
          <w:lang w:val="en-GB"/>
        </w:rPr>
      </w:pPr>
      <w:r w:rsidRPr="00D01EFA">
        <w:rPr>
          <w:lang w:val="en-GB"/>
        </w:rPr>
        <w:t>According to the viewpoint of Abdurofi</w:t>
      </w:r>
      <w:r w:rsidRPr="00D01EFA">
        <w:rPr>
          <w:i/>
          <w:lang w:val="en-GB"/>
        </w:rPr>
        <w:t xml:space="preserve"> et al</w:t>
      </w:r>
      <w:r w:rsidRPr="00D01EFA">
        <w:rPr>
          <w:lang w:val="en-GB"/>
        </w:rPr>
        <w:t xml:space="preserve">. (2021), payback period could be termed as the number of years that an organisation requires to recover the initial cash investment. It could be determined that the payback period of this company is 3 years and 1 month. MTS limited may take approx 3 years and 1 month to recover the initial investment of 588300 pounds that they invested for purchasing a new storage machine.  This implied that an investor could recover the funds within half of their maturity period. The investor could afford to gather sufficient time for recovering the same. Based on this result, it can be recommended to accept such investment. MTS limited could be able to recover the funds in an efficient manner before its maturity.   </w:t>
      </w:r>
    </w:p>
    <w:p w:rsidR="00D03F9E" w:rsidRPr="00D01EFA" w:rsidRDefault="00A14766">
      <w:pPr>
        <w:pStyle w:val="normal0"/>
        <w:spacing w:before="200" w:after="200" w:line="360" w:lineRule="auto"/>
        <w:jc w:val="both"/>
        <w:rPr>
          <w:lang w:val="en-GB"/>
        </w:rPr>
      </w:pPr>
      <w:r w:rsidRPr="00D01EFA">
        <w:rPr>
          <w:lang w:val="en-GB"/>
        </w:rPr>
        <w:t>(ii). The accounting rate of return</w:t>
      </w:r>
    </w:p>
    <w:p w:rsidR="00D03F9E" w:rsidRPr="00D01EFA" w:rsidRDefault="00D03F9E">
      <w:pPr>
        <w:pStyle w:val="normal0"/>
        <w:jc w:val="both"/>
        <w:rPr>
          <w:lang w:val="en-GB"/>
        </w:rPr>
      </w:pPr>
    </w:p>
    <w:tbl>
      <w:tblPr>
        <w:tblStyle w:val="af1"/>
        <w:tblW w:w="8865" w:type="dxa"/>
        <w:tblBorders>
          <w:top w:val="nil"/>
          <w:left w:val="nil"/>
          <w:bottom w:val="nil"/>
          <w:right w:val="nil"/>
          <w:insideH w:val="nil"/>
          <w:insideV w:val="nil"/>
        </w:tblBorders>
        <w:tblLayout w:type="fixed"/>
        <w:tblLook w:val="0600"/>
      </w:tblPr>
      <w:tblGrid>
        <w:gridCol w:w="915"/>
        <w:gridCol w:w="1590"/>
        <w:gridCol w:w="1995"/>
        <w:gridCol w:w="1890"/>
        <w:gridCol w:w="2475"/>
      </w:tblGrid>
      <w:tr w:rsidR="00D03F9E" w:rsidRPr="00D01EFA">
        <w:trPr>
          <w:cantSplit/>
          <w:trHeight w:val="515"/>
          <w:tblHeader/>
        </w:trPr>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Period</w:t>
            </w:r>
          </w:p>
        </w:tc>
        <w:tc>
          <w:tcPr>
            <w:tcW w:w="15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Cash flow (£)</w:t>
            </w:r>
          </w:p>
        </w:tc>
        <w:tc>
          <w:tcPr>
            <w:tcW w:w="1995"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Scrap value (£)</w:t>
            </w:r>
          </w:p>
        </w:tc>
        <w:tc>
          <w:tcPr>
            <w:tcW w:w="18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Depreciation (£)</w:t>
            </w:r>
          </w:p>
        </w:tc>
        <w:tc>
          <w:tcPr>
            <w:tcW w:w="24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Accounting surplus(£)</w:t>
            </w:r>
          </w:p>
        </w:tc>
      </w:tr>
      <w:tr w:rsidR="00D03F9E" w:rsidRPr="00D01EFA">
        <w:trPr>
          <w:cantSplit/>
          <w:trHeight w:val="515"/>
          <w:tblHeader/>
        </w:trPr>
        <w:tc>
          <w:tcPr>
            <w:tcW w:w="9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0</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-588300</w:t>
            </w:r>
          </w:p>
        </w:tc>
        <w:tc>
          <w:tcPr>
            <w:tcW w:w="1995" w:type="dxa"/>
            <w:tcBorders>
              <w:top w:val="nil"/>
              <w:left w:val="nil"/>
              <w:bottom w:val="nil"/>
              <w:right w:val="nil"/>
            </w:tcBorders>
            <w:tcMar>
              <w:top w:w="100" w:type="dxa"/>
              <w:left w:w="100" w:type="dxa"/>
              <w:bottom w:w="100" w:type="dxa"/>
              <w:right w:w="100" w:type="dxa"/>
            </w:tcMar>
            <w:vAlign w:val="bottom"/>
          </w:tcPr>
          <w:p w:rsidR="00D03F9E" w:rsidRPr="00D01EFA" w:rsidRDefault="00D03F9E">
            <w:pPr>
              <w:pStyle w:val="normal0"/>
              <w:jc w:val="both"/>
              <w:rPr>
                <w:lang w:val="en-GB"/>
              </w:rPr>
            </w:pPr>
          </w:p>
        </w:tc>
        <w:tc>
          <w:tcPr>
            <w:tcW w:w="18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83342.5</w:t>
            </w:r>
          </w:p>
        </w:tc>
        <w:tc>
          <w:tcPr>
            <w:tcW w:w="247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lang w:val="en-GB"/>
              </w:rPr>
            </w:pPr>
            <w:r w:rsidRPr="00D01EFA">
              <w:rPr>
                <w:lang w:val="en-GB"/>
              </w:rPr>
              <w:t xml:space="preserve"> </w:t>
            </w:r>
          </w:p>
        </w:tc>
      </w:tr>
      <w:tr w:rsidR="00D03F9E" w:rsidRPr="00D01EFA">
        <w:trPr>
          <w:cantSplit/>
          <w:trHeight w:val="515"/>
          <w:tblHeader/>
        </w:trPr>
        <w:tc>
          <w:tcPr>
            <w:tcW w:w="9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1995"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lang w:val="en-GB"/>
              </w:rPr>
            </w:pPr>
            <w:r w:rsidRPr="00D01EFA">
              <w:rPr>
                <w:lang w:val="en-GB"/>
              </w:rPr>
              <w:t xml:space="preserve"> </w:t>
            </w:r>
          </w:p>
        </w:tc>
        <w:tc>
          <w:tcPr>
            <w:tcW w:w="189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83342.5</w:t>
            </w:r>
          </w:p>
        </w:tc>
        <w:tc>
          <w:tcPr>
            <w:tcW w:w="247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107557.50</w:t>
            </w:r>
          </w:p>
        </w:tc>
      </w:tr>
      <w:tr w:rsidR="00D03F9E" w:rsidRPr="00D01EFA">
        <w:trPr>
          <w:cantSplit/>
          <w:trHeight w:val="515"/>
          <w:tblHeader/>
        </w:trPr>
        <w:tc>
          <w:tcPr>
            <w:tcW w:w="9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2</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199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lang w:val="en-GB"/>
              </w:rPr>
            </w:pPr>
            <w:r w:rsidRPr="00D01EFA">
              <w:rPr>
                <w:lang w:val="en-GB"/>
              </w:rPr>
              <w:t xml:space="preserve"> </w:t>
            </w:r>
          </w:p>
        </w:tc>
        <w:tc>
          <w:tcPr>
            <w:tcW w:w="189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83342.5</w:t>
            </w:r>
          </w:p>
        </w:tc>
        <w:tc>
          <w:tcPr>
            <w:tcW w:w="247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107557.50</w:t>
            </w:r>
          </w:p>
        </w:tc>
      </w:tr>
      <w:tr w:rsidR="00D03F9E" w:rsidRPr="00D01EFA">
        <w:trPr>
          <w:cantSplit/>
          <w:trHeight w:val="515"/>
          <w:tblHeader/>
        </w:trPr>
        <w:tc>
          <w:tcPr>
            <w:tcW w:w="9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3</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199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lang w:val="en-GB"/>
              </w:rPr>
            </w:pPr>
            <w:r w:rsidRPr="00D01EFA">
              <w:rPr>
                <w:lang w:val="en-GB"/>
              </w:rPr>
              <w:t xml:space="preserve"> </w:t>
            </w:r>
          </w:p>
        </w:tc>
        <w:tc>
          <w:tcPr>
            <w:tcW w:w="189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83342.5</w:t>
            </w:r>
          </w:p>
        </w:tc>
        <w:tc>
          <w:tcPr>
            <w:tcW w:w="247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107557.50</w:t>
            </w:r>
          </w:p>
        </w:tc>
      </w:tr>
      <w:tr w:rsidR="00D03F9E" w:rsidRPr="00D01EFA">
        <w:trPr>
          <w:cantSplit/>
          <w:trHeight w:val="515"/>
          <w:tblHeader/>
        </w:trPr>
        <w:tc>
          <w:tcPr>
            <w:tcW w:w="9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lastRenderedPageBreak/>
              <w:t>4</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199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lang w:val="en-GB"/>
              </w:rPr>
            </w:pPr>
            <w:r w:rsidRPr="00D01EFA">
              <w:rPr>
                <w:lang w:val="en-GB"/>
              </w:rPr>
              <w:t xml:space="preserve"> </w:t>
            </w:r>
          </w:p>
        </w:tc>
        <w:tc>
          <w:tcPr>
            <w:tcW w:w="189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83342.5</w:t>
            </w:r>
          </w:p>
        </w:tc>
        <w:tc>
          <w:tcPr>
            <w:tcW w:w="247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107557.50</w:t>
            </w:r>
          </w:p>
        </w:tc>
      </w:tr>
      <w:tr w:rsidR="00D03F9E" w:rsidRPr="00D01EFA">
        <w:trPr>
          <w:cantSplit/>
          <w:trHeight w:val="515"/>
          <w:tblHeader/>
        </w:trPr>
        <w:tc>
          <w:tcPr>
            <w:tcW w:w="9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5</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199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lang w:val="en-GB"/>
              </w:rPr>
            </w:pPr>
            <w:r w:rsidRPr="00D01EFA">
              <w:rPr>
                <w:lang w:val="en-GB"/>
              </w:rPr>
              <w:t xml:space="preserve"> </w:t>
            </w:r>
          </w:p>
        </w:tc>
        <w:tc>
          <w:tcPr>
            <w:tcW w:w="189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83342.5</w:t>
            </w:r>
          </w:p>
        </w:tc>
        <w:tc>
          <w:tcPr>
            <w:tcW w:w="247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107557.50</w:t>
            </w:r>
          </w:p>
        </w:tc>
      </w:tr>
      <w:tr w:rsidR="00D03F9E" w:rsidRPr="00D01EFA">
        <w:trPr>
          <w:cantSplit/>
          <w:trHeight w:val="515"/>
          <w:tblHeader/>
        </w:trPr>
        <w:tc>
          <w:tcPr>
            <w:tcW w:w="9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6</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199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-88245</w:t>
            </w:r>
          </w:p>
        </w:tc>
        <w:tc>
          <w:tcPr>
            <w:tcW w:w="189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83342.5</w:t>
            </w:r>
          </w:p>
        </w:tc>
        <w:tc>
          <w:tcPr>
            <w:tcW w:w="247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107557.50</w:t>
            </w:r>
          </w:p>
        </w:tc>
      </w:tr>
      <w:tr w:rsidR="00D03F9E" w:rsidRPr="00D01EFA">
        <w:trPr>
          <w:cantSplit/>
          <w:trHeight w:val="515"/>
          <w:tblHeader/>
        </w:trPr>
        <w:tc>
          <w:tcPr>
            <w:tcW w:w="6390" w:type="dxa"/>
            <w:gridSpan w:val="4"/>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Average accounting profits</w:t>
            </w:r>
          </w:p>
        </w:tc>
        <w:tc>
          <w:tcPr>
            <w:tcW w:w="24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jc w:val="right"/>
              <w:rPr>
                <w:b/>
                <w:lang w:val="en-GB"/>
              </w:rPr>
            </w:pPr>
            <w:r w:rsidRPr="00D01EFA">
              <w:rPr>
                <w:b/>
                <w:lang w:val="en-GB"/>
              </w:rPr>
              <w:t>107557.50</w:t>
            </w:r>
          </w:p>
        </w:tc>
      </w:tr>
      <w:tr w:rsidR="00D03F9E" w:rsidRPr="00D01EFA">
        <w:trPr>
          <w:cantSplit/>
          <w:trHeight w:val="515"/>
          <w:tblHeader/>
        </w:trPr>
        <w:tc>
          <w:tcPr>
            <w:tcW w:w="6390" w:type="dxa"/>
            <w:gridSpan w:val="4"/>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 xml:space="preserve"> Average initial cash flow and scrap value</w:t>
            </w:r>
          </w:p>
        </w:tc>
        <w:tc>
          <w:tcPr>
            <w:tcW w:w="24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jc w:val="right"/>
              <w:rPr>
                <w:b/>
                <w:lang w:val="en-GB"/>
              </w:rPr>
            </w:pPr>
            <w:r w:rsidRPr="00D01EFA">
              <w:rPr>
                <w:b/>
                <w:lang w:val="en-GB"/>
              </w:rPr>
              <w:t>338272.5</w:t>
            </w:r>
          </w:p>
        </w:tc>
      </w:tr>
      <w:tr w:rsidR="00D03F9E" w:rsidRPr="00D01EFA">
        <w:trPr>
          <w:cantSplit/>
          <w:trHeight w:val="515"/>
          <w:tblHeader/>
        </w:trPr>
        <w:tc>
          <w:tcPr>
            <w:tcW w:w="6390" w:type="dxa"/>
            <w:gridSpan w:val="4"/>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Accounting rate of return</w:t>
            </w:r>
          </w:p>
        </w:tc>
        <w:tc>
          <w:tcPr>
            <w:tcW w:w="247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jc w:val="right"/>
              <w:rPr>
                <w:b/>
                <w:lang w:val="en-GB"/>
              </w:rPr>
            </w:pPr>
            <w:r w:rsidRPr="00D01EFA">
              <w:rPr>
                <w:b/>
                <w:lang w:val="en-GB"/>
              </w:rPr>
              <w:t>31.8%</w:t>
            </w:r>
          </w:p>
        </w:tc>
      </w:tr>
    </w:tbl>
    <w:p w:rsidR="00D03F9E" w:rsidRPr="00D01EFA" w:rsidRDefault="00A14766">
      <w:pPr>
        <w:pStyle w:val="normal0"/>
        <w:spacing w:before="200" w:after="200" w:line="360" w:lineRule="auto"/>
        <w:jc w:val="both"/>
        <w:rPr>
          <w:lang w:val="en-GB"/>
        </w:rPr>
      </w:pPr>
      <w:r w:rsidRPr="00D01EFA">
        <w:rPr>
          <w:lang w:val="en-GB"/>
        </w:rPr>
        <w:t xml:space="preserve">Accounting rate of return shall be counted as an average gain that is available to an organisation after deducting depreciation expense during each year. According to viewpoint of Hesary </w:t>
      </w:r>
      <w:r w:rsidRPr="00D01EFA">
        <w:rPr>
          <w:i/>
          <w:lang w:val="en-GB"/>
        </w:rPr>
        <w:t>et al.</w:t>
      </w:r>
      <w:r w:rsidRPr="00D01EFA">
        <w:rPr>
          <w:lang w:val="en-GB"/>
        </w:rPr>
        <w:t xml:space="preserve"> (2021), accounting rate of return plays a key role in ascertaining the annual percentage rate of return of any project. It could be determined that the average accounting gain that MTS limited can achieve after deduction of depreciation on the new storage machine is 107557 pounds. </w:t>
      </w:r>
      <w:r w:rsidR="00630A14" w:rsidRPr="00D01EFA">
        <w:rPr>
          <w:lang w:val="en-GB"/>
        </w:rPr>
        <w:t>Along with</w:t>
      </w:r>
      <w:r w:rsidRPr="00D01EFA">
        <w:rPr>
          <w:lang w:val="en-GB"/>
        </w:rPr>
        <w:t xml:space="preserve">, the average initial cash flow and scrap value is 338272 pounds. The new storage machine has a very efficient ability of producing an accounting rate of return of 31.8%. Hence, it could be stated that the consideration of a new storage machine shall be profitable for this organisation. </w:t>
      </w:r>
    </w:p>
    <w:p w:rsidR="00D03F9E" w:rsidRPr="00D01EFA" w:rsidRDefault="00A14766">
      <w:pPr>
        <w:pStyle w:val="normal0"/>
        <w:spacing w:before="200" w:after="200" w:line="360" w:lineRule="auto"/>
        <w:jc w:val="both"/>
        <w:rPr>
          <w:lang w:val="en-GB"/>
        </w:rPr>
      </w:pPr>
      <w:r w:rsidRPr="00D01EFA">
        <w:rPr>
          <w:lang w:val="en-GB"/>
        </w:rPr>
        <w:t>(iii). Net present value</w:t>
      </w:r>
    </w:p>
    <w:p w:rsidR="00D03F9E" w:rsidRPr="00D01EFA" w:rsidRDefault="00D03F9E">
      <w:pPr>
        <w:pStyle w:val="normal0"/>
        <w:spacing w:before="200" w:after="200" w:line="360" w:lineRule="auto"/>
        <w:jc w:val="both"/>
        <w:rPr>
          <w:lang w:val="en-GB"/>
        </w:rPr>
      </w:pPr>
    </w:p>
    <w:tbl>
      <w:tblPr>
        <w:tblStyle w:val="af2"/>
        <w:tblW w:w="8865" w:type="dxa"/>
        <w:tblBorders>
          <w:top w:val="nil"/>
          <w:left w:val="nil"/>
          <w:bottom w:val="nil"/>
          <w:right w:val="nil"/>
          <w:insideH w:val="nil"/>
          <w:insideV w:val="nil"/>
        </w:tblBorders>
        <w:tblLayout w:type="fixed"/>
        <w:tblLook w:val="0600"/>
      </w:tblPr>
      <w:tblGrid>
        <w:gridCol w:w="1245"/>
        <w:gridCol w:w="2070"/>
        <w:gridCol w:w="3165"/>
        <w:gridCol w:w="2385"/>
      </w:tblGrid>
      <w:tr w:rsidR="00D03F9E" w:rsidRPr="00D01EFA">
        <w:trPr>
          <w:cantSplit/>
          <w:trHeight w:val="515"/>
          <w:tblHeader/>
        </w:trPr>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Period</w:t>
            </w:r>
          </w:p>
        </w:tc>
        <w:tc>
          <w:tcPr>
            <w:tcW w:w="20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Cash flow (£)</w:t>
            </w:r>
          </w:p>
        </w:tc>
        <w:tc>
          <w:tcPr>
            <w:tcW w:w="31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Discounting rate @ 8%</w:t>
            </w:r>
          </w:p>
        </w:tc>
        <w:tc>
          <w:tcPr>
            <w:tcW w:w="2385"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Present value (£)</w:t>
            </w:r>
          </w:p>
        </w:tc>
      </w:tr>
      <w:tr w:rsidR="00D03F9E" w:rsidRPr="00D01EFA">
        <w:trPr>
          <w:cantSplit/>
          <w:trHeight w:val="515"/>
          <w:tblHeader/>
        </w:trPr>
        <w:tc>
          <w:tcPr>
            <w:tcW w:w="12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0</w:t>
            </w:r>
          </w:p>
        </w:tc>
        <w:tc>
          <w:tcPr>
            <w:tcW w:w="207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-588300</w:t>
            </w:r>
          </w:p>
        </w:tc>
        <w:tc>
          <w:tcPr>
            <w:tcW w:w="316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w:t>
            </w:r>
          </w:p>
        </w:tc>
        <w:tc>
          <w:tcPr>
            <w:tcW w:w="238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-588300</w:t>
            </w:r>
          </w:p>
        </w:tc>
      </w:tr>
      <w:tr w:rsidR="00D03F9E" w:rsidRPr="00D01EFA">
        <w:trPr>
          <w:cantSplit/>
          <w:trHeight w:val="515"/>
          <w:tblHeader/>
        </w:trPr>
        <w:tc>
          <w:tcPr>
            <w:tcW w:w="12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w:t>
            </w:r>
          </w:p>
        </w:tc>
        <w:tc>
          <w:tcPr>
            <w:tcW w:w="207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316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0.926</w:t>
            </w:r>
          </w:p>
        </w:tc>
        <w:tc>
          <w:tcPr>
            <w:tcW w:w="238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176759.26</w:t>
            </w:r>
          </w:p>
        </w:tc>
      </w:tr>
      <w:tr w:rsidR="00D03F9E" w:rsidRPr="00D01EFA">
        <w:trPr>
          <w:cantSplit/>
          <w:trHeight w:val="515"/>
          <w:tblHeader/>
        </w:trPr>
        <w:tc>
          <w:tcPr>
            <w:tcW w:w="12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2</w:t>
            </w:r>
          </w:p>
        </w:tc>
        <w:tc>
          <w:tcPr>
            <w:tcW w:w="207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316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0.857</w:t>
            </w:r>
          </w:p>
        </w:tc>
        <w:tc>
          <w:tcPr>
            <w:tcW w:w="238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163665.98</w:t>
            </w:r>
          </w:p>
        </w:tc>
      </w:tr>
      <w:tr w:rsidR="00D03F9E" w:rsidRPr="00D01EFA">
        <w:trPr>
          <w:cantSplit/>
          <w:trHeight w:val="515"/>
          <w:tblHeader/>
        </w:trPr>
        <w:tc>
          <w:tcPr>
            <w:tcW w:w="12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3</w:t>
            </w:r>
          </w:p>
        </w:tc>
        <w:tc>
          <w:tcPr>
            <w:tcW w:w="207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316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0.794</w:t>
            </w:r>
          </w:p>
        </w:tc>
        <w:tc>
          <w:tcPr>
            <w:tcW w:w="238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151542.57</w:t>
            </w:r>
          </w:p>
        </w:tc>
      </w:tr>
      <w:tr w:rsidR="00D03F9E" w:rsidRPr="00D01EFA">
        <w:trPr>
          <w:cantSplit/>
          <w:trHeight w:val="515"/>
          <w:tblHeader/>
        </w:trPr>
        <w:tc>
          <w:tcPr>
            <w:tcW w:w="12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lastRenderedPageBreak/>
              <w:t>4</w:t>
            </w:r>
          </w:p>
        </w:tc>
        <w:tc>
          <w:tcPr>
            <w:tcW w:w="207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316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0.735</w:t>
            </w:r>
          </w:p>
        </w:tc>
        <w:tc>
          <w:tcPr>
            <w:tcW w:w="238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140317.20</w:t>
            </w:r>
          </w:p>
        </w:tc>
      </w:tr>
      <w:tr w:rsidR="00D03F9E" w:rsidRPr="00D01EFA">
        <w:trPr>
          <w:cantSplit/>
          <w:trHeight w:val="515"/>
          <w:tblHeader/>
        </w:trPr>
        <w:tc>
          <w:tcPr>
            <w:tcW w:w="12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5</w:t>
            </w:r>
          </w:p>
        </w:tc>
        <w:tc>
          <w:tcPr>
            <w:tcW w:w="207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316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0.681</w:t>
            </w:r>
          </w:p>
        </w:tc>
        <w:tc>
          <w:tcPr>
            <w:tcW w:w="238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129923.33</w:t>
            </w:r>
          </w:p>
        </w:tc>
      </w:tr>
      <w:tr w:rsidR="00D03F9E" w:rsidRPr="00D01EFA">
        <w:trPr>
          <w:cantSplit/>
          <w:trHeight w:val="515"/>
          <w:tblHeader/>
        </w:trPr>
        <w:tc>
          <w:tcPr>
            <w:tcW w:w="12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6</w:t>
            </w:r>
          </w:p>
        </w:tc>
        <w:tc>
          <w:tcPr>
            <w:tcW w:w="207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c>
          <w:tcPr>
            <w:tcW w:w="316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0.630</w:t>
            </w:r>
          </w:p>
        </w:tc>
        <w:tc>
          <w:tcPr>
            <w:tcW w:w="238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120299.38</w:t>
            </w:r>
          </w:p>
        </w:tc>
      </w:tr>
      <w:tr w:rsidR="00D03F9E" w:rsidRPr="00D01EFA">
        <w:trPr>
          <w:cantSplit/>
          <w:trHeight w:val="515"/>
          <w:tblHeader/>
        </w:trPr>
        <w:tc>
          <w:tcPr>
            <w:tcW w:w="6480" w:type="dxa"/>
            <w:gridSpan w:val="3"/>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rPr>
                <w:b/>
                <w:lang w:val="en-GB"/>
              </w:rPr>
            </w:pPr>
            <w:r w:rsidRPr="00D01EFA">
              <w:rPr>
                <w:b/>
                <w:lang w:val="en-GB"/>
              </w:rPr>
              <w:t>Net present value</w:t>
            </w:r>
          </w:p>
        </w:tc>
        <w:tc>
          <w:tcPr>
            <w:tcW w:w="23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D03F9E" w:rsidRPr="00D01EFA" w:rsidRDefault="00A14766">
            <w:pPr>
              <w:pStyle w:val="normal0"/>
              <w:spacing w:before="240"/>
              <w:jc w:val="right"/>
              <w:rPr>
                <w:b/>
                <w:lang w:val="en-GB"/>
              </w:rPr>
            </w:pPr>
            <w:r w:rsidRPr="00D01EFA">
              <w:rPr>
                <w:b/>
                <w:lang w:val="en-GB"/>
              </w:rPr>
              <w:t>294207.73</w:t>
            </w:r>
          </w:p>
        </w:tc>
      </w:tr>
    </w:tbl>
    <w:p w:rsidR="00D03F9E" w:rsidRPr="00D01EFA" w:rsidRDefault="00A14766">
      <w:pPr>
        <w:pStyle w:val="normal0"/>
        <w:spacing w:before="200" w:after="200" w:line="360" w:lineRule="auto"/>
        <w:jc w:val="both"/>
        <w:rPr>
          <w:lang w:val="en-GB"/>
        </w:rPr>
      </w:pPr>
      <w:r w:rsidRPr="00D01EFA">
        <w:rPr>
          <w:lang w:val="en-GB"/>
        </w:rPr>
        <w:t xml:space="preserve">Net present value plays an effective role in making decisions while initiating an investment. As mentioned by Costanza </w:t>
      </w:r>
      <w:r w:rsidRPr="00D01EFA">
        <w:rPr>
          <w:i/>
          <w:lang w:val="en-GB"/>
        </w:rPr>
        <w:t>et al.</w:t>
      </w:r>
      <w:r w:rsidRPr="00D01EFA">
        <w:rPr>
          <w:lang w:val="en-GB"/>
        </w:rPr>
        <w:t xml:space="preserve"> (2021), net present value is a financial technique to ascertain the worth of investment throughout its lifetime that is discounted to today’s value. It could be ascertained from the above calculation that after adjusting the discounting rate of 8%, this investment has a net present value of 294207.73 pounds. The investment proposal of purchasing a new storage machine might be acceptable because future benefits are maximum as compared to this value. Hence, it can be stated that this investment proposal may be highly beneficial for generation of future income and efficient growth of MTS limited. </w:t>
      </w:r>
      <w:r w:rsidR="00345A05">
        <w:rPr>
          <w:lang w:val="en-GB"/>
        </w:rPr>
        <w:t>Based on these finds, it is feasible for the company to accept this proposal for investment.</w:t>
      </w:r>
      <w:r w:rsidRPr="00D01EFA">
        <w:rPr>
          <w:lang w:val="en-GB"/>
        </w:rPr>
        <w:t xml:space="preserve">   </w:t>
      </w:r>
    </w:p>
    <w:p w:rsidR="00D03F9E" w:rsidRPr="00D01EFA" w:rsidRDefault="00A14766">
      <w:pPr>
        <w:pStyle w:val="normal0"/>
        <w:spacing w:before="200" w:after="200" w:line="360" w:lineRule="auto"/>
        <w:jc w:val="both"/>
        <w:rPr>
          <w:lang w:val="en-GB"/>
        </w:rPr>
      </w:pPr>
      <w:r w:rsidRPr="00D01EFA">
        <w:rPr>
          <w:lang w:val="en-GB"/>
        </w:rPr>
        <w:t>(iv). The internal rate of return</w:t>
      </w:r>
    </w:p>
    <w:tbl>
      <w:tblPr>
        <w:tblStyle w:val="af3"/>
        <w:tblW w:w="8865" w:type="dxa"/>
        <w:tblBorders>
          <w:top w:val="nil"/>
          <w:left w:val="nil"/>
          <w:bottom w:val="nil"/>
          <w:right w:val="nil"/>
          <w:insideH w:val="nil"/>
          <w:insideV w:val="nil"/>
        </w:tblBorders>
        <w:tblLayout w:type="fixed"/>
        <w:tblLook w:val="0600"/>
      </w:tblPr>
      <w:tblGrid>
        <w:gridCol w:w="3330"/>
        <w:gridCol w:w="5535"/>
      </w:tblGrid>
      <w:tr w:rsidR="00D03F9E" w:rsidRPr="00D01EFA">
        <w:trPr>
          <w:cantSplit/>
          <w:trHeight w:val="515"/>
          <w:tblHeader/>
        </w:trPr>
        <w:tc>
          <w:tcPr>
            <w:tcW w:w="3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Period</w:t>
            </w:r>
          </w:p>
        </w:tc>
        <w:tc>
          <w:tcPr>
            <w:tcW w:w="5535"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t>Cash flow (£)</w:t>
            </w:r>
          </w:p>
        </w:tc>
      </w:tr>
      <w:tr w:rsidR="00D03F9E" w:rsidRPr="00D01EFA">
        <w:trPr>
          <w:cantSplit/>
          <w:trHeight w:val="515"/>
          <w:tblHeader/>
        </w:trPr>
        <w:tc>
          <w:tcPr>
            <w:tcW w:w="33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0</w:t>
            </w:r>
          </w:p>
        </w:tc>
        <w:tc>
          <w:tcPr>
            <w:tcW w:w="553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-588300</w:t>
            </w:r>
          </w:p>
        </w:tc>
      </w:tr>
      <w:tr w:rsidR="00D03F9E" w:rsidRPr="00D01EFA">
        <w:trPr>
          <w:cantSplit/>
          <w:trHeight w:val="515"/>
          <w:tblHeader/>
        </w:trPr>
        <w:tc>
          <w:tcPr>
            <w:tcW w:w="33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w:t>
            </w:r>
          </w:p>
        </w:tc>
        <w:tc>
          <w:tcPr>
            <w:tcW w:w="553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r>
      <w:tr w:rsidR="00D03F9E" w:rsidRPr="00D01EFA">
        <w:trPr>
          <w:cantSplit/>
          <w:trHeight w:val="515"/>
          <w:tblHeader/>
        </w:trPr>
        <w:tc>
          <w:tcPr>
            <w:tcW w:w="33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2</w:t>
            </w:r>
          </w:p>
        </w:tc>
        <w:tc>
          <w:tcPr>
            <w:tcW w:w="553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r>
      <w:tr w:rsidR="00D03F9E" w:rsidRPr="00D01EFA">
        <w:trPr>
          <w:cantSplit/>
          <w:trHeight w:val="515"/>
          <w:tblHeader/>
        </w:trPr>
        <w:tc>
          <w:tcPr>
            <w:tcW w:w="33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3</w:t>
            </w:r>
          </w:p>
        </w:tc>
        <w:tc>
          <w:tcPr>
            <w:tcW w:w="553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r>
      <w:tr w:rsidR="00D03F9E" w:rsidRPr="00D01EFA">
        <w:trPr>
          <w:cantSplit/>
          <w:trHeight w:val="515"/>
          <w:tblHeader/>
        </w:trPr>
        <w:tc>
          <w:tcPr>
            <w:tcW w:w="33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4</w:t>
            </w:r>
          </w:p>
        </w:tc>
        <w:tc>
          <w:tcPr>
            <w:tcW w:w="553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r>
      <w:tr w:rsidR="00D03F9E" w:rsidRPr="00D01EFA">
        <w:trPr>
          <w:cantSplit/>
          <w:trHeight w:val="515"/>
          <w:tblHeader/>
        </w:trPr>
        <w:tc>
          <w:tcPr>
            <w:tcW w:w="33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5</w:t>
            </w:r>
          </w:p>
        </w:tc>
        <w:tc>
          <w:tcPr>
            <w:tcW w:w="553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r>
      <w:tr w:rsidR="00D03F9E" w:rsidRPr="00D01EFA">
        <w:trPr>
          <w:cantSplit/>
          <w:trHeight w:val="515"/>
          <w:tblHeader/>
        </w:trPr>
        <w:tc>
          <w:tcPr>
            <w:tcW w:w="33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6</w:t>
            </w:r>
          </w:p>
        </w:tc>
        <w:tc>
          <w:tcPr>
            <w:tcW w:w="553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lang w:val="en-GB"/>
              </w:rPr>
            </w:pPr>
            <w:r w:rsidRPr="00D01EFA">
              <w:rPr>
                <w:lang w:val="en-GB"/>
              </w:rPr>
              <w:t>190900</w:t>
            </w:r>
          </w:p>
        </w:tc>
      </w:tr>
      <w:tr w:rsidR="00D03F9E" w:rsidRPr="00D01EFA">
        <w:trPr>
          <w:cantSplit/>
          <w:trHeight w:val="515"/>
          <w:tblHeader/>
        </w:trPr>
        <w:tc>
          <w:tcPr>
            <w:tcW w:w="33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both"/>
              <w:rPr>
                <w:b/>
                <w:lang w:val="en-GB"/>
              </w:rPr>
            </w:pPr>
            <w:r w:rsidRPr="00D01EFA">
              <w:rPr>
                <w:b/>
                <w:lang w:val="en-GB"/>
              </w:rPr>
              <w:lastRenderedPageBreak/>
              <w:t>IRR</w:t>
            </w:r>
          </w:p>
        </w:tc>
        <w:tc>
          <w:tcPr>
            <w:tcW w:w="5535"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D03F9E" w:rsidRPr="00D01EFA" w:rsidRDefault="00A14766">
            <w:pPr>
              <w:pStyle w:val="normal0"/>
              <w:spacing w:before="240"/>
              <w:jc w:val="right"/>
              <w:rPr>
                <w:b/>
                <w:lang w:val="en-GB"/>
              </w:rPr>
            </w:pPr>
            <w:r w:rsidRPr="00D01EFA">
              <w:rPr>
                <w:b/>
                <w:lang w:val="en-GB"/>
              </w:rPr>
              <w:t>23.14%</w:t>
            </w:r>
          </w:p>
        </w:tc>
      </w:tr>
    </w:tbl>
    <w:p w:rsidR="00D03F9E" w:rsidRPr="00D01EFA" w:rsidRDefault="00A14766">
      <w:pPr>
        <w:pStyle w:val="normal0"/>
        <w:spacing w:before="200" w:after="200" w:line="360" w:lineRule="auto"/>
        <w:jc w:val="both"/>
        <w:rPr>
          <w:lang w:val="en-GB"/>
        </w:rPr>
      </w:pPr>
      <w:r w:rsidRPr="00D01EFA">
        <w:rPr>
          <w:lang w:val="en-GB"/>
        </w:rPr>
        <w:t xml:space="preserve">Internal rate of return plays a key role in analysing and estimating the possible potential of proposed investment. According to viewpoint of Klein </w:t>
      </w:r>
      <w:r w:rsidRPr="00D01EFA">
        <w:rPr>
          <w:i/>
          <w:lang w:val="en-GB"/>
        </w:rPr>
        <w:t>et al,</w:t>
      </w:r>
      <w:r w:rsidRPr="00D01EFA">
        <w:rPr>
          <w:lang w:val="en-GB"/>
        </w:rPr>
        <w:t xml:space="preserve"> (2021), internal rate of return may be counted as a discount rate that enacts the net present value of all cash flows to zero. From the above figure it could be ascertained that the internal rate of return of the proposed investment for 6 years is 23.14%. The proposed investment of a new storage machine could be highly acceptable as the IRR is higher than the required cost of capital. Hence, it could be stated that the new storage machine has better scope of returns and would be beneficial for MTS limited. This organisation might expect greater income opportunities by purchasing a new storage machine.     </w:t>
      </w:r>
    </w:p>
    <w:p w:rsidR="00D03F9E" w:rsidRPr="00D01EFA" w:rsidRDefault="00A14766">
      <w:pPr>
        <w:pStyle w:val="Heading1"/>
        <w:spacing w:before="200" w:after="200" w:line="360" w:lineRule="auto"/>
        <w:rPr>
          <w:lang w:val="en-GB"/>
        </w:rPr>
      </w:pPr>
      <w:bookmarkStart w:id="12" w:name="_arxbcnfd0ma0" w:colFirst="0" w:colLast="0"/>
      <w:bookmarkStart w:id="13" w:name="_Toc132646774"/>
      <w:bookmarkEnd w:id="12"/>
      <w:r w:rsidRPr="00D01EFA">
        <w:rPr>
          <w:lang w:val="en-GB"/>
        </w:rPr>
        <w:t>(</w:t>
      </w:r>
      <w:r w:rsidR="0018442F" w:rsidRPr="00D01EFA">
        <w:rPr>
          <w:lang w:val="en-GB"/>
        </w:rPr>
        <w:t>B</w:t>
      </w:r>
      <w:r w:rsidRPr="00D01EFA">
        <w:rPr>
          <w:lang w:val="en-GB"/>
        </w:rPr>
        <w:t>). Critical evaluation of the impact of proposal of finance director</w:t>
      </w:r>
      <w:bookmarkEnd w:id="13"/>
      <w:r w:rsidRPr="00D01EFA">
        <w:rPr>
          <w:lang w:val="en-GB"/>
        </w:rPr>
        <w:t xml:space="preserve"> </w:t>
      </w:r>
    </w:p>
    <w:p w:rsidR="00D03F9E" w:rsidRPr="00D01EFA" w:rsidRDefault="00A14766">
      <w:pPr>
        <w:pStyle w:val="normal0"/>
        <w:spacing w:before="200" w:after="200" w:line="360" w:lineRule="auto"/>
        <w:jc w:val="both"/>
        <w:rPr>
          <w:lang w:val="en-GB"/>
        </w:rPr>
      </w:pPr>
      <w:r w:rsidRPr="00D01EFA">
        <w:rPr>
          <w:lang w:val="en-GB"/>
        </w:rPr>
        <w:t>The finance director of MTS limited is expecting buyback of equity shares and giving cash dividends to its shareholders. As per his proposal,  40% of the funds could be used for buying back shares whereas the other 60% could be applicable for paying out cash dividends. Repurchasing of shares might be termed as a transaction where an organisation buys back its own shares from the open market to enhance the value of its shares. According to Palladino (2021), buyback may possess a positive impact on the share price and benefit the shareholders. However, a large amount of repurchase of shares might affect the cash outflow and shortage of funds may arise. As stated by Setyabudi (2021), dividends could be termed as a part of profit of a company that they pay to its shareholders. It might enhance the impression of shareholders and the company could be able to raise more funds. However, a huge cash outflow may enhance the risk of excessive financing cash outflow of an organisation. Proposals offered by the Finance Director could affect the funds available at their reserves and surplus. Facilitating these funds for enhancing the storage capacity could rather improve their earning capacity.</w:t>
      </w:r>
    </w:p>
    <w:p w:rsidR="00D03F9E" w:rsidRPr="00D01EFA" w:rsidRDefault="00A14766">
      <w:pPr>
        <w:pStyle w:val="normal0"/>
        <w:spacing w:before="200" w:after="200" w:line="360" w:lineRule="auto"/>
        <w:jc w:val="both"/>
        <w:rPr>
          <w:lang w:val="en-GB"/>
        </w:rPr>
      </w:pPr>
      <w:r w:rsidRPr="00D01EFA">
        <w:rPr>
          <w:lang w:val="en-GB"/>
        </w:rPr>
        <w:t xml:space="preserve">As mentioned by Kyere </w:t>
      </w:r>
      <w:r w:rsidRPr="00D01EFA">
        <w:rPr>
          <w:i/>
          <w:lang w:val="en-GB"/>
        </w:rPr>
        <w:t>et al</w:t>
      </w:r>
      <w:r w:rsidRPr="00D01EFA">
        <w:rPr>
          <w:lang w:val="en-GB"/>
        </w:rPr>
        <w:t xml:space="preserve">. (2021), if an organisation ensures an adequate availability of reserves then substantial returns could be earned. The excessive cash outflow regarding payment of dividend and buying back of its equity shares may cause unavailability of reserves. Thereby, it may affect the financial growth of this organisation. From the above estimation, it could be ascertained that purchasing a new storage machine has a great scope of generating income. The internal rate of return is higher than the required cost of capital. The </w:t>
      </w:r>
      <w:r w:rsidRPr="00D01EFA">
        <w:rPr>
          <w:lang w:val="en-GB"/>
        </w:rPr>
        <w:lastRenderedPageBreak/>
        <w:t xml:space="preserve">investment could be able to produce a decent accounting rate of return. New storage machine shall possess an effective worth of investment. It has a very negligible payback period that is within the half of their maturity period. In accordance with these financial aspects it could be stated that the proposed investment in new storage machines would be beneficial for this organisation. The machine would be very useful for storing soup products of MTS limited. This would benefit the organisation in cutting costs. It could be easily ascertained that the decision of the finance director of share repurchase and cash dividend might increase the risk of capital shortages. </w:t>
      </w:r>
    </w:p>
    <w:p w:rsidR="00680E74" w:rsidRPr="00D01EFA" w:rsidRDefault="00A14766">
      <w:pPr>
        <w:pStyle w:val="normal0"/>
        <w:spacing w:before="200" w:after="200" w:line="360" w:lineRule="auto"/>
        <w:jc w:val="both"/>
        <w:rPr>
          <w:lang w:val="en-GB"/>
        </w:rPr>
      </w:pPr>
      <w:r w:rsidRPr="00D01EFA">
        <w:rPr>
          <w:lang w:val="en-GB"/>
        </w:rPr>
        <w:t xml:space="preserve">However, offering scrip dividend could be a better choice for this firm. According to viewpoint of Viviers </w:t>
      </w:r>
      <w:r w:rsidRPr="00D01EFA">
        <w:rPr>
          <w:i/>
          <w:lang w:val="en-GB"/>
        </w:rPr>
        <w:t>et al</w:t>
      </w:r>
      <w:r w:rsidRPr="00D01EFA">
        <w:rPr>
          <w:lang w:val="en-GB"/>
        </w:rPr>
        <w:t xml:space="preserve">. (2023), offering scrip dividend instead of cash dividend might help to diversify their equity as it ensures excessive outflow of reserves. This organisation could issue shares instead of cash dividends with the help of scrip dividend. It could ensure effective pricing of their shares as demand for shares might get increased. Thereby, this organisation might get more cash inflow and mitigate the risk of shortage of funds. In this regard, it could be evaluated that instead of repurchasing shares and providing cash dividend, finance manager could offer scrip dividends. Otherwise, investment in a new storage machine is very optimal and beneficial for MTS limited.  </w:t>
      </w:r>
    </w:p>
    <w:p w:rsidR="00680E74" w:rsidRPr="00D01EFA" w:rsidRDefault="00680E74" w:rsidP="00A57612">
      <w:pPr>
        <w:pStyle w:val="Heading1"/>
        <w:rPr>
          <w:highlight w:val="white"/>
          <w:lang w:val="en-GB"/>
        </w:rPr>
      </w:pPr>
      <w:bookmarkStart w:id="14" w:name="_Toc132646775"/>
      <w:r w:rsidRPr="00D01EFA">
        <w:rPr>
          <w:highlight w:val="white"/>
          <w:lang w:val="en-GB"/>
        </w:rPr>
        <w:t>(</w:t>
      </w:r>
      <w:r w:rsidR="0018442F" w:rsidRPr="00D01EFA">
        <w:rPr>
          <w:highlight w:val="white"/>
          <w:lang w:val="en-GB"/>
        </w:rPr>
        <w:t>C</w:t>
      </w:r>
      <w:r w:rsidRPr="00D01EFA">
        <w:rPr>
          <w:highlight w:val="white"/>
          <w:lang w:val="en-GB"/>
        </w:rPr>
        <w:t xml:space="preserve">). </w:t>
      </w:r>
      <w:r w:rsidR="00A57612" w:rsidRPr="00D01EFA">
        <w:rPr>
          <w:highlight w:val="white"/>
          <w:lang w:val="en-GB"/>
        </w:rPr>
        <w:t>Discussion of proposed sources of finance</w:t>
      </w:r>
      <w:bookmarkEnd w:id="14"/>
    </w:p>
    <w:p w:rsidR="00680E74" w:rsidRPr="00D01EFA" w:rsidRDefault="00680E74" w:rsidP="00680E74">
      <w:pPr>
        <w:spacing w:line="360" w:lineRule="auto"/>
        <w:jc w:val="both"/>
        <w:rPr>
          <w:highlight w:val="white"/>
          <w:lang w:val="en-GB"/>
        </w:rPr>
      </w:pPr>
      <w:r w:rsidRPr="00D01EFA">
        <w:rPr>
          <w:highlight w:val="white"/>
          <w:lang w:val="en-GB"/>
        </w:rPr>
        <w:t xml:space="preserve">Business organisation is concerned with the production and distribution of goods and service in terms of mitigating demand. Finance is important for an organisation in terms of utilising quality resources. In reference to the study of Rita and Huruta (2020), a financial manager present within an organisation needs to have a clear understanding of financial requirements. Three different proposed sources of finance that can be used by a listed company include equity financing, debt financing and retained earnings. </w:t>
      </w:r>
      <w:r w:rsidRPr="00D01EFA">
        <w:rPr>
          <w:b/>
          <w:i/>
          <w:highlight w:val="white"/>
          <w:lang w:val="en-GB"/>
        </w:rPr>
        <w:t>Equity financing</w:t>
      </w:r>
      <w:r w:rsidRPr="00D01EFA">
        <w:rPr>
          <w:highlight w:val="white"/>
          <w:lang w:val="en-GB"/>
        </w:rPr>
        <w:t xml:space="preserve"> is derived to be a process of raising capital through sales of shares. Equity financing process includes selling a portion of ownership in return for money.  In return dividend is paid to the shareholders based on the profitability value that is earned by a company in the financial period. On the other hand, </w:t>
      </w:r>
      <w:r w:rsidRPr="00D01EFA">
        <w:rPr>
          <w:b/>
          <w:i/>
          <w:highlight w:val="white"/>
          <w:lang w:val="en-GB"/>
        </w:rPr>
        <w:t>debt financing</w:t>
      </w:r>
      <w:r w:rsidRPr="00D01EFA">
        <w:rPr>
          <w:highlight w:val="white"/>
          <w:lang w:val="en-GB"/>
        </w:rPr>
        <w:t xml:space="preserve"> is a process when money is raised by the company by selling depth instruments to investors or is also analysed as a loan. In debt financing process, the return of the money raised is necessary to be made after a particular time period. Based on the research made by Phan and Archer (2020), </w:t>
      </w:r>
      <w:r w:rsidRPr="00D01EFA">
        <w:rPr>
          <w:b/>
          <w:i/>
          <w:highlight w:val="white"/>
          <w:lang w:val="en-GB"/>
        </w:rPr>
        <w:t>Retained earnings</w:t>
      </w:r>
      <w:r w:rsidRPr="00D01EFA">
        <w:rPr>
          <w:highlight w:val="white"/>
          <w:lang w:val="en-GB"/>
        </w:rPr>
        <w:t xml:space="preserve"> is derived as a part of net earnings a company uses for future years. The profit that is available for reinvestment within an organisation is derived as retained earnings. </w:t>
      </w:r>
    </w:p>
    <w:p w:rsidR="00680E74" w:rsidRPr="00D01EFA" w:rsidRDefault="00680E74" w:rsidP="00A57612">
      <w:pPr>
        <w:pStyle w:val="Heading1"/>
        <w:rPr>
          <w:highlight w:val="white"/>
          <w:lang w:val="en-GB"/>
        </w:rPr>
      </w:pPr>
      <w:bookmarkStart w:id="15" w:name="_Toc132646776"/>
      <w:r w:rsidRPr="00D01EFA">
        <w:rPr>
          <w:highlight w:val="white"/>
          <w:lang w:val="en-GB"/>
        </w:rPr>
        <w:lastRenderedPageBreak/>
        <w:t>(</w:t>
      </w:r>
      <w:r w:rsidR="0018442F" w:rsidRPr="00D01EFA">
        <w:rPr>
          <w:highlight w:val="white"/>
          <w:lang w:val="en-GB"/>
        </w:rPr>
        <w:t>D</w:t>
      </w:r>
      <w:r w:rsidRPr="00D01EFA">
        <w:rPr>
          <w:highlight w:val="white"/>
          <w:lang w:val="en-GB"/>
        </w:rPr>
        <w:t xml:space="preserve">). </w:t>
      </w:r>
      <w:r w:rsidR="00A57612" w:rsidRPr="00D01EFA">
        <w:rPr>
          <w:highlight w:val="white"/>
          <w:lang w:val="en-GB"/>
        </w:rPr>
        <w:t>Critical evaluation of investment appraisal techniques</w:t>
      </w:r>
      <w:bookmarkEnd w:id="15"/>
    </w:p>
    <w:p w:rsidR="00680E74" w:rsidRPr="00D01EFA" w:rsidRDefault="00680E74" w:rsidP="00680E74">
      <w:pPr>
        <w:spacing w:line="360" w:lineRule="auto"/>
        <w:jc w:val="both"/>
        <w:rPr>
          <w:highlight w:val="white"/>
          <w:lang w:val="en-GB"/>
        </w:rPr>
      </w:pPr>
      <w:r w:rsidRPr="00D01EFA">
        <w:rPr>
          <w:b/>
          <w:i/>
          <w:highlight w:val="white"/>
          <w:lang w:val="en-GB"/>
        </w:rPr>
        <w:t>The Payback Period (PBP)</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680E74" w:rsidRPr="00D01EFA" w:rsidTr="00855934">
        <w:tc>
          <w:tcPr>
            <w:tcW w:w="4680" w:type="dxa"/>
            <w:shd w:val="clear" w:color="auto" w:fill="auto"/>
            <w:tcMar>
              <w:top w:w="100" w:type="dxa"/>
              <w:left w:w="100" w:type="dxa"/>
              <w:bottom w:w="100" w:type="dxa"/>
              <w:right w:w="100" w:type="dxa"/>
            </w:tcMar>
          </w:tcPr>
          <w:p w:rsidR="00680E74" w:rsidRPr="00D01EFA" w:rsidRDefault="00680E74" w:rsidP="00855934">
            <w:pPr>
              <w:widowControl w:val="0"/>
              <w:pBdr>
                <w:top w:val="nil"/>
                <w:left w:val="nil"/>
                <w:bottom w:val="nil"/>
                <w:right w:val="nil"/>
                <w:between w:val="nil"/>
              </w:pBdr>
              <w:spacing w:line="360" w:lineRule="auto"/>
              <w:rPr>
                <w:b/>
                <w:highlight w:val="white"/>
                <w:lang w:val="en-GB"/>
              </w:rPr>
            </w:pPr>
            <w:r w:rsidRPr="00D01EFA">
              <w:rPr>
                <w:b/>
                <w:highlight w:val="white"/>
                <w:lang w:val="en-GB"/>
              </w:rPr>
              <w:t>Benefits</w:t>
            </w:r>
          </w:p>
        </w:tc>
        <w:tc>
          <w:tcPr>
            <w:tcW w:w="4680" w:type="dxa"/>
            <w:shd w:val="clear" w:color="auto" w:fill="auto"/>
            <w:tcMar>
              <w:top w:w="100" w:type="dxa"/>
              <w:left w:w="100" w:type="dxa"/>
              <w:bottom w:w="100" w:type="dxa"/>
              <w:right w:w="100" w:type="dxa"/>
            </w:tcMar>
          </w:tcPr>
          <w:p w:rsidR="00680E74" w:rsidRPr="00D01EFA" w:rsidRDefault="00680E74" w:rsidP="00855934">
            <w:pPr>
              <w:widowControl w:val="0"/>
              <w:pBdr>
                <w:top w:val="nil"/>
                <w:left w:val="nil"/>
                <w:bottom w:val="nil"/>
                <w:right w:val="nil"/>
                <w:between w:val="nil"/>
              </w:pBdr>
              <w:spacing w:line="360" w:lineRule="auto"/>
              <w:rPr>
                <w:b/>
                <w:highlight w:val="white"/>
                <w:lang w:val="en-GB"/>
              </w:rPr>
            </w:pPr>
            <w:r w:rsidRPr="00D01EFA">
              <w:rPr>
                <w:b/>
                <w:highlight w:val="white"/>
                <w:lang w:val="en-GB"/>
              </w:rPr>
              <w:t>Limitations</w:t>
            </w:r>
          </w:p>
        </w:tc>
      </w:tr>
      <w:tr w:rsidR="00680E74" w:rsidRPr="00D01EFA" w:rsidTr="00855934">
        <w:tc>
          <w:tcPr>
            <w:tcW w:w="4680" w:type="dxa"/>
            <w:shd w:val="clear" w:color="auto" w:fill="auto"/>
            <w:tcMar>
              <w:top w:w="100" w:type="dxa"/>
              <w:left w:w="100" w:type="dxa"/>
              <w:bottom w:w="100" w:type="dxa"/>
              <w:right w:w="100" w:type="dxa"/>
            </w:tcMar>
          </w:tcPr>
          <w:p w:rsidR="00680E74" w:rsidRPr="00D01EFA" w:rsidRDefault="00680E74" w:rsidP="00855934">
            <w:pPr>
              <w:widowControl w:val="0"/>
              <w:numPr>
                <w:ilvl w:val="0"/>
                <w:numId w:val="6"/>
              </w:numPr>
              <w:pBdr>
                <w:top w:val="nil"/>
                <w:left w:val="nil"/>
                <w:bottom w:val="nil"/>
                <w:right w:val="nil"/>
                <w:between w:val="nil"/>
              </w:pBdr>
              <w:spacing w:line="360" w:lineRule="auto"/>
              <w:jc w:val="both"/>
              <w:rPr>
                <w:highlight w:val="white"/>
                <w:lang w:val="en-GB"/>
              </w:rPr>
            </w:pPr>
            <w:r w:rsidRPr="00D01EFA">
              <w:rPr>
                <w:highlight w:val="white"/>
                <w:lang w:val="en-GB"/>
              </w:rPr>
              <w:t>PBP helps in project evaluation quickly</w:t>
            </w:r>
          </w:p>
          <w:p w:rsidR="00680E74" w:rsidRPr="00D01EFA" w:rsidRDefault="00680E74" w:rsidP="00855934">
            <w:pPr>
              <w:widowControl w:val="0"/>
              <w:numPr>
                <w:ilvl w:val="0"/>
                <w:numId w:val="6"/>
              </w:numPr>
              <w:spacing w:line="360" w:lineRule="auto"/>
              <w:jc w:val="both"/>
              <w:rPr>
                <w:highlight w:val="white"/>
                <w:lang w:val="en-GB"/>
              </w:rPr>
            </w:pPr>
            <w:r w:rsidRPr="00D01EFA">
              <w:rPr>
                <w:highlight w:val="white"/>
                <w:lang w:val="en-GB"/>
              </w:rPr>
              <w:t xml:space="preserve">PBP is very easy to calculate and have liquidity preferences (Gorantla </w:t>
            </w:r>
            <w:r w:rsidRPr="00D01EFA">
              <w:rPr>
                <w:i/>
                <w:highlight w:val="white"/>
                <w:lang w:val="en-GB"/>
              </w:rPr>
              <w:t xml:space="preserve">et al. </w:t>
            </w:r>
            <w:r w:rsidRPr="00D01EFA">
              <w:rPr>
                <w:highlight w:val="white"/>
                <w:lang w:val="en-GB"/>
              </w:rPr>
              <w:t>2021)</w:t>
            </w:r>
          </w:p>
          <w:p w:rsidR="00680E74" w:rsidRPr="00D01EFA" w:rsidRDefault="00680E74" w:rsidP="00855934">
            <w:pPr>
              <w:widowControl w:val="0"/>
              <w:numPr>
                <w:ilvl w:val="0"/>
                <w:numId w:val="6"/>
              </w:numPr>
              <w:spacing w:line="360" w:lineRule="auto"/>
              <w:jc w:val="both"/>
              <w:rPr>
                <w:highlight w:val="white"/>
                <w:lang w:val="en-GB"/>
              </w:rPr>
            </w:pPr>
            <w:r w:rsidRPr="00D01EFA">
              <w:rPr>
                <w:highlight w:val="white"/>
                <w:lang w:val="en-GB"/>
              </w:rPr>
              <w:t xml:space="preserve">The calculation for PBP is determined to be effective as it helps in identifying uncertainties </w:t>
            </w:r>
          </w:p>
        </w:tc>
        <w:tc>
          <w:tcPr>
            <w:tcW w:w="4680" w:type="dxa"/>
            <w:shd w:val="clear" w:color="auto" w:fill="auto"/>
            <w:tcMar>
              <w:top w:w="100" w:type="dxa"/>
              <w:left w:w="100" w:type="dxa"/>
              <w:bottom w:w="100" w:type="dxa"/>
              <w:right w:w="100" w:type="dxa"/>
            </w:tcMar>
          </w:tcPr>
          <w:p w:rsidR="00680E74" w:rsidRPr="00D01EFA" w:rsidRDefault="00680E74" w:rsidP="00855934">
            <w:pPr>
              <w:widowControl w:val="0"/>
              <w:numPr>
                <w:ilvl w:val="0"/>
                <w:numId w:val="7"/>
              </w:numPr>
              <w:spacing w:line="360" w:lineRule="auto"/>
              <w:jc w:val="both"/>
              <w:rPr>
                <w:highlight w:val="white"/>
                <w:lang w:val="en-GB"/>
              </w:rPr>
            </w:pPr>
            <w:r w:rsidRPr="00D01EFA">
              <w:rPr>
                <w:highlight w:val="white"/>
                <w:lang w:val="en-GB"/>
              </w:rPr>
              <w:t>PBP calculation ignores time value of money</w:t>
            </w:r>
          </w:p>
          <w:p w:rsidR="00680E74" w:rsidRPr="00D01EFA" w:rsidRDefault="00680E74" w:rsidP="00855934">
            <w:pPr>
              <w:widowControl w:val="0"/>
              <w:numPr>
                <w:ilvl w:val="0"/>
                <w:numId w:val="7"/>
              </w:numPr>
              <w:spacing w:line="360" w:lineRule="auto"/>
              <w:jc w:val="both"/>
              <w:rPr>
                <w:highlight w:val="white"/>
                <w:lang w:val="en-GB"/>
              </w:rPr>
            </w:pPr>
            <w:r w:rsidRPr="00D01EFA">
              <w:rPr>
                <w:highlight w:val="white"/>
                <w:lang w:val="en-GB"/>
              </w:rPr>
              <w:t>Not all type of cash flow is covered in the calculation of PBP</w:t>
            </w:r>
          </w:p>
          <w:p w:rsidR="00680E74" w:rsidRPr="00D01EFA" w:rsidRDefault="00680E74" w:rsidP="00855934">
            <w:pPr>
              <w:widowControl w:val="0"/>
              <w:numPr>
                <w:ilvl w:val="0"/>
                <w:numId w:val="7"/>
              </w:numPr>
              <w:spacing w:line="360" w:lineRule="auto"/>
              <w:jc w:val="both"/>
              <w:rPr>
                <w:highlight w:val="white"/>
                <w:lang w:val="en-GB"/>
              </w:rPr>
            </w:pPr>
            <w:r w:rsidRPr="00D01EFA">
              <w:rPr>
                <w:highlight w:val="white"/>
                <w:lang w:val="en-GB"/>
              </w:rPr>
              <w:t>Calculation for PBP is analysed to be not realistic and ignores profitability</w:t>
            </w:r>
          </w:p>
          <w:p w:rsidR="00680E74" w:rsidRPr="00D01EFA" w:rsidRDefault="00680E74" w:rsidP="00855934">
            <w:pPr>
              <w:widowControl w:val="0"/>
              <w:numPr>
                <w:ilvl w:val="0"/>
                <w:numId w:val="7"/>
              </w:numPr>
              <w:spacing w:line="360" w:lineRule="auto"/>
              <w:jc w:val="both"/>
              <w:rPr>
                <w:highlight w:val="white"/>
                <w:lang w:val="en-GB"/>
              </w:rPr>
            </w:pPr>
            <w:r w:rsidRPr="00D01EFA">
              <w:rPr>
                <w:highlight w:val="white"/>
                <w:lang w:val="en-GB"/>
              </w:rPr>
              <w:t xml:space="preserve">Project return on investment is basically ignored by an organisation while calculating PBP. </w:t>
            </w:r>
          </w:p>
        </w:tc>
      </w:tr>
    </w:tbl>
    <w:p w:rsidR="00680E74" w:rsidRPr="00D01EFA" w:rsidRDefault="00680E74" w:rsidP="00680E74">
      <w:pPr>
        <w:spacing w:line="360" w:lineRule="auto"/>
        <w:jc w:val="both"/>
        <w:rPr>
          <w:highlight w:val="white"/>
          <w:lang w:val="en-GB"/>
        </w:rPr>
      </w:pPr>
    </w:p>
    <w:p w:rsidR="00680E74" w:rsidRPr="00D01EFA" w:rsidRDefault="00680E74" w:rsidP="00680E74">
      <w:pPr>
        <w:spacing w:line="360" w:lineRule="auto"/>
        <w:jc w:val="both"/>
        <w:rPr>
          <w:highlight w:val="white"/>
          <w:lang w:val="en-GB"/>
        </w:rPr>
      </w:pPr>
      <w:r w:rsidRPr="00D01EFA">
        <w:rPr>
          <w:b/>
          <w:i/>
          <w:highlight w:val="white"/>
          <w:lang w:val="en-GB"/>
        </w:rPr>
        <w:t>The Accounting Rate of Return (ARR)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680E74" w:rsidRPr="00D01EFA" w:rsidTr="00855934">
        <w:tc>
          <w:tcPr>
            <w:tcW w:w="4680" w:type="dxa"/>
            <w:shd w:val="clear" w:color="auto" w:fill="auto"/>
            <w:tcMar>
              <w:top w:w="100" w:type="dxa"/>
              <w:left w:w="100" w:type="dxa"/>
              <w:bottom w:w="100" w:type="dxa"/>
              <w:right w:w="100" w:type="dxa"/>
            </w:tcMar>
          </w:tcPr>
          <w:p w:rsidR="00680E74" w:rsidRPr="00D01EFA" w:rsidRDefault="00680E74" w:rsidP="00855934">
            <w:pPr>
              <w:widowControl w:val="0"/>
              <w:spacing w:line="360" w:lineRule="auto"/>
              <w:rPr>
                <w:b/>
                <w:highlight w:val="white"/>
                <w:lang w:val="en-GB"/>
              </w:rPr>
            </w:pPr>
            <w:r w:rsidRPr="00D01EFA">
              <w:rPr>
                <w:b/>
                <w:highlight w:val="white"/>
                <w:lang w:val="en-GB"/>
              </w:rPr>
              <w:t>Benefits</w:t>
            </w:r>
          </w:p>
        </w:tc>
        <w:tc>
          <w:tcPr>
            <w:tcW w:w="4680" w:type="dxa"/>
            <w:shd w:val="clear" w:color="auto" w:fill="auto"/>
            <w:tcMar>
              <w:top w:w="100" w:type="dxa"/>
              <w:left w:w="100" w:type="dxa"/>
              <w:bottom w:w="100" w:type="dxa"/>
              <w:right w:w="100" w:type="dxa"/>
            </w:tcMar>
          </w:tcPr>
          <w:p w:rsidR="00680E74" w:rsidRPr="00D01EFA" w:rsidRDefault="00680E74" w:rsidP="00855934">
            <w:pPr>
              <w:widowControl w:val="0"/>
              <w:spacing w:line="360" w:lineRule="auto"/>
              <w:rPr>
                <w:b/>
                <w:highlight w:val="white"/>
                <w:lang w:val="en-GB"/>
              </w:rPr>
            </w:pPr>
            <w:r w:rsidRPr="00D01EFA">
              <w:rPr>
                <w:b/>
                <w:highlight w:val="white"/>
                <w:lang w:val="en-GB"/>
              </w:rPr>
              <w:t>Limitations</w:t>
            </w:r>
          </w:p>
        </w:tc>
      </w:tr>
      <w:tr w:rsidR="00680E74" w:rsidRPr="00D01EFA" w:rsidTr="00855934">
        <w:tc>
          <w:tcPr>
            <w:tcW w:w="4680" w:type="dxa"/>
            <w:shd w:val="clear" w:color="auto" w:fill="auto"/>
            <w:tcMar>
              <w:top w:w="100" w:type="dxa"/>
              <w:left w:w="100" w:type="dxa"/>
              <w:bottom w:w="100" w:type="dxa"/>
              <w:right w:w="100" w:type="dxa"/>
            </w:tcMar>
          </w:tcPr>
          <w:p w:rsidR="00680E74" w:rsidRPr="00D01EFA" w:rsidRDefault="00680E74" w:rsidP="00855934">
            <w:pPr>
              <w:widowControl w:val="0"/>
              <w:numPr>
                <w:ilvl w:val="0"/>
                <w:numId w:val="4"/>
              </w:numPr>
              <w:spacing w:line="360" w:lineRule="auto"/>
              <w:jc w:val="both"/>
              <w:rPr>
                <w:highlight w:val="white"/>
                <w:lang w:val="en-GB"/>
              </w:rPr>
            </w:pPr>
            <w:r w:rsidRPr="00D01EFA">
              <w:rPr>
                <w:highlight w:val="white"/>
                <w:lang w:val="en-GB"/>
              </w:rPr>
              <w:t>ARR is simple and very easy to be calculated</w:t>
            </w:r>
          </w:p>
          <w:p w:rsidR="00680E74" w:rsidRPr="00D01EFA" w:rsidRDefault="00680E74" w:rsidP="00855934">
            <w:pPr>
              <w:widowControl w:val="0"/>
              <w:numPr>
                <w:ilvl w:val="0"/>
                <w:numId w:val="4"/>
              </w:numPr>
              <w:spacing w:line="360" w:lineRule="auto"/>
              <w:jc w:val="both"/>
              <w:rPr>
                <w:highlight w:val="white"/>
                <w:lang w:val="en-GB"/>
              </w:rPr>
            </w:pPr>
            <w:r w:rsidRPr="00D01EFA">
              <w:rPr>
                <w:highlight w:val="white"/>
                <w:lang w:val="en-GB"/>
              </w:rPr>
              <w:t>Savings that are made in entire time period of investment is taken into account</w:t>
            </w:r>
          </w:p>
          <w:p w:rsidR="00680E74" w:rsidRPr="00D01EFA" w:rsidRDefault="00680E74" w:rsidP="00855934">
            <w:pPr>
              <w:widowControl w:val="0"/>
              <w:numPr>
                <w:ilvl w:val="0"/>
                <w:numId w:val="4"/>
              </w:numPr>
              <w:spacing w:line="360" w:lineRule="auto"/>
              <w:jc w:val="both"/>
              <w:rPr>
                <w:highlight w:val="white"/>
                <w:lang w:val="en-GB"/>
              </w:rPr>
            </w:pPr>
            <w:r w:rsidRPr="00D01EFA">
              <w:rPr>
                <w:highlight w:val="white"/>
                <w:lang w:val="en-GB"/>
              </w:rPr>
              <w:t>ARR is basically a calculation that derives accounting profitability rather than the cash inflow</w:t>
            </w:r>
          </w:p>
          <w:p w:rsidR="00680E74" w:rsidRPr="00D01EFA" w:rsidRDefault="00680E74" w:rsidP="00855934">
            <w:pPr>
              <w:widowControl w:val="0"/>
              <w:numPr>
                <w:ilvl w:val="0"/>
                <w:numId w:val="4"/>
              </w:numPr>
              <w:spacing w:line="360" w:lineRule="auto"/>
              <w:jc w:val="both"/>
              <w:rPr>
                <w:highlight w:val="white"/>
                <w:lang w:val="en-GB"/>
              </w:rPr>
            </w:pPr>
            <w:r w:rsidRPr="00D01EFA">
              <w:rPr>
                <w:highlight w:val="white"/>
                <w:lang w:val="en-GB"/>
              </w:rPr>
              <w:t xml:space="preserve">ARR method helps in distinguishing between projects where timings of saving are approximately same. </w:t>
            </w:r>
          </w:p>
        </w:tc>
        <w:tc>
          <w:tcPr>
            <w:tcW w:w="4680" w:type="dxa"/>
            <w:shd w:val="clear" w:color="auto" w:fill="auto"/>
            <w:tcMar>
              <w:top w:w="100" w:type="dxa"/>
              <w:left w:w="100" w:type="dxa"/>
              <w:bottom w:w="100" w:type="dxa"/>
              <w:right w:w="100" w:type="dxa"/>
            </w:tcMar>
          </w:tcPr>
          <w:p w:rsidR="00680E74" w:rsidRPr="00D01EFA" w:rsidRDefault="00680E74" w:rsidP="00855934">
            <w:pPr>
              <w:widowControl w:val="0"/>
              <w:numPr>
                <w:ilvl w:val="0"/>
                <w:numId w:val="3"/>
              </w:numPr>
              <w:spacing w:line="360" w:lineRule="auto"/>
              <w:jc w:val="both"/>
              <w:rPr>
                <w:highlight w:val="white"/>
                <w:lang w:val="en-GB"/>
              </w:rPr>
            </w:pPr>
            <w:r w:rsidRPr="00D01EFA">
              <w:rPr>
                <w:highlight w:val="white"/>
                <w:lang w:val="en-GB"/>
              </w:rPr>
              <w:t>In ARR time value of money is not considered</w:t>
            </w:r>
          </w:p>
          <w:p w:rsidR="00680E74" w:rsidRPr="00D01EFA" w:rsidRDefault="00680E74" w:rsidP="00855934">
            <w:pPr>
              <w:widowControl w:val="0"/>
              <w:numPr>
                <w:ilvl w:val="0"/>
                <w:numId w:val="3"/>
              </w:numPr>
              <w:spacing w:line="360" w:lineRule="auto"/>
              <w:jc w:val="both"/>
              <w:rPr>
                <w:highlight w:val="white"/>
                <w:lang w:val="en-GB"/>
              </w:rPr>
            </w:pPr>
            <w:r w:rsidRPr="00D01EFA">
              <w:rPr>
                <w:highlight w:val="white"/>
                <w:lang w:val="en-GB"/>
              </w:rPr>
              <w:t>ARR feels to consider life of project</w:t>
            </w:r>
          </w:p>
          <w:p w:rsidR="00680E74" w:rsidRPr="00D01EFA" w:rsidRDefault="00680E74" w:rsidP="00855934">
            <w:pPr>
              <w:widowControl w:val="0"/>
              <w:numPr>
                <w:ilvl w:val="0"/>
                <w:numId w:val="3"/>
              </w:numPr>
              <w:spacing w:line="360" w:lineRule="auto"/>
              <w:jc w:val="both"/>
              <w:rPr>
                <w:highlight w:val="white"/>
                <w:lang w:val="en-GB"/>
              </w:rPr>
            </w:pPr>
            <w:r w:rsidRPr="00D01EFA">
              <w:rPr>
                <w:highlight w:val="white"/>
                <w:lang w:val="en-GB"/>
              </w:rPr>
              <w:t>Ignorance of terminal value of the project is also determined in ARR</w:t>
            </w:r>
          </w:p>
        </w:tc>
      </w:tr>
    </w:tbl>
    <w:p w:rsidR="00680E74" w:rsidRPr="00D01EFA" w:rsidRDefault="00680E74" w:rsidP="00680E74">
      <w:pPr>
        <w:spacing w:line="360" w:lineRule="auto"/>
        <w:jc w:val="both"/>
        <w:rPr>
          <w:highlight w:val="white"/>
          <w:lang w:val="en-GB"/>
        </w:rPr>
      </w:pPr>
    </w:p>
    <w:p w:rsidR="00680E74" w:rsidRPr="00D01EFA" w:rsidRDefault="00680E74" w:rsidP="00680E74">
      <w:pPr>
        <w:spacing w:line="360" w:lineRule="auto"/>
        <w:jc w:val="both"/>
        <w:rPr>
          <w:highlight w:val="white"/>
          <w:lang w:val="en-GB"/>
        </w:rPr>
      </w:pPr>
      <w:r w:rsidRPr="00D01EFA">
        <w:rPr>
          <w:b/>
          <w:i/>
          <w:highlight w:val="white"/>
          <w:lang w:val="en-GB"/>
        </w:rPr>
        <w:t>The Net Present Value (NPV)</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680E74" w:rsidRPr="00D01EFA" w:rsidTr="00855934">
        <w:tc>
          <w:tcPr>
            <w:tcW w:w="4680" w:type="dxa"/>
            <w:shd w:val="clear" w:color="auto" w:fill="auto"/>
            <w:tcMar>
              <w:top w:w="100" w:type="dxa"/>
              <w:left w:w="100" w:type="dxa"/>
              <w:bottom w:w="100" w:type="dxa"/>
              <w:right w:w="100" w:type="dxa"/>
            </w:tcMar>
          </w:tcPr>
          <w:p w:rsidR="00680E74" w:rsidRPr="00D01EFA" w:rsidRDefault="00680E74" w:rsidP="00855934">
            <w:pPr>
              <w:widowControl w:val="0"/>
              <w:spacing w:line="360" w:lineRule="auto"/>
              <w:rPr>
                <w:b/>
                <w:highlight w:val="white"/>
                <w:lang w:val="en-GB"/>
              </w:rPr>
            </w:pPr>
            <w:r w:rsidRPr="00D01EFA">
              <w:rPr>
                <w:b/>
                <w:highlight w:val="white"/>
                <w:lang w:val="en-GB"/>
              </w:rPr>
              <w:t>Benefits</w:t>
            </w:r>
          </w:p>
        </w:tc>
        <w:tc>
          <w:tcPr>
            <w:tcW w:w="4680" w:type="dxa"/>
            <w:shd w:val="clear" w:color="auto" w:fill="auto"/>
            <w:tcMar>
              <w:top w:w="100" w:type="dxa"/>
              <w:left w:w="100" w:type="dxa"/>
              <w:bottom w:w="100" w:type="dxa"/>
              <w:right w:w="100" w:type="dxa"/>
            </w:tcMar>
          </w:tcPr>
          <w:p w:rsidR="00680E74" w:rsidRPr="00D01EFA" w:rsidRDefault="00680E74" w:rsidP="00855934">
            <w:pPr>
              <w:widowControl w:val="0"/>
              <w:spacing w:line="360" w:lineRule="auto"/>
              <w:rPr>
                <w:b/>
                <w:highlight w:val="white"/>
                <w:lang w:val="en-GB"/>
              </w:rPr>
            </w:pPr>
            <w:r w:rsidRPr="00D01EFA">
              <w:rPr>
                <w:b/>
                <w:highlight w:val="white"/>
                <w:lang w:val="en-GB"/>
              </w:rPr>
              <w:t>Limitations</w:t>
            </w:r>
          </w:p>
        </w:tc>
      </w:tr>
      <w:tr w:rsidR="00680E74" w:rsidRPr="00D01EFA" w:rsidTr="00855934">
        <w:tc>
          <w:tcPr>
            <w:tcW w:w="4680" w:type="dxa"/>
            <w:shd w:val="clear" w:color="auto" w:fill="auto"/>
            <w:tcMar>
              <w:top w:w="100" w:type="dxa"/>
              <w:left w:w="100" w:type="dxa"/>
              <w:bottom w:w="100" w:type="dxa"/>
              <w:right w:w="100" w:type="dxa"/>
            </w:tcMar>
          </w:tcPr>
          <w:p w:rsidR="00680E74" w:rsidRPr="00D01EFA" w:rsidRDefault="00680E74" w:rsidP="00855934">
            <w:pPr>
              <w:widowControl w:val="0"/>
              <w:numPr>
                <w:ilvl w:val="0"/>
                <w:numId w:val="5"/>
              </w:numPr>
              <w:spacing w:line="360" w:lineRule="auto"/>
              <w:jc w:val="both"/>
              <w:rPr>
                <w:highlight w:val="white"/>
                <w:lang w:val="en-GB"/>
              </w:rPr>
            </w:pPr>
            <w:r w:rsidRPr="00D01EFA">
              <w:rPr>
                <w:highlight w:val="white"/>
                <w:lang w:val="en-GB"/>
              </w:rPr>
              <w:t xml:space="preserve">NPV accepts conventional cash flow </w:t>
            </w:r>
            <w:r w:rsidRPr="00D01EFA">
              <w:rPr>
                <w:highlight w:val="white"/>
                <w:lang w:val="en-GB"/>
              </w:rPr>
              <w:lastRenderedPageBreak/>
              <w:t>pattern</w:t>
            </w:r>
          </w:p>
          <w:p w:rsidR="00680E74" w:rsidRPr="00D01EFA" w:rsidRDefault="00680E74" w:rsidP="00855934">
            <w:pPr>
              <w:widowControl w:val="0"/>
              <w:numPr>
                <w:ilvl w:val="0"/>
                <w:numId w:val="5"/>
              </w:numPr>
              <w:spacing w:line="360" w:lineRule="auto"/>
              <w:jc w:val="both"/>
              <w:rPr>
                <w:highlight w:val="white"/>
                <w:lang w:val="en-GB"/>
              </w:rPr>
            </w:pPr>
            <w:r w:rsidRPr="00D01EFA">
              <w:rPr>
                <w:highlight w:val="white"/>
                <w:lang w:val="en-GB"/>
              </w:rPr>
              <w:t>Consider time flow of money while obtaining proper present value</w:t>
            </w:r>
          </w:p>
          <w:p w:rsidR="00680E74" w:rsidRPr="00D01EFA" w:rsidRDefault="00680E74" w:rsidP="00855934">
            <w:pPr>
              <w:widowControl w:val="0"/>
              <w:numPr>
                <w:ilvl w:val="0"/>
                <w:numId w:val="5"/>
              </w:numPr>
              <w:spacing w:line="360" w:lineRule="auto"/>
              <w:jc w:val="both"/>
              <w:rPr>
                <w:highlight w:val="white"/>
                <w:lang w:val="en-GB"/>
              </w:rPr>
            </w:pPr>
            <w:r w:rsidRPr="00D01EFA">
              <w:rPr>
                <w:highlight w:val="white"/>
                <w:lang w:val="en-GB"/>
              </w:rPr>
              <w:t>Focuses on profitability value in terms of making easy decision</w:t>
            </w:r>
          </w:p>
        </w:tc>
        <w:tc>
          <w:tcPr>
            <w:tcW w:w="4680" w:type="dxa"/>
            <w:shd w:val="clear" w:color="auto" w:fill="auto"/>
            <w:tcMar>
              <w:top w:w="100" w:type="dxa"/>
              <w:left w:w="100" w:type="dxa"/>
              <w:bottom w:w="100" w:type="dxa"/>
              <w:right w:w="100" w:type="dxa"/>
            </w:tcMar>
          </w:tcPr>
          <w:p w:rsidR="00680E74" w:rsidRPr="00D01EFA" w:rsidRDefault="00680E74" w:rsidP="00855934">
            <w:pPr>
              <w:widowControl w:val="0"/>
              <w:numPr>
                <w:ilvl w:val="0"/>
                <w:numId w:val="1"/>
              </w:numPr>
              <w:spacing w:line="360" w:lineRule="auto"/>
              <w:jc w:val="both"/>
              <w:rPr>
                <w:highlight w:val="white"/>
                <w:lang w:val="en-GB"/>
              </w:rPr>
            </w:pPr>
            <w:r w:rsidRPr="00D01EFA">
              <w:rPr>
                <w:highlight w:val="white"/>
                <w:lang w:val="en-GB"/>
              </w:rPr>
              <w:lastRenderedPageBreak/>
              <w:t xml:space="preserve">Difficulty in determining required rate </w:t>
            </w:r>
            <w:r w:rsidRPr="00D01EFA">
              <w:rPr>
                <w:highlight w:val="white"/>
                <w:lang w:val="en-GB"/>
              </w:rPr>
              <w:lastRenderedPageBreak/>
              <w:t>of return (Dusseault and Pasquier, 2021)</w:t>
            </w:r>
          </w:p>
          <w:p w:rsidR="00680E74" w:rsidRPr="00D01EFA" w:rsidRDefault="00680E74" w:rsidP="00855934">
            <w:pPr>
              <w:widowControl w:val="0"/>
              <w:numPr>
                <w:ilvl w:val="0"/>
                <w:numId w:val="1"/>
              </w:numPr>
              <w:spacing w:line="360" w:lineRule="auto"/>
              <w:jc w:val="both"/>
              <w:rPr>
                <w:highlight w:val="white"/>
                <w:lang w:val="en-GB"/>
              </w:rPr>
            </w:pPr>
            <w:r w:rsidRPr="00D01EFA">
              <w:rPr>
                <w:highlight w:val="white"/>
                <w:lang w:val="en-GB"/>
              </w:rPr>
              <w:t>Optimistic projection is highlighter along with the consideration of NPV</w:t>
            </w:r>
          </w:p>
        </w:tc>
      </w:tr>
    </w:tbl>
    <w:p w:rsidR="00680E74" w:rsidRPr="00D01EFA" w:rsidRDefault="00680E74" w:rsidP="00680E74">
      <w:pPr>
        <w:spacing w:line="360" w:lineRule="auto"/>
        <w:jc w:val="both"/>
        <w:rPr>
          <w:highlight w:val="white"/>
          <w:lang w:val="en-GB"/>
        </w:rPr>
      </w:pPr>
    </w:p>
    <w:p w:rsidR="00680E74" w:rsidRPr="00D01EFA" w:rsidRDefault="00680E74" w:rsidP="00680E74">
      <w:pPr>
        <w:spacing w:line="360" w:lineRule="auto"/>
        <w:jc w:val="both"/>
        <w:rPr>
          <w:highlight w:val="white"/>
          <w:lang w:val="en-GB"/>
        </w:rPr>
      </w:pPr>
      <w:r w:rsidRPr="00D01EFA">
        <w:rPr>
          <w:b/>
          <w:i/>
          <w:highlight w:val="white"/>
          <w:lang w:val="en-GB"/>
        </w:rPr>
        <w:t>The Internal Rate of Return (IRR)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680E74" w:rsidRPr="00D01EFA" w:rsidTr="00855934">
        <w:tc>
          <w:tcPr>
            <w:tcW w:w="4680" w:type="dxa"/>
            <w:shd w:val="clear" w:color="auto" w:fill="auto"/>
            <w:tcMar>
              <w:top w:w="100" w:type="dxa"/>
              <w:left w:w="100" w:type="dxa"/>
              <w:bottom w:w="100" w:type="dxa"/>
              <w:right w:w="100" w:type="dxa"/>
            </w:tcMar>
          </w:tcPr>
          <w:p w:rsidR="00680E74" w:rsidRPr="00D01EFA" w:rsidRDefault="00680E74" w:rsidP="00855934">
            <w:pPr>
              <w:widowControl w:val="0"/>
              <w:spacing w:line="360" w:lineRule="auto"/>
              <w:rPr>
                <w:b/>
                <w:highlight w:val="white"/>
                <w:lang w:val="en-GB"/>
              </w:rPr>
            </w:pPr>
            <w:r w:rsidRPr="00D01EFA">
              <w:rPr>
                <w:b/>
                <w:highlight w:val="white"/>
                <w:lang w:val="en-GB"/>
              </w:rPr>
              <w:t>Benefits</w:t>
            </w:r>
          </w:p>
        </w:tc>
        <w:tc>
          <w:tcPr>
            <w:tcW w:w="4680" w:type="dxa"/>
            <w:shd w:val="clear" w:color="auto" w:fill="auto"/>
            <w:tcMar>
              <w:top w:w="100" w:type="dxa"/>
              <w:left w:w="100" w:type="dxa"/>
              <w:bottom w:w="100" w:type="dxa"/>
              <w:right w:w="100" w:type="dxa"/>
            </w:tcMar>
          </w:tcPr>
          <w:p w:rsidR="00680E74" w:rsidRPr="00D01EFA" w:rsidRDefault="00680E74" w:rsidP="00855934">
            <w:pPr>
              <w:widowControl w:val="0"/>
              <w:spacing w:line="360" w:lineRule="auto"/>
              <w:rPr>
                <w:b/>
                <w:highlight w:val="white"/>
                <w:lang w:val="en-GB"/>
              </w:rPr>
            </w:pPr>
            <w:r w:rsidRPr="00D01EFA">
              <w:rPr>
                <w:b/>
                <w:highlight w:val="white"/>
                <w:lang w:val="en-GB"/>
              </w:rPr>
              <w:t>Limitations</w:t>
            </w:r>
          </w:p>
        </w:tc>
      </w:tr>
      <w:tr w:rsidR="00680E74" w:rsidRPr="00D01EFA" w:rsidTr="00855934">
        <w:tc>
          <w:tcPr>
            <w:tcW w:w="4680" w:type="dxa"/>
            <w:shd w:val="clear" w:color="auto" w:fill="auto"/>
            <w:tcMar>
              <w:top w:w="100" w:type="dxa"/>
              <w:left w:w="100" w:type="dxa"/>
              <w:bottom w:w="100" w:type="dxa"/>
              <w:right w:w="100" w:type="dxa"/>
            </w:tcMar>
          </w:tcPr>
          <w:p w:rsidR="00680E74" w:rsidRPr="00D01EFA" w:rsidRDefault="00680E74" w:rsidP="00855934">
            <w:pPr>
              <w:widowControl w:val="0"/>
              <w:numPr>
                <w:ilvl w:val="0"/>
                <w:numId w:val="8"/>
              </w:numPr>
              <w:spacing w:line="360" w:lineRule="auto"/>
              <w:jc w:val="both"/>
              <w:rPr>
                <w:highlight w:val="white"/>
                <w:lang w:val="en-GB"/>
              </w:rPr>
            </w:pPr>
            <w:r w:rsidRPr="00D01EFA">
              <w:rPr>
                <w:highlight w:val="white"/>
                <w:lang w:val="en-GB"/>
              </w:rPr>
              <w:t>IRR consider time value of money while calculating</w:t>
            </w:r>
          </w:p>
          <w:p w:rsidR="00680E74" w:rsidRPr="00D01EFA" w:rsidRDefault="00680E74" w:rsidP="00855934">
            <w:pPr>
              <w:widowControl w:val="0"/>
              <w:numPr>
                <w:ilvl w:val="0"/>
                <w:numId w:val="8"/>
              </w:numPr>
              <w:spacing w:line="360" w:lineRule="auto"/>
              <w:jc w:val="both"/>
              <w:rPr>
                <w:highlight w:val="white"/>
                <w:lang w:val="en-GB"/>
              </w:rPr>
            </w:pPr>
            <w:r w:rsidRPr="00D01EFA">
              <w:rPr>
                <w:highlight w:val="white"/>
                <w:lang w:val="en-GB"/>
              </w:rPr>
              <w:t>Rough estimation of required rate of return is highlighted in IRR</w:t>
            </w:r>
          </w:p>
          <w:p w:rsidR="00680E74" w:rsidRPr="00D01EFA" w:rsidRDefault="00680E74" w:rsidP="00855934">
            <w:pPr>
              <w:widowControl w:val="0"/>
              <w:numPr>
                <w:ilvl w:val="0"/>
                <w:numId w:val="8"/>
              </w:numPr>
              <w:spacing w:line="360" w:lineRule="auto"/>
              <w:jc w:val="both"/>
              <w:rPr>
                <w:highlight w:val="white"/>
                <w:lang w:val="en-GB"/>
              </w:rPr>
            </w:pPr>
            <w:r w:rsidRPr="00D01EFA">
              <w:rPr>
                <w:highlight w:val="white"/>
                <w:lang w:val="en-GB"/>
              </w:rPr>
              <w:t xml:space="preserve">No requirement of considering hurdle rate </w:t>
            </w:r>
          </w:p>
        </w:tc>
        <w:tc>
          <w:tcPr>
            <w:tcW w:w="4680" w:type="dxa"/>
            <w:shd w:val="clear" w:color="auto" w:fill="auto"/>
            <w:tcMar>
              <w:top w:w="100" w:type="dxa"/>
              <w:left w:w="100" w:type="dxa"/>
              <w:bottom w:w="100" w:type="dxa"/>
              <w:right w:w="100" w:type="dxa"/>
            </w:tcMar>
          </w:tcPr>
          <w:p w:rsidR="00680E74" w:rsidRPr="00D01EFA" w:rsidRDefault="00680E74" w:rsidP="00855934">
            <w:pPr>
              <w:widowControl w:val="0"/>
              <w:numPr>
                <w:ilvl w:val="0"/>
                <w:numId w:val="2"/>
              </w:numPr>
              <w:spacing w:line="360" w:lineRule="auto"/>
              <w:jc w:val="both"/>
              <w:rPr>
                <w:highlight w:val="white"/>
                <w:lang w:val="en-GB"/>
              </w:rPr>
            </w:pPr>
            <w:r w:rsidRPr="00D01EFA">
              <w:rPr>
                <w:highlight w:val="white"/>
                <w:lang w:val="en-GB"/>
              </w:rPr>
              <w:t>Economies of scale is totally ignored in the time of calculating IRR</w:t>
            </w:r>
          </w:p>
          <w:p w:rsidR="00680E74" w:rsidRPr="00D01EFA" w:rsidRDefault="00680E74" w:rsidP="00855934">
            <w:pPr>
              <w:widowControl w:val="0"/>
              <w:numPr>
                <w:ilvl w:val="0"/>
                <w:numId w:val="2"/>
              </w:numPr>
              <w:spacing w:line="360" w:lineRule="auto"/>
              <w:jc w:val="both"/>
              <w:rPr>
                <w:highlight w:val="white"/>
                <w:lang w:val="en-GB"/>
              </w:rPr>
            </w:pPr>
            <w:r w:rsidRPr="00D01EFA">
              <w:rPr>
                <w:highlight w:val="white"/>
                <w:lang w:val="en-GB"/>
              </w:rPr>
              <w:t>Dependent or contingent project at totally ignored while calculating IRR</w:t>
            </w:r>
          </w:p>
        </w:tc>
      </w:tr>
    </w:tbl>
    <w:p w:rsidR="00D03F9E" w:rsidRPr="00D01EFA" w:rsidRDefault="00A14766">
      <w:pPr>
        <w:pStyle w:val="normal0"/>
        <w:spacing w:before="200" w:after="200" w:line="360" w:lineRule="auto"/>
        <w:jc w:val="both"/>
        <w:rPr>
          <w:lang w:val="en-GB"/>
        </w:rPr>
      </w:pPr>
      <w:r w:rsidRPr="00D01EFA">
        <w:rPr>
          <w:lang w:val="en-GB"/>
        </w:rPr>
        <w:t xml:space="preserve">          </w:t>
      </w:r>
    </w:p>
    <w:p w:rsidR="00D03F9E" w:rsidRPr="00D01EFA" w:rsidRDefault="00D03F9E">
      <w:pPr>
        <w:pStyle w:val="normal0"/>
        <w:spacing w:before="200" w:after="200" w:line="360" w:lineRule="auto"/>
        <w:jc w:val="both"/>
        <w:rPr>
          <w:lang w:val="en-GB"/>
        </w:rPr>
      </w:pPr>
    </w:p>
    <w:p w:rsidR="00D03F9E" w:rsidRPr="00D01EFA" w:rsidRDefault="00D03F9E">
      <w:pPr>
        <w:pStyle w:val="normal0"/>
        <w:spacing w:before="200" w:after="200" w:line="360" w:lineRule="auto"/>
        <w:jc w:val="both"/>
        <w:rPr>
          <w:lang w:val="en-GB"/>
        </w:rPr>
      </w:pPr>
    </w:p>
    <w:p w:rsidR="00D03F9E" w:rsidRPr="00D01EFA" w:rsidRDefault="00A14766">
      <w:pPr>
        <w:pStyle w:val="normal0"/>
        <w:rPr>
          <w:lang w:val="en-GB"/>
        </w:rPr>
      </w:pPr>
      <w:r w:rsidRPr="00D01EFA">
        <w:rPr>
          <w:lang w:val="en-GB"/>
        </w:rPr>
        <w:br w:type="page"/>
      </w:r>
    </w:p>
    <w:p w:rsidR="00D03F9E" w:rsidRPr="00D01EFA" w:rsidRDefault="00A14766">
      <w:pPr>
        <w:pStyle w:val="Heading1"/>
        <w:spacing w:before="200" w:after="200" w:line="360" w:lineRule="auto"/>
        <w:rPr>
          <w:lang w:val="en-GB"/>
        </w:rPr>
      </w:pPr>
      <w:bookmarkStart w:id="16" w:name="_9gkpt4ucdkc" w:colFirst="0" w:colLast="0"/>
      <w:bookmarkStart w:id="17" w:name="_Toc132646777"/>
      <w:bookmarkEnd w:id="16"/>
      <w:r w:rsidRPr="00D01EFA">
        <w:rPr>
          <w:lang w:val="en-GB"/>
        </w:rPr>
        <w:lastRenderedPageBreak/>
        <w:t>Reference list</w:t>
      </w:r>
      <w:bookmarkEnd w:id="17"/>
    </w:p>
    <w:p w:rsidR="00F47268" w:rsidRPr="00D01EFA" w:rsidRDefault="00F47268">
      <w:pPr>
        <w:pStyle w:val="normal0"/>
        <w:spacing w:before="200" w:after="200" w:line="360" w:lineRule="auto"/>
        <w:jc w:val="both"/>
        <w:rPr>
          <w:lang w:val="en-GB"/>
        </w:rPr>
      </w:pPr>
      <w:r w:rsidRPr="00D01EFA">
        <w:rPr>
          <w:lang w:val="en-GB"/>
        </w:rPr>
        <w:t>Abdurofi, I.L.M.A.S., Ismail, M.M. and Ismail, N.W., (2021). The application OF risk analysis to the project appraisal OF stingless bee farming IN Malaysia for sustainability. Journal of Sustainability Science and Management, 16(6), pp.109-122.</w:t>
      </w:r>
    </w:p>
    <w:p w:rsidR="00F47268" w:rsidRPr="00D01EFA" w:rsidRDefault="00F47268">
      <w:pPr>
        <w:pStyle w:val="normal0"/>
        <w:spacing w:before="200" w:after="200" w:line="360" w:lineRule="auto"/>
        <w:jc w:val="both"/>
        <w:rPr>
          <w:lang w:val="en-GB"/>
        </w:rPr>
      </w:pPr>
      <w:r w:rsidRPr="00D01EFA">
        <w:rPr>
          <w:lang w:val="en-GB"/>
        </w:rPr>
        <w:t>Bello, A.M. and Dauda, J., (2022). Assessment of Profitability and Impact of Risked Variables on the Viability of Ajaokuta-Kaduna-Kano Gas Pipeline. British Journal of Management and Marketing Studies, 5(3), pp.15-53.</w:t>
      </w:r>
    </w:p>
    <w:p w:rsidR="00F47268" w:rsidRPr="00D01EFA" w:rsidRDefault="00F47268">
      <w:pPr>
        <w:pStyle w:val="normal0"/>
        <w:spacing w:before="200" w:after="200" w:line="360" w:lineRule="auto"/>
        <w:jc w:val="both"/>
        <w:rPr>
          <w:lang w:val="en-GB"/>
        </w:rPr>
      </w:pPr>
      <w:r w:rsidRPr="00D01EFA">
        <w:rPr>
          <w:lang w:val="en-GB"/>
        </w:rPr>
        <w:t>Budhathoki, P.B. and Rai, C.K., (2020). The Impact of the Debt Ratio, Total Assets, and Earning Growth Rate on WACC: Evidence from Nepalese Commercial Banks. Asian Journal of Economics, Business and Accounting, 15(2), pp.16-23.</w:t>
      </w:r>
    </w:p>
    <w:p w:rsidR="00F47268" w:rsidRPr="00D01EFA" w:rsidRDefault="00F47268">
      <w:pPr>
        <w:pStyle w:val="normal0"/>
        <w:spacing w:before="200" w:after="200" w:line="360" w:lineRule="auto"/>
        <w:jc w:val="both"/>
        <w:rPr>
          <w:lang w:val="en-GB"/>
        </w:rPr>
      </w:pPr>
      <w:r w:rsidRPr="00D01EFA">
        <w:rPr>
          <w:lang w:val="en-GB"/>
        </w:rPr>
        <w:t>Costanza, R., Kubiszewski, I., Stoeckl, N. and Kompas, T., (2021). Pluralistic discounting recognizing different capital contributions: An example estimating the net present value of global ecosystem services. Ecological Economics, 183, p.106961.</w:t>
      </w:r>
    </w:p>
    <w:p w:rsidR="00F47268" w:rsidRPr="00D01EFA" w:rsidRDefault="00F47268" w:rsidP="00F47268">
      <w:pPr>
        <w:spacing w:line="360" w:lineRule="auto"/>
        <w:jc w:val="both"/>
        <w:rPr>
          <w:lang w:val="en-GB"/>
        </w:rPr>
      </w:pPr>
      <w:r w:rsidRPr="00D01EFA">
        <w:rPr>
          <w:lang w:val="en-GB"/>
        </w:rPr>
        <w:t>Dusseault, B. and Pasquier, P., (2021). Usage of the net present value-at-risk to design ground-coupled heat pump systems under uncertain scenarios. </w:t>
      </w:r>
      <w:r w:rsidRPr="00D01EFA">
        <w:rPr>
          <w:i/>
          <w:iCs/>
          <w:lang w:val="en-GB"/>
        </w:rPr>
        <w:t>Renewable Energy</w:t>
      </w:r>
      <w:r w:rsidRPr="00D01EFA">
        <w:rPr>
          <w:lang w:val="en-GB"/>
        </w:rPr>
        <w:t>, </w:t>
      </w:r>
      <w:r w:rsidRPr="00D01EFA">
        <w:rPr>
          <w:i/>
          <w:iCs/>
          <w:lang w:val="en-GB"/>
        </w:rPr>
        <w:t>173</w:t>
      </w:r>
      <w:r w:rsidRPr="00D01EFA">
        <w:rPr>
          <w:lang w:val="en-GB"/>
        </w:rPr>
        <w:t>, pp.953-971.</w:t>
      </w:r>
    </w:p>
    <w:p w:rsidR="00F47268" w:rsidRPr="00D01EFA" w:rsidRDefault="00F47268" w:rsidP="00F47268">
      <w:pPr>
        <w:spacing w:line="360" w:lineRule="auto"/>
        <w:jc w:val="both"/>
        <w:rPr>
          <w:lang w:val="en-GB"/>
        </w:rPr>
      </w:pPr>
      <w:r w:rsidRPr="00D01EFA">
        <w:rPr>
          <w:lang w:val="en-GB"/>
        </w:rPr>
        <w:t>Gorantla, K., Shaik, S., Kontoleon, K.J., Mazzeo, D., Maduru, V.R. and Shaik, S.V., (2021). Sustainable reflective triple glazing design strategies: Spectral characteristics, air-conditioning cost savings, daylight factors, and payback periods. </w:t>
      </w:r>
      <w:r w:rsidRPr="00D01EFA">
        <w:rPr>
          <w:i/>
          <w:iCs/>
          <w:lang w:val="en-GB"/>
        </w:rPr>
        <w:t>Journal of Building Engineering</w:t>
      </w:r>
      <w:r w:rsidRPr="00D01EFA">
        <w:rPr>
          <w:lang w:val="en-GB"/>
        </w:rPr>
        <w:t>, </w:t>
      </w:r>
      <w:r w:rsidRPr="00D01EFA">
        <w:rPr>
          <w:i/>
          <w:iCs/>
          <w:lang w:val="en-GB"/>
        </w:rPr>
        <w:t>42</w:t>
      </w:r>
      <w:r w:rsidRPr="00D01EFA">
        <w:rPr>
          <w:lang w:val="en-GB"/>
        </w:rPr>
        <w:t>, p.103089.</w:t>
      </w:r>
    </w:p>
    <w:p w:rsidR="00F47268" w:rsidRPr="00D01EFA" w:rsidRDefault="00F47268">
      <w:pPr>
        <w:pStyle w:val="normal0"/>
        <w:spacing w:before="200" w:after="200" w:line="360" w:lineRule="auto"/>
        <w:jc w:val="both"/>
        <w:rPr>
          <w:lang w:val="en-GB"/>
        </w:rPr>
      </w:pPr>
      <w:r w:rsidRPr="00D01EFA">
        <w:rPr>
          <w:lang w:val="en-GB"/>
        </w:rPr>
        <w:t>Klein, S.J., Hargreaves, A. and Coffey, S., (2021). A financial benefit-cost analysis of different community solar approaches in the Northeastern US. Solar Energy, 213, pp.225-245.</w:t>
      </w:r>
    </w:p>
    <w:p w:rsidR="00F47268" w:rsidRPr="00D01EFA" w:rsidRDefault="00F47268">
      <w:pPr>
        <w:pStyle w:val="normal0"/>
        <w:spacing w:before="200" w:after="200" w:line="360" w:lineRule="auto"/>
        <w:jc w:val="both"/>
        <w:rPr>
          <w:lang w:val="en-GB"/>
        </w:rPr>
      </w:pPr>
      <w:r w:rsidRPr="00D01EFA">
        <w:rPr>
          <w:lang w:val="en-GB"/>
        </w:rPr>
        <w:t>Kyere, M. and Ausloos, M., (2021). Corporate governance and firms financial performance in the United Kingdom. International Journal of Finance &amp; Economics, 26(2), pp.1871-1885.</w:t>
      </w:r>
    </w:p>
    <w:p w:rsidR="00F47268" w:rsidRPr="00D01EFA" w:rsidRDefault="00F47268">
      <w:pPr>
        <w:pStyle w:val="normal0"/>
        <w:spacing w:before="200" w:after="200" w:line="360" w:lineRule="auto"/>
        <w:jc w:val="both"/>
        <w:rPr>
          <w:lang w:val="en-GB"/>
        </w:rPr>
      </w:pPr>
      <w:r w:rsidRPr="00D01EFA">
        <w:rPr>
          <w:lang w:val="en-GB"/>
        </w:rPr>
        <w:t>Luo, W., Guo, X., Zhong, S. and Wang, J., (2019). Environmental information disclosure quality, media attention and debt financing costs: Evidence from Chinese heavy polluting listed companies. Journal of Cleaner Production, 231, pp.268-277.</w:t>
      </w:r>
    </w:p>
    <w:p w:rsidR="00F47268" w:rsidRPr="00D01EFA" w:rsidRDefault="00F47268">
      <w:pPr>
        <w:pStyle w:val="normal0"/>
        <w:spacing w:before="200" w:after="200" w:line="360" w:lineRule="auto"/>
        <w:jc w:val="both"/>
        <w:rPr>
          <w:lang w:val="en-GB"/>
        </w:rPr>
      </w:pPr>
      <w:r w:rsidRPr="00D01EFA">
        <w:rPr>
          <w:lang w:val="en-GB"/>
        </w:rPr>
        <w:lastRenderedPageBreak/>
        <w:t>Palladino, L., (2021). Financialization at work: Shareholder primacy and stagnant wages in the United States. Competition &amp; Change, 25(3-4), pp.382-400.</w:t>
      </w:r>
    </w:p>
    <w:p w:rsidR="00F47268" w:rsidRPr="00D01EFA" w:rsidRDefault="00F47268" w:rsidP="00F47268">
      <w:pPr>
        <w:spacing w:line="360" w:lineRule="auto"/>
        <w:jc w:val="both"/>
        <w:rPr>
          <w:lang w:val="en-GB"/>
        </w:rPr>
      </w:pPr>
      <w:r w:rsidRPr="00D01EFA">
        <w:rPr>
          <w:lang w:val="en-GB"/>
        </w:rPr>
        <w:t>Phan, M.H. and Archer, L., (2020). Corruption and SME financing structure: the case of Vietnamese manufacturing. </w:t>
      </w:r>
      <w:r w:rsidRPr="00D01EFA">
        <w:rPr>
          <w:i/>
          <w:iCs/>
          <w:lang w:val="en-GB"/>
        </w:rPr>
        <w:t>Journal of Economics and Development</w:t>
      </w:r>
      <w:r w:rsidRPr="00D01EFA">
        <w:rPr>
          <w:lang w:val="en-GB"/>
        </w:rPr>
        <w:t>, </w:t>
      </w:r>
      <w:r w:rsidRPr="00D01EFA">
        <w:rPr>
          <w:i/>
          <w:iCs/>
          <w:lang w:val="en-GB"/>
        </w:rPr>
        <w:t>22</w:t>
      </w:r>
      <w:r w:rsidRPr="00D01EFA">
        <w:rPr>
          <w:lang w:val="en-GB"/>
        </w:rPr>
        <w:t>(2), pp.265-279.</w:t>
      </w:r>
    </w:p>
    <w:p w:rsidR="00F47268" w:rsidRPr="00D01EFA" w:rsidRDefault="00F47268" w:rsidP="00F47268">
      <w:pPr>
        <w:spacing w:line="360" w:lineRule="auto"/>
        <w:jc w:val="both"/>
        <w:rPr>
          <w:lang w:val="en-GB"/>
        </w:rPr>
      </w:pPr>
      <w:r w:rsidRPr="00D01EFA">
        <w:rPr>
          <w:lang w:val="en-GB"/>
        </w:rPr>
        <w:t>Rita, M.R. and Huruta, A.D., (2020). Financing access and SME performance: A case study from batik SME in Indonesia. </w:t>
      </w:r>
      <w:r w:rsidRPr="00D01EFA">
        <w:rPr>
          <w:i/>
          <w:iCs/>
          <w:lang w:val="en-GB"/>
        </w:rPr>
        <w:t>International Journal of Innovation, Creativity and Change</w:t>
      </w:r>
      <w:r w:rsidRPr="00D01EFA">
        <w:rPr>
          <w:lang w:val="en-GB"/>
        </w:rPr>
        <w:t>, </w:t>
      </w:r>
      <w:r w:rsidRPr="00D01EFA">
        <w:rPr>
          <w:i/>
          <w:iCs/>
          <w:lang w:val="en-GB"/>
        </w:rPr>
        <w:t>12</w:t>
      </w:r>
      <w:r w:rsidRPr="00D01EFA">
        <w:rPr>
          <w:lang w:val="en-GB"/>
        </w:rPr>
        <w:t>(12), pp.203-224.</w:t>
      </w:r>
    </w:p>
    <w:p w:rsidR="00F47268" w:rsidRPr="00D01EFA" w:rsidRDefault="00F47268">
      <w:pPr>
        <w:pStyle w:val="normal0"/>
        <w:spacing w:before="200" w:after="200" w:line="360" w:lineRule="auto"/>
        <w:jc w:val="both"/>
        <w:rPr>
          <w:lang w:val="en-GB"/>
        </w:rPr>
      </w:pPr>
      <w:r w:rsidRPr="00D01EFA">
        <w:rPr>
          <w:lang w:val="en-GB"/>
        </w:rPr>
        <w:t>Saługa, P.W., Szczepańska-Woszczyna, K., Miśkiewicz, R. and Chłąd, M., (2020). Cost of equity of coal-fired power generation projects in Poland: Its importance for the management of decision-making process. Energies, 13(18), p.4833.</w:t>
      </w:r>
    </w:p>
    <w:p w:rsidR="00F47268" w:rsidRPr="00D01EFA" w:rsidRDefault="00F47268">
      <w:pPr>
        <w:pStyle w:val="normal0"/>
        <w:spacing w:before="200" w:after="200" w:line="360" w:lineRule="auto"/>
        <w:jc w:val="both"/>
        <w:rPr>
          <w:lang w:val="en-GB"/>
        </w:rPr>
      </w:pPr>
      <w:r w:rsidRPr="00D01EFA">
        <w:rPr>
          <w:lang w:val="en-GB"/>
        </w:rPr>
        <w:t>Setyabudi, T., (2021). The Effect of Institutional Ownership, Leverage, and Profitability on Firm Value with Dividend Policy as an Intervening Variable. Journal of Business and Management Review, 2(7), pp.457-469.</w:t>
      </w:r>
    </w:p>
    <w:p w:rsidR="00F47268" w:rsidRPr="00D01EFA" w:rsidRDefault="00F47268">
      <w:pPr>
        <w:pStyle w:val="normal0"/>
        <w:spacing w:before="200" w:after="200" w:line="360" w:lineRule="auto"/>
        <w:jc w:val="both"/>
        <w:rPr>
          <w:lang w:val="en-GB"/>
        </w:rPr>
      </w:pPr>
      <w:r w:rsidRPr="00D01EFA">
        <w:rPr>
          <w:lang w:val="en-GB"/>
        </w:rPr>
        <w:t>Taghizadeh-Hesary, F., Yoshino, N. and Phoumin, H., (2021). Analyzing the characteristics of green bond markets to facilitate green finance in the post-COVID-19 world. Sustainability, 13(10), p.5719.</w:t>
      </w:r>
    </w:p>
    <w:p w:rsidR="00F47268" w:rsidRPr="00D01EFA" w:rsidRDefault="00F47268">
      <w:pPr>
        <w:pStyle w:val="normal0"/>
        <w:spacing w:before="200" w:after="200" w:line="360" w:lineRule="auto"/>
        <w:jc w:val="both"/>
        <w:rPr>
          <w:lang w:val="en-GB"/>
        </w:rPr>
      </w:pPr>
      <w:r w:rsidRPr="00D01EFA">
        <w:rPr>
          <w:lang w:val="en-GB"/>
        </w:rPr>
        <w:t>Viviers, S., Mans-Kemp, N., van Vuuren, M.J. and Shiel, T., (2023). Investigating the link between board independence and dividend distributions in South Africa. South African Journal of Business Management, 54(1), p.11.</w:t>
      </w:r>
    </w:p>
    <w:p w:rsidR="00F47268" w:rsidRPr="00D01EFA" w:rsidRDefault="00F47268">
      <w:pPr>
        <w:pStyle w:val="normal0"/>
        <w:spacing w:before="200" w:after="200" w:line="360" w:lineRule="auto"/>
        <w:jc w:val="both"/>
        <w:rPr>
          <w:lang w:val="en-GB"/>
        </w:rPr>
      </w:pPr>
      <w:r w:rsidRPr="00D01EFA">
        <w:rPr>
          <w:lang w:val="en-GB"/>
        </w:rPr>
        <w:t>Yusuf, A. and Mohd, S., (2021). The impact of government debt on economic growth in Nigeria. Cogent Economics &amp; Finance, 9(1), p.1946249.</w:t>
      </w:r>
    </w:p>
    <w:sectPr w:rsidR="00F47268" w:rsidRPr="00D01EFA" w:rsidSect="00D03F9E">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408" w:rsidRDefault="00116408" w:rsidP="00D03F9E">
      <w:pPr>
        <w:spacing w:line="240" w:lineRule="auto"/>
      </w:pPr>
      <w:r>
        <w:separator/>
      </w:r>
    </w:p>
  </w:endnote>
  <w:endnote w:type="continuationSeparator" w:id="1">
    <w:p w:rsidR="00116408" w:rsidRDefault="00116408" w:rsidP="00D03F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934" w:rsidRDefault="008559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934" w:rsidRDefault="00D854FE">
    <w:pPr>
      <w:pStyle w:val="normal0"/>
      <w:jc w:val="right"/>
    </w:pPr>
    <w:fldSimple w:instr="PAGE">
      <w:r w:rsidR="00345A05">
        <w:rPr>
          <w:noProof/>
        </w:rPr>
        <w:t>13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934" w:rsidRDefault="00855934">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408" w:rsidRDefault="00116408" w:rsidP="00D03F9E">
      <w:pPr>
        <w:spacing w:line="240" w:lineRule="auto"/>
      </w:pPr>
      <w:r>
        <w:separator/>
      </w:r>
    </w:p>
  </w:footnote>
  <w:footnote w:type="continuationSeparator" w:id="1">
    <w:p w:rsidR="00116408" w:rsidRDefault="00116408" w:rsidP="00D03F9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934" w:rsidRDefault="0085593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934" w:rsidRDefault="0085593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934" w:rsidRDefault="008559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9419C"/>
    <w:multiLevelType w:val="multilevel"/>
    <w:tmpl w:val="9FEEF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AC6CD1"/>
    <w:multiLevelType w:val="multilevel"/>
    <w:tmpl w:val="968C1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967D22"/>
    <w:multiLevelType w:val="multilevel"/>
    <w:tmpl w:val="ADFC4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0FF2DD1"/>
    <w:multiLevelType w:val="multilevel"/>
    <w:tmpl w:val="ACE69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4400B36"/>
    <w:multiLevelType w:val="multilevel"/>
    <w:tmpl w:val="774AF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8EB2575"/>
    <w:multiLevelType w:val="multilevel"/>
    <w:tmpl w:val="41B05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A824938"/>
    <w:multiLevelType w:val="multilevel"/>
    <w:tmpl w:val="3B6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50B71B1"/>
    <w:multiLevelType w:val="multilevel"/>
    <w:tmpl w:val="ACD4B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4"/>
  </w:num>
  <w:num w:numId="4">
    <w:abstractNumId w:val="6"/>
  </w:num>
  <w:num w:numId="5">
    <w:abstractNumId w:val="3"/>
  </w:num>
  <w:num w:numId="6">
    <w:abstractNumId w:val="5"/>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7170"/>
  </w:hdrShapeDefaults>
  <w:footnotePr>
    <w:footnote w:id="0"/>
    <w:footnote w:id="1"/>
  </w:footnotePr>
  <w:endnotePr>
    <w:endnote w:id="0"/>
    <w:endnote w:id="1"/>
  </w:endnotePr>
  <w:compat/>
  <w:rsids>
    <w:rsidRoot w:val="00D03F9E"/>
    <w:rsid w:val="000B6897"/>
    <w:rsid w:val="00116408"/>
    <w:rsid w:val="0018442F"/>
    <w:rsid w:val="00345A05"/>
    <w:rsid w:val="005E57EE"/>
    <w:rsid w:val="00630A14"/>
    <w:rsid w:val="00680E74"/>
    <w:rsid w:val="00855934"/>
    <w:rsid w:val="008C3AEB"/>
    <w:rsid w:val="009E17E8"/>
    <w:rsid w:val="00A14766"/>
    <w:rsid w:val="00A57612"/>
    <w:rsid w:val="00AF156E"/>
    <w:rsid w:val="00D01EFA"/>
    <w:rsid w:val="00D03F9E"/>
    <w:rsid w:val="00D854FE"/>
    <w:rsid w:val="00DB269D"/>
    <w:rsid w:val="00E31407"/>
    <w:rsid w:val="00F30D34"/>
    <w:rsid w:val="00F47268"/>
    <w:rsid w:val="00F62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407"/>
  </w:style>
  <w:style w:type="paragraph" w:styleId="Heading1">
    <w:name w:val="heading 1"/>
    <w:basedOn w:val="normal0"/>
    <w:next w:val="normal0"/>
    <w:rsid w:val="00D03F9E"/>
    <w:pPr>
      <w:keepNext/>
      <w:keepLines/>
      <w:jc w:val="both"/>
      <w:outlineLvl w:val="0"/>
    </w:pPr>
    <w:rPr>
      <w:b/>
    </w:rPr>
  </w:style>
  <w:style w:type="paragraph" w:styleId="Heading2">
    <w:name w:val="heading 2"/>
    <w:basedOn w:val="normal0"/>
    <w:next w:val="normal0"/>
    <w:rsid w:val="00D03F9E"/>
    <w:pPr>
      <w:keepNext/>
      <w:keepLines/>
      <w:spacing w:before="360" w:after="120"/>
      <w:outlineLvl w:val="1"/>
    </w:pPr>
    <w:rPr>
      <w:sz w:val="32"/>
      <w:szCs w:val="32"/>
    </w:rPr>
  </w:style>
  <w:style w:type="paragraph" w:styleId="Heading3">
    <w:name w:val="heading 3"/>
    <w:basedOn w:val="normal0"/>
    <w:next w:val="normal0"/>
    <w:rsid w:val="00D03F9E"/>
    <w:pPr>
      <w:keepNext/>
      <w:keepLines/>
      <w:spacing w:before="320" w:after="80"/>
      <w:outlineLvl w:val="2"/>
    </w:pPr>
    <w:rPr>
      <w:color w:val="434343"/>
      <w:sz w:val="28"/>
      <w:szCs w:val="28"/>
    </w:rPr>
  </w:style>
  <w:style w:type="paragraph" w:styleId="Heading4">
    <w:name w:val="heading 4"/>
    <w:basedOn w:val="normal0"/>
    <w:next w:val="normal0"/>
    <w:rsid w:val="00D03F9E"/>
    <w:pPr>
      <w:keepNext/>
      <w:keepLines/>
      <w:spacing w:before="280" w:after="80"/>
      <w:outlineLvl w:val="3"/>
    </w:pPr>
    <w:rPr>
      <w:color w:val="666666"/>
    </w:rPr>
  </w:style>
  <w:style w:type="paragraph" w:styleId="Heading5">
    <w:name w:val="heading 5"/>
    <w:basedOn w:val="normal0"/>
    <w:next w:val="normal0"/>
    <w:rsid w:val="00D03F9E"/>
    <w:pPr>
      <w:keepNext/>
      <w:keepLines/>
      <w:spacing w:before="240" w:after="80"/>
      <w:outlineLvl w:val="4"/>
    </w:pPr>
    <w:rPr>
      <w:color w:val="666666"/>
      <w:sz w:val="22"/>
      <w:szCs w:val="22"/>
    </w:rPr>
  </w:style>
  <w:style w:type="paragraph" w:styleId="Heading6">
    <w:name w:val="heading 6"/>
    <w:basedOn w:val="normal0"/>
    <w:next w:val="normal0"/>
    <w:rsid w:val="00D03F9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03F9E"/>
  </w:style>
  <w:style w:type="paragraph" w:styleId="Title">
    <w:name w:val="Title"/>
    <w:basedOn w:val="normal0"/>
    <w:next w:val="normal0"/>
    <w:rsid w:val="00D03F9E"/>
    <w:pPr>
      <w:keepNext/>
      <w:keepLines/>
      <w:spacing w:after="60"/>
    </w:pPr>
    <w:rPr>
      <w:sz w:val="52"/>
      <w:szCs w:val="52"/>
    </w:rPr>
  </w:style>
  <w:style w:type="paragraph" w:styleId="Subtitle">
    <w:name w:val="Subtitle"/>
    <w:basedOn w:val="normal0"/>
    <w:next w:val="normal0"/>
    <w:rsid w:val="00D03F9E"/>
    <w:pPr>
      <w:keepNext/>
      <w:keepLines/>
      <w:spacing w:after="320"/>
    </w:pPr>
    <w:rPr>
      <w:rFonts w:ascii="Arial" w:eastAsia="Arial" w:hAnsi="Arial" w:cs="Arial"/>
      <w:color w:val="666666"/>
      <w:sz w:val="30"/>
      <w:szCs w:val="30"/>
    </w:rPr>
  </w:style>
  <w:style w:type="table" w:customStyle="1" w:styleId="a">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f0">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D03F9E"/>
    <w:tblPr>
      <w:tblStyleRowBandSize w:val="1"/>
      <w:tblStyleColBandSize w:val="1"/>
      <w:tblInd w:w="0" w:type="dxa"/>
      <w:tblCellMar>
        <w:top w:w="100" w:type="dxa"/>
        <w:left w:w="100" w:type="dxa"/>
        <w:bottom w:w="100" w:type="dxa"/>
        <w:right w:w="100" w:type="dxa"/>
      </w:tblCellMar>
    </w:tblPr>
  </w:style>
  <w:style w:type="table" w:customStyle="1" w:styleId="af3">
    <w:basedOn w:val="TableNormal"/>
    <w:rsid w:val="00D03F9E"/>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D03F9E"/>
    <w:pPr>
      <w:spacing w:line="240" w:lineRule="auto"/>
    </w:pPr>
    <w:rPr>
      <w:sz w:val="20"/>
      <w:szCs w:val="20"/>
    </w:rPr>
  </w:style>
  <w:style w:type="character" w:customStyle="1" w:styleId="CommentTextChar">
    <w:name w:val="Comment Text Char"/>
    <w:basedOn w:val="DefaultParagraphFont"/>
    <w:link w:val="CommentText"/>
    <w:uiPriority w:val="99"/>
    <w:semiHidden/>
    <w:rsid w:val="00D03F9E"/>
    <w:rPr>
      <w:sz w:val="20"/>
      <w:szCs w:val="20"/>
    </w:rPr>
  </w:style>
  <w:style w:type="character" w:styleId="CommentReference">
    <w:name w:val="annotation reference"/>
    <w:basedOn w:val="DefaultParagraphFont"/>
    <w:uiPriority w:val="99"/>
    <w:semiHidden/>
    <w:unhideWhenUsed/>
    <w:rsid w:val="00D03F9E"/>
    <w:rPr>
      <w:sz w:val="16"/>
      <w:szCs w:val="16"/>
    </w:rPr>
  </w:style>
  <w:style w:type="paragraph" w:styleId="BalloonText">
    <w:name w:val="Balloon Text"/>
    <w:basedOn w:val="Normal"/>
    <w:link w:val="BalloonTextChar"/>
    <w:uiPriority w:val="99"/>
    <w:semiHidden/>
    <w:unhideWhenUsed/>
    <w:rsid w:val="00630A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A14"/>
    <w:rPr>
      <w:rFonts w:ascii="Tahoma" w:hAnsi="Tahoma" w:cs="Tahoma"/>
      <w:sz w:val="16"/>
      <w:szCs w:val="16"/>
    </w:rPr>
  </w:style>
  <w:style w:type="paragraph" w:styleId="TOC1">
    <w:name w:val="toc 1"/>
    <w:basedOn w:val="Normal"/>
    <w:next w:val="Normal"/>
    <w:autoRedefine/>
    <w:uiPriority w:val="39"/>
    <w:unhideWhenUsed/>
    <w:rsid w:val="000B6897"/>
    <w:pPr>
      <w:spacing w:after="100"/>
    </w:pPr>
  </w:style>
  <w:style w:type="character" w:styleId="Hyperlink">
    <w:name w:val="Hyperlink"/>
    <w:basedOn w:val="DefaultParagraphFont"/>
    <w:uiPriority w:val="99"/>
    <w:unhideWhenUsed/>
    <w:rsid w:val="000B6897"/>
    <w:rPr>
      <w:color w:val="0000FF" w:themeColor="hyperlink"/>
      <w:u w:val="single"/>
    </w:rPr>
  </w:style>
  <w:style w:type="paragraph" w:styleId="TOCHeading">
    <w:name w:val="TOC Heading"/>
    <w:basedOn w:val="Heading1"/>
    <w:next w:val="Normal"/>
    <w:uiPriority w:val="39"/>
    <w:semiHidden/>
    <w:unhideWhenUsed/>
    <w:qFormat/>
    <w:rsid w:val="00A57612"/>
    <w:pPr>
      <w:spacing w:before="480"/>
      <w:jc w:val="left"/>
      <w:outlineLvl w:val="9"/>
    </w:pPr>
    <w:rPr>
      <w:rFonts w:asciiTheme="majorHAnsi" w:eastAsiaTheme="majorEastAsia" w:hAnsiTheme="majorHAnsi" w:cstheme="majorBidi"/>
      <w:bCs/>
      <w:color w:val="365F91" w:themeColor="accent1" w:themeShade="BF"/>
      <w:sz w:val="28"/>
      <w:szCs w:val="28"/>
    </w:rPr>
  </w:style>
  <w:style w:type="paragraph" w:styleId="Header">
    <w:name w:val="header"/>
    <w:basedOn w:val="Normal"/>
    <w:link w:val="HeaderChar"/>
    <w:uiPriority w:val="99"/>
    <w:semiHidden/>
    <w:unhideWhenUsed/>
    <w:rsid w:val="0085593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55934"/>
  </w:style>
  <w:style w:type="paragraph" w:styleId="Footer">
    <w:name w:val="footer"/>
    <w:basedOn w:val="Normal"/>
    <w:link w:val="FooterChar"/>
    <w:uiPriority w:val="99"/>
    <w:semiHidden/>
    <w:unhideWhenUsed/>
    <w:rsid w:val="0085593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5593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0DCA3-44A2-47A4-BC3E-5309FFD8C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3551</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2023-04-17T12:29:00Z</dcterms:created>
  <dcterms:modified xsi:type="dcterms:W3CDTF">2023-04-17T12:38:00Z</dcterms:modified>
</cp:coreProperties>
</file>