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5BB" w:rsidRPr="005372D0" w:rsidRDefault="00CF15BB" w:rsidP="005372D0">
      <w:pPr>
        <w:spacing w:line="360" w:lineRule="auto"/>
        <w:jc w:val="center"/>
        <w:rPr>
          <w:rFonts w:ascii="Arial" w:hAnsi="Arial" w:cs="Arial"/>
          <w:b/>
          <w:lang w:val="en-US"/>
        </w:rPr>
      </w:pPr>
    </w:p>
    <w:p w:rsidR="00CF15BB" w:rsidRPr="005372D0" w:rsidRDefault="00CF15BB" w:rsidP="005372D0">
      <w:pPr>
        <w:spacing w:line="360" w:lineRule="auto"/>
        <w:jc w:val="center"/>
        <w:rPr>
          <w:rFonts w:ascii="Arial" w:hAnsi="Arial" w:cs="Arial"/>
          <w:b/>
          <w:lang w:val="en-US"/>
        </w:rPr>
      </w:pPr>
    </w:p>
    <w:p w:rsidR="00CF15BB" w:rsidRPr="005372D0" w:rsidRDefault="00CF15BB" w:rsidP="005372D0">
      <w:pPr>
        <w:spacing w:line="360" w:lineRule="auto"/>
        <w:jc w:val="center"/>
        <w:rPr>
          <w:rFonts w:ascii="Arial" w:hAnsi="Arial" w:cs="Arial"/>
          <w:b/>
          <w:lang w:val="en-US"/>
        </w:rPr>
      </w:pPr>
    </w:p>
    <w:p w:rsidR="00CF15BB" w:rsidRPr="005372D0" w:rsidRDefault="00CF15BB" w:rsidP="005372D0">
      <w:pPr>
        <w:spacing w:line="360" w:lineRule="auto"/>
        <w:jc w:val="center"/>
        <w:rPr>
          <w:rFonts w:ascii="Arial" w:hAnsi="Arial" w:cs="Arial"/>
          <w:b/>
          <w:lang w:val="en-US"/>
        </w:rPr>
      </w:pPr>
    </w:p>
    <w:p w:rsidR="00CF15BB" w:rsidRPr="005372D0" w:rsidRDefault="00CF15BB" w:rsidP="005372D0">
      <w:pPr>
        <w:spacing w:line="360" w:lineRule="auto"/>
        <w:jc w:val="center"/>
        <w:rPr>
          <w:rFonts w:ascii="Arial" w:hAnsi="Arial" w:cs="Arial"/>
          <w:b/>
          <w:lang w:val="en-US"/>
        </w:rPr>
      </w:pPr>
    </w:p>
    <w:p w:rsidR="00CF15BB" w:rsidRPr="005372D0" w:rsidRDefault="00CF15BB" w:rsidP="005372D0">
      <w:pPr>
        <w:spacing w:line="360" w:lineRule="auto"/>
        <w:jc w:val="center"/>
        <w:rPr>
          <w:rFonts w:ascii="Arial" w:hAnsi="Arial" w:cs="Arial"/>
          <w:b/>
          <w:lang w:val="en-US"/>
        </w:rPr>
      </w:pPr>
    </w:p>
    <w:p w:rsidR="00CF15BB" w:rsidRPr="005372D0" w:rsidRDefault="00CF15BB" w:rsidP="005372D0">
      <w:pPr>
        <w:spacing w:line="360" w:lineRule="auto"/>
        <w:jc w:val="center"/>
        <w:rPr>
          <w:rFonts w:ascii="Arial" w:hAnsi="Arial" w:cs="Arial"/>
          <w:b/>
          <w:lang w:val="en-US"/>
        </w:rPr>
      </w:pPr>
    </w:p>
    <w:p w:rsidR="00186D8C" w:rsidRPr="005372D0" w:rsidRDefault="00186D8C" w:rsidP="005372D0">
      <w:pPr>
        <w:spacing w:line="360" w:lineRule="auto"/>
        <w:jc w:val="center"/>
        <w:rPr>
          <w:rFonts w:ascii="Arial" w:hAnsi="Arial" w:cs="Arial"/>
          <w:b/>
          <w:lang w:val="en-US"/>
        </w:rPr>
      </w:pPr>
    </w:p>
    <w:p w:rsidR="00186D8C" w:rsidRPr="005372D0" w:rsidRDefault="00186D8C" w:rsidP="005372D0">
      <w:pPr>
        <w:spacing w:line="360" w:lineRule="auto"/>
        <w:jc w:val="center"/>
        <w:rPr>
          <w:rFonts w:ascii="Arial" w:hAnsi="Arial" w:cs="Arial"/>
          <w:b/>
          <w:sz w:val="32"/>
          <w:szCs w:val="32"/>
          <w:lang w:val="en-US"/>
        </w:rPr>
      </w:pPr>
    </w:p>
    <w:p w:rsidR="002E1DD2" w:rsidRPr="005372D0" w:rsidRDefault="00C23A2A" w:rsidP="005372D0">
      <w:pPr>
        <w:spacing w:line="360" w:lineRule="auto"/>
        <w:jc w:val="center"/>
        <w:rPr>
          <w:rFonts w:ascii="Arial" w:hAnsi="Arial" w:cs="Arial"/>
          <w:b/>
          <w:sz w:val="32"/>
          <w:szCs w:val="32"/>
          <w:lang w:val="en-US"/>
        </w:rPr>
      </w:pPr>
      <w:r w:rsidRPr="005372D0">
        <w:rPr>
          <w:rFonts w:ascii="Arial" w:hAnsi="Arial" w:cs="Arial"/>
          <w:b/>
          <w:sz w:val="32"/>
          <w:szCs w:val="32"/>
          <w:lang w:val="en-US"/>
        </w:rPr>
        <w:t>FINANCIAL PERFORMANCE MANAGEMENT</w:t>
      </w:r>
    </w:p>
    <w:p w:rsidR="009B3C2D" w:rsidRPr="005372D0" w:rsidRDefault="00C23A2A" w:rsidP="005372D0">
      <w:pPr>
        <w:spacing w:line="360" w:lineRule="auto"/>
        <w:jc w:val="center"/>
        <w:rPr>
          <w:rFonts w:ascii="Arial" w:hAnsi="Arial" w:cs="Arial"/>
          <w:b/>
          <w:sz w:val="32"/>
          <w:szCs w:val="32"/>
          <w:lang w:val="en-US"/>
        </w:rPr>
      </w:pPr>
      <w:r w:rsidRPr="005372D0">
        <w:rPr>
          <w:rFonts w:ascii="Arial" w:hAnsi="Arial" w:cs="Arial"/>
          <w:b/>
          <w:sz w:val="32"/>
          <w:szCs w:val="32"/>
          <w:lang w:val="en-US"/>
        </w:rPr>
        <w:t>SUMMATIVE ASSESSMENT INDIVIDUAL REPORT</w:t>
      </w:r>
    </w:p>
    <w:p w:rsidR="00CF15BB" w:rsidRPr="005372D0" w:rsidRDefault="00C23A2A" w:rsidP="005372D0">
      <w:pPr>
        <w:spacing w:line="360" w:lineRule="auto"/>
        <w:jc w:val="both"/>
        <w:rPr>
          <w:rFonts w:ascii="Arial" w:hAnsi="Arial" w:cs="Arial"/>
          <w:b/>
          <w:lang w:val="en-US"/>
        </w:rPr>
      </w:pPr>
      <w:r w:rsidRPr="005372D0">
        <w:rPr>
          <w:rFonts w:ascii="Arial" w:hAnsi="Arial" w:cs="Arial"/>
          <w:b/>
          <w:lang w:val="en-US"/>
        </w:rPr>
        <w:br w:type="page"/>
      </w:r>
    </w:p>
    <w:p w:rsidR="009B3C2D" w:rsidRPr="005372D0" w:rsidRDefault="00C23A2A" w:rsidP="005372D0">
      <w:pPr>
        <w:pStyle w:val="Heading1"/>
        <w:jc w:val="center"/>
      </w:pPr>
      <w:bookmarkStart w:id="0" w:name="_Toc132397979"/>
      <w:bookmarkStart w:id="1" w:name="_Toc132476776"/>
      <w:r w:rsidRPr="005372D0">
        <w:lastRenderedPageBreak/>
        <w:t>Executive Summary</w:t>
      </w:r>
      <w:bookmarkEnd w:id="0"/>
      <w:bookmarkEnd w:id="1"/>
    </w:p>
    <w:p w:rsidR="00186D8C" w:rsidRPr="005372D0" w:rsidRDefault="00C23A2A" w:rsidP="005372D0">
      <w:pPr>
        <w:spacing w:line="360" w:lineRule="auto"/>
        <w:jc w:val="both"/>
        <w:rPr>
          <w:rFonts w:ascii="Arial" w:hAnsi="Arial" w:cs="Arial"/>
          <w:lang w:val="en-US"/>
        </w:rPr>
      </w:pPr>
      <w:r w:rsidRPr="005372D0">
        <w:rPr>
          <w:rFonts w:ascii="Arial" w:hAnsi="Arial" w:cs="Arial"/>
          <w:lang w:val="en-US"/>
        </w:rPr>
        <w:t xml:space="preserve">The provided report commences by providing the scope and major focus of the paper. A brief overview of the considered companies namely J Sainsbury Plc and Tesco Plc is incorporated under the assignment including illustrating reasons behind their rivalries. Financial performance comparison of the companies is incorporated using ratio analysis mainly focusing on their profitability and liquidity state. A discussion about the mission, vision, and strategy of Sainsbury is included in this assignment. Besides, a balanced scorecard of the company is also given based on the four significant perspectives including a set of goals, objectives, initiatives, and indicators. Impact of the severe Covid-19 on both the financial and non-financial position of Sainsbury Plc is also drawn. Finally, the report end highlights the entire conclusion based on the gathered data and analysis. </w:t>
      </w:r>
    </w:p>
    <w:p w:rsidR="00186D8C" w:rsidRPr="005372D0" w:rsidRDefault="00C23A2A" w:rsidP="005372D0">
      <w:pPr>
        <w:spacing w:line="360" w:lineRule="auto"/>
        <w:rPr>
          <w:rFonts w:ascii="Arial" w:hAnsi="Arial" w:cs="Arial"/>
          <w:lang w:val="en-US"/>
        </w:rPr>
      </w:pPr>
      <w:r w:rsidRPr="005372D0">
        <w:rPr>
          <w:rFonts w:ascii="Arial" w:hAnsi="Arial" w:cs="Arial"/>
          <w:lang w:val="en-US"/>
        </w:rPr>
        <w:br w:type="page"/>
      </w:r>
    </w:p>
    <w:sdt>
      <w:sdtPr>
        <w:id w:val="-257762608"/>
        <w:docPartObj>
          <w:docPartGallery w:val="Table of Contents"/>
          <w:docPartUnique/>
        </w:docPartObj>
      </w:sdtPr>
      <w:sdtEndPr>
        <w:rPr>
          <w:rFonts w:ascii="Arial" w:eastAsiaTheme="minorHAnsi" w:hAnsi="Arial" w:cs="Arial"/>
          <w:b/>
          <w:bCs/>
          <w:noProof/>
          <w:color w:val="auto"/>
          <w:sz w:val="22"/>
          <w:szCs w:val="22"/>
          <w:lang w:val="en-IN"/>
        </w:rPr>
      </w:sdtEndPr>
      <w:sdtContent>
        <w:p w:rsidR="00A5360C" w:rsidRPr="00A5360C" w:rsidRDefault="00A5360C" w:rsidP="00A5360C">
          <w:pPr>
            <w:pStyle w:val="TOCHeading"/>
            <w:jc w:val="center"/>
            <w:rPr>
              <w:rFonts w:ascii="Arial" w:hAnsi="Arial" w:cs="Arial"/>
              <w:b/>
              <w:color w:val="auto"/>
              <w:sz w:val="22"/>
              <w:szCs w:val="22"/>
            </w:rPr>
          </w:pPr>
          <w:r w:rsidRPr="00A5360C">
            <w:rPr>
              <w:rFonts w:ascii="Arial" w:hAnsi="Arial" w:cs="Arial"/>
              <w:b/>
              <w:color w:val="auto"/>
              <w:sz w:val="22"/>
              <w:szCs w:val="22"/>
            </w:rPr>
            <w:t>Table of Contents</w:t>
          </w:r>
        </w:p>
        <w:p w:rsidR="00A5360C" w:rsidRPr="00A5360C" w:rsidRDefault="00A5360C" w:rsidP="00A5360C">
          <w:pPr>
            <w:pStyle w:val="TOC1"/>
            <w:tabs>
              <w:tab w:val="right" w:leader="dot" w:pos="9060"/>
            </w:tabs>
            <w:spacing w:line="360" w:lineRule="auto"/>
            <w:jc w:val="both"/>
            <w:rPr>
              <w:rFonts w:ascii="Arial" w:eastAsiaTheme="minorEastAsia" w:hAnsi="Arial" w:cs="Arial"/>
              <w:noProof/>
              <w:lang w:eastAsia="en-IN"/>
            </w:rPr>
          </w:pPr>
          <w:r w:rsidRPr="00A5360C">
            <w:rPr>
              <w:rFonts w:ascii="Arial" w:hAnsi="Arial" w:cs="Arial"/>
            </w:rPr>
            <w:fldChar w:fldCharType="begin"/>
          </w:r>
          <w:r w:rsidRPr="00A5360C">
            <w:rPr>
              <w:rFonts w:ascii="Arial" w:hAnsi="Arial" w:cs="Arial"/>
            </w:rPr>
            <w:instrText xml:space="preserve"> TOC \o "1-3" \h \z \u </w:instrText>
          </w:r>
          <w:r w:rsidRPr="00A5360C">
            <w:rPr>
              <w:rFonts w:ascii="Arial" w:hAnsi="Arial" w:cs="Arial"/>
            </w:rPr>
            <w:fldChar w:fldCharType="separate"/>
          </w:r>
          <w:hyperlink w:anchor="_Toc132476776" w:history="1">
            <w:r w:rsidRPr="00A5360C">
              <w:rPr>
                <w:rStyle w:val="Hyperlink"/>
                <w:rFonts w:ascii="Arial" w:hAnsi="Arial" w:cs="Arial"/>
                <w:noProof/>
              </w:rPr>
              <w:t>Executive Summary</w:t>
            </w:r>
            <w:r w:rsidRPr="00A5360C">
              <w:rPr>
                <w:rFonts w:ascii="Arial" w:hAnsi="Arial" w:cs="Arial"/>
                <w:noProof/>
                <w:webHidden/>
              </w:rPr>
              <w:tab/>
            </w:r>
            <w:r w:rsidRPr="00A5360C">
              <w:rPr>
                <w:rFonts w:ascii="Arial" w:hAnsi="Arial" w:cs="Arial"/>
                <w:noProof/>
                <w:webHidden/>
              </w:rPr>
              <w:fldChar w:fldCharType="begin"/>
            </w:r>
            <w:r w:rsidRPr="00A5360C">
              <w:rPr>
                <w:rFonts w:ascii="Arial" w:hAnsi="Arial" w:cs="Arial"/>
                <w:noProof/>
                <w:webHidden/>
              </w:rPr>
              <w:instrText xml:space="preserve"> PAGEREF _Toc132476776 \h </w:instrText>
            </w:r>
            <w:r w:rsidRPr="00A5360C">
              <w:rPr>
                <w:rFonts w:ascii="Arial" w:hAnsi="Arial" w:cs="Arial"/>
                <w:noProof/>
                <w:webHidden/>
              </w:rPr>
            </w:r>
            <w:r w:rsidRPr="00A5360C">
              <w:rPr>
                <w:rFonts w:ascii="Arial" w:hAnsi="Arial" w:cs="Arial"/>
                <w:noProof/>
                <w:webHidden/>
              </w:rPr>
              <w:fldChar w:fldCharType="separate"/>
            </w:r>
            <w:r w:rsidRPr="00A5360C">
              <w:rPr>
                <w:rFonts w:ascii="Arial" w:hAnsi="Arial" w:cs="Arial"/>
                <w:noProof/>
                <w:webHidden/>
              </w:rPr>
              <w:t>2</w:t>
            </w:r>
            <w:r w:rsidRPr="00A5360C">
              <w:rPr>
                <w:rFonts w:ascii="Arial" w:hAnsi="Arial" w:cs="Arial"/>
                <w:noProof/>
                <w:webHidden/>
              </w:rPr>
              <w:fldChar w:fldCharType="end"/>
            </w:r>
          </w:hyperlink>
        </w:p>
        <w:p w:rsidR="00A5360C" w:rsidRPr="00A5360C" w:rsidRDefault="00A5360C" w:rsidP="00A5360C">
          <w:pPr>
            <w:pStyle w:val="TOC1"/>
            <w:tabs>
              <w:tab w:val="right" w:leader="dot" w:pos="9060"/>
            </w:tabs>
            <w:spacing w:line="360" w:lineRule="auto"/>
            <w:jc w:val="both"/>
            <w:rPr>
              <w:rFonts w:ascii="Arial" w:eastAsiaTheme="minorEastAsia" w:hAnsi="Arial" w:cs="Arial"/>
              <w:noProof/>
              <w:lang w:eastAsia="en-IN"/>
            </w:rPr>
          </w:pPr>
          <w:hyperlink w:anchor="_Toc132476777" w:history="1">
            <w:r w:rsidRPr="00A5360C">
              <w:rPr>
                <w:rStyle w:val="Hyperlink"/>
                <w:rFonts w:ascii="Arial" w:hAnsi="Arial" w:cs="Arial"/>
                <w:noProof/>
              </w:rPr>
              <w:t>1. Introduction</w:t>
            </w:r>
            <w:r w:rsidRPr="00A5360C">
              <w:rPr>
                <w:rFonts w:ascii="Arial" w:hAnsi="Arial" w:cs="Arial"/>
                <w:noProof/>
                <w:webHidden/>
              </w:rPr>
              <w:tab/>
            </w:r>
            <w:r w:rsidRPr="00A5360C">
              <w:rPr>
                <w:rFonts w:ascii="Arial" w:hAnsi="Arial" w:cs="Arial"/>
                <w:noProof/>
                <w:webHidden/>
              </w:rPr>
              <w:fldChar w:fldCharType="begin"/>
            </w:r>
            <w:r w:rsidRPr="00A5360C">
              <w:rPr>
                <w:rFonts w:ascii="Arial" w:hAnsi="Arial" w:cs="Arial"/>
                <w:noProof/>
                <w:webHidden/>
              </w:rPr>
              <w:instrText xml:space="preserve"> PAGEREF _Toc132476777 \h </w:instrText>
            </w:r>
            <w:r w:rsidRPr="00A5360C">
              <w:rPr>
                <w:rFonts w:ascii="Arial" w:hAnsi="Arial" w:cs="Arial"/>
                <w:noProof/>
                <w:webHidden/>
              </w:rPr>
            </w:r>
            <w:r w:rsidRPr="00A5360C">
              <w:rPr>
                <w:rFonts w:ascii="Arial" w:hAnsi="Arial" w:cs="Arial"/>
                <w:noProof/>
                <w:webHidden/>
              </w:rPr>
              <w:fldChar w:fldCharType="separate"/>
            </w:r>
            <w:r w:rsidRPr="00A5360C">
              <w:rPr>
                <w:rFonts w:ascii="Arial" w:hAnsi="Arial" w:cs="Arial"/>
                <w:noProof/>
                <w:webHidden/>
              </w:rPr>
              <w:t>4</w:t>
            </w:r>
            <w:r w:rsidRPr="00A5360C">
              <w:rPr>
                <w:rFonts w:ascii="Arial" w:hAnsi="Arial" w:cs="Arial"/>
                <w:noProof/>
                <w:webHidden/>
              </w:rPr>
              <w:fldChar w:fldCharType="end"/>
            </w:r>
          </w:hyperlink>
        </w:p>
        <w:p w:rsidR="00A5360C" w:rsidRPr="00A5360C" w:rsidRDefault="00A5360C" w:rsidP="00A5360C">
          <w:pPr>
            <w:pStyle w:val="TOC1"/>
            <w:tabs>
              <w:tab w:val="right" w:leader="dot" w:pos="9060"/>
            </w:tabs>
            <w:spacing w:line="360" w:lineRule="auto"/>
            <w:jc w:val="both"/>
            <w:rPr>
              <w:rFonts w:ascii="Arial" w:eastAsiaTheme="minorEastAsia" w:hAnsi="Arial" w:cs="Arial"/>
              <w:noProof/>
              <w:lang w:eastAsia="en-IN"/>
            </w:rPr>
          </w:pPr>
          <w:hyperlink w:anchor="_Toc132476778" w:history="1">
            <w:r w:rsidRPr="00A5360C">
              <w:rPr>
                <w:rStyle w:val="Hyperlink"/>
                <w:rFonts w:ascii="Arial" w:hAnsi="Arial" w:cs="Arial"/>
                <w:noProof/>
              </w:rPr>
              <w:t>2. Financial position considering ratio evaluation</w:t>
            </w:r>
            <w:r w:rsidRPr="00A5360C">
              <w:rPr>
                <w:rFonts w:ascii="Arial" w:hAnsi="Arial" w:cs="Arial"/>
                <w:noProof/>
                <w:webHidden/>
              </w:rPr>
              <w:tab/>
            </w:r>
            <w:r w:rsidRPr="00A5360C">
              <w:rPr>
                <w:rFonts w:ascii="Arial" w:hAnsi="Arial" w:cs="Arial"/>
                <w:noProof/>
                <w:webHidden/>
              </w:rPr>
              <w:fldChar w:fldCharType="begin"/>
            </w:r>
            <w:r w:rsidRPr="00A5360C">
              <w:rPr>
                <w:rFonts w:ascii="Arial" w:hAnsi="Arial" w:cs="Arial"/>
                <w:noProof/>
                <w:webHidden/>
              </w:rPr>
              <w:instrText xml:space="preserve"> PAGEREF _Toc132476778 \h </w:instrText>
            </w:r>
            <w:r w:rsidRPr="00A5360C">
              <w:rPr>
                <w:rFonts w:ascii="Arial" w:hAnsi="Arial" w:cs="Arial"/>
                <w:noProof/>
                <w:webHidden/>
              </w:rPr>
            </w:r>
            <w:r w:rsidRPr="00A5360C">
              <w:rPr>
                <w:rFonts w:ascii="Arial" w:hAnsi="Arial" w:cs="Arial"/>
                <w:noProof/>
                <w:webHidden/>
              </w:rPr>
              <w:fldChar w:fldCharType="separate"/>
            </w:r>
            <w:r w:rsidRPr="00A5360C">
              <w:rPr>
                <w:rFonts w:ascii="Arial" w:hAnsi="Arial" w:cs="Arial"/>
                <w:noProof/>
                <w:webHidden/>
              </w:rPr>
              <w:t>4</w:t>
            </w:r>
            <w:r w:rsidRPr="00A5360C">
              <w:rPr>
                <w:rFonts w:ascii="Arial" w:hAnsi="Arial" w:cs="Arial"/>
                <w:noProof/>
                <w:webHidden/>
              </w:rPr>
              <w:fldChar w:fldCharType="end"/>
            </w:r>
          </w:hyperlink>
        </w:p>
        <w:p w:rsidR="00A5360C" w:rsidRPr="00A5360C" w:rsidRDefault="00A5360C" w:rsidP="00A5360C">
          <w:pPr>
            <w:pStyle w:val="TOC2"/>
            <w:tabs>
              <w:tab w:val="right" w:leader="dot" w:pos="9060"/>
            </w:tabs>
            <w:spacing w:line="360" w:lineRule="auto"/>
            <w:jc w:val="both"/>
            <w:rPr>
              <w:rFonts w:ascii="Arial" w:eastAsiaTheme="minorEastAsia" w:hAnsi="Arial" w:cs="Arial"/>
              <w:noProof/>
              <w:lang w:eastAsia="en-IN"/>
            </w:rPr>
          </w:pPr>
          <w:hyperlink w:anchor="_Toc132476779" w:history="1">
            <w:r w:rsidRPr="00A5360C">
              <w:rPr>
                <w:rStyle w:val="Hyperlink"/>
                <w:rFonts w:ascii="Arial" w:hAnsi="Arial" w:cs="Arial"/>
                <w:noProof/>
              </w:rPr>
              <w:t>Overview of the selected companies</w:t>
            </w:r>
            <w:r w:rsidRPr="00A5360C">
              <w:rPr>
                <w:rFonts w:ascii="Arial" w:hAnsi="Arial" w:cs="Arial"/>
                <w:noProof/>
                <w:webHidden/>
              </w:rPr>
              <w:tab/>
            </w:r>
            <w:r w:rsidRPr="00A5360C">
              <w:rPr>
                <w:rFonts w:ascii="Arial" w:hAnsi="Arial" w:cs="Arial"/>
                <w:noProof/>
                <w:webHidden/>
              </w:rPr>
              <w:fldChar w:fldCharType="begin"/>
            </w:r>
            <w:r w:rsidRPr="00A5360C">
              <w:rPr>
                <w:rFonts w:ascii="Arial" w:hAnsi="Arial" w:cs="Arial"/>
                <w:noProof/>
                <w:webHidden/>
              </w:rPr>
              <w:instrText xml:space="preserve"> PAGEREF _Toc132476779 \h </w:instrText>
            </w:r>
            <w:r w:rsidRPr="00A5360C">
              <w:rPr>
                <w:rFonts w:ascii="Arial" w:hAnsi="Arial" w:cs="Arial"/>
                <w:noProof/>
                <w:webHidden/>
              </w:rPr>
            </w:r>
            <w:r w:rsidRPr="00A5360C">
              <w:rPr>
                <w:rFonts w:ascii="Arial" w:hAnsi="Arial" w:cs="Arial"/>
                <w:noProof/>
                <w:webHidden/>
              </w:rPr>
              <w:fldChar w:fldCharType="separate"/>
            </w:r>
            <w:r w:rsidRPr="00A5360C">
              <w:rPr>
                <w:rFonts w:ascii="Arial" w:hAnsi="Arial" w:cs="Arial"/>
                <w:noProof/>
                <w:webHidden/>
              </w:rPr>
              <w:t>4</w:t>
            </w:r>
            <w:r w:rsidRPr="00A5360C">
              <w:rPr>
                <w:rFonts w:ascii="Arial" w:hAnsi="Arial" w:cs="Arial"/>
                <w:noProof/>
                <w:webHidden/>
              </w:rPr>
              <w:fldChar w:fldCharType="end"/>
            </w:r>
          </w:hyperlink>
        </w:p>
        <w:p w:rsidR="00A5360C" w:rsidRPr="00A5360C" w:rsidRDefault="00A5360C" w:rsidP="00A5360C">
          <w:pPr>
            <w:pStyle w:val="TOC2"/>
            <w:tabs>
              <w:tab w:val="right" w:leader="dot" w:pos="9060"/>
            </w:tabs>
            <w:spacing w:line="360" w:lineRule="auto"/>
            <w:jc w:val="both"/>
            <w:rPr>
              <w:rFonts w:ascii="Arial" w:eastAsiaTheme="minorEastAsia" w:hAnsi="Arial" w:cs="Arial"/>
              <w:noProof/>
              <w:lang w:eastAsia="en-IN"/>
            </w:rPr>
          </w:pPr>
          <w:hyperlink w:anchor="_Toc132476780" w:history="1">
            <w:r w:rsidRPr="00A5360C">
              <w:rPr>
                <w:rStyle w:val="Hyperlink"/>
                <w:rFonts w:ascii="Arial" w:hAnsi="Arial" w:cs="Arial"/>
                <w:noProof/>
              </w:rPr>
              <w:t>Comparative financial performance evaluation of the companies</w:t>
            </w:r>
            <w:r w:rsidRPr="00A5360C">
              <w:rPr>
                <w:rFonts w:ascii="Arial" w:hAnsi="Arial" w:cs="Arial"/>
                <w:noProof/>
                <w:webHidden/>
              </w:rPr>
              <w:tab/>
            </w:r>
            <w:r w:rsidRPr="00A5360C">
              <w:rPr>
                <w:rFonts w:ascii="Arial" w:hAnsi="Arial" w:cs="Arial"/>
                <w:noProof/>
                <w:webHidden/>
              </w:rPr>
              <w:fldChar w:fldCharType="begin"/>
            </w:r>
            <w:r w:rsidRPr="00A5360C">
              <w:rPr>
                <w:rFonts w:ascii="Arial" w:hAnsi="Arial" w:cs="Arial"/>
                <w:noProof/>
                <w:webHidden/>
              </w:rPr>
              <w:instrText xml:space="preserve"> PAGEREF _Toc132476780 \h </w:instrText>
            </w:r>
            <w:r w:rsidRPr="00A5360C">
              <w:rPr>
                <w:rFonts w:ascii="Arial" w:hAnsi="Arial" w:cs="Arial"/>
                <w:noProof/>
                <w:webHidden/>
              </w:rPr>
            </w:r>
            <w:r w:rsidRPr="00A5360C">
              <w:rPr>
                <w:rFonts w:ascii="Arial" w:hAnsi="Arial" w:cs="Arial"/>
                <w:noProof/>
                <w:webHidden/>
              </w:rPr>
              <w:fldChar w:fldCharType="separate"/>
            </w:r>
            <w:r w:rsidRPr="00A5360C">
              <w:rPr>
                <w:rFonts w:ascii="Arial" w:hAnsi="Arial" w:cs="Arial"/>
                <w:noProof/>
                <w:webHidden/>
              </w:rPr>
              <w:t>5</w:t>
            </w:r>
            <w:r w:rsidRPr="00A5360C">
              <w:rPr>
                <w:rFonts w:ascii="Arial" w:hAnsi="Arial" w:cs="Arial"/>
                <w:noProof/>
                <w:webHidden/>
              </w:rPr>
              <w:fldChar w:fldCharType="end"/>
            </w:r>
          </w:hyperlink>
        </w:p>
        <w:p w:rsidR="00A5360C" w:rsidRPr="00A5360C" w:rsidRDefault="00A5360C" w:rsidP="00A5360C">
          <w:pPr>
            <w:pStyle w:val="TOC1"/>
            <w:tabs>
              <w:tab w:val="right" w:leader="dot" w:pos="9060"/>
            </w:tabs>
            <w:spacing w:line="360" w:lineRule="auto"/>
            <w:jc w:val="both"/>
            <w:rPr>
              <w:rFonts w:ascii="Arial" w:eastAsiaTheme="minorEastAsia" w:hAnsi="Arial" w:cs="Arial"/>
              <w:noProof/>
              <w:lang w:eastAsia="en-IN"/>
            </w:rPr>
          </w:pPr>
          <w:hyperlink w:anchor="_Toc132476781" w:history="1">
            <w:r w:rsidRPr="00A5360C">
              <w:rPr>
                <w:rStyle w:val="Hyperlink"/>
                <w:rFonts w:ascii="Arial" w:hAnsi="Arial" w:cs="Arial"/>
                <w:noProof/>
              </w:rPr>
              <w:t>3. Balanced Scorecard</w:t>
            </w:r>
            <w:r w:rsidRPr="00A5360C">
              <w:rPr>
                <w:rFonts w:ascii="Arial" w:hAnsi="Arial" w:cs="Arial"/>
                <w:noProof/>
                <w:webHidden/>
              </w:rPr>
              <w:tab/>
            </w:r>
            <w:r w:rsidRPr="00A5360C">
              <w:rPr>
                <w:rFonts w:ascii="Arial" w:hAnsi="Arial" w:cs="Arial"/>
                <w:noProof/>
                <w:webHidden/>
              </w:rPr>
              <w:fldChar w:fldCharType="begin"/>
            </w:r>
            <w:r w:rsidRPr="00A5360C">
              <w:rPr>
                <w:rFonts w:ascii="Arial" w:hAnsi="Arial" w:cs="Arial"/>
                <w:noProof/>
                <w:webHidden/>
              </w:rPr>
              <w:instrText xml:space="preserve"> PAGEREF _Toc132476781 \h </w:instrText>
            </w:r>
            <w:r w:rsidRPr="00A5360C">
              <w:rPr>
                <w:rFonts w:ascii="Arial" w:hAnsi="Arial" w:cs="Arial"/>
                <w:noProof/>
                <w:webHidden/>
              </w:rPr>
            </w:r>
            <w:r w:rsidRPr="00A5360C">
              <w:rPr>
                <w:rFonts w:ascii="Arial" w:hAnsi="Arial" w:cs="Arial"/>
                <w:noProof/>
                <w:webHidden/>
              </w:rPr>
              <w:fldChar w:fldCharType="separate"/>
            </w:r>
            <w:r w:rsidRPr="00A5360C">
              <w:rPr>
                <w:rFonts w:ascii="Arial" w:hAnsi="Arial" w:cs="Arial"/>
                <w:noProof/>
                <w:webHidden/>
              </w:rPr>
              <w:t>9</w:t>
            </w:r>
            <w:r w:rsidRPr="00A5360C">
              <w:rPr>
                <w:rFonts w:ascii="Arial" w:hAnsi="Arial" w:cs="Arial"/>
                <w:noProof/>
                <w:webHidden/>
              </w:rPr>
              <w:fldChar w:fldCharType="end"/>
            </w:r>
          </w:hyperlink>
        </w:p>
        <w:p w:rsidR="00A5360C" w:rsidRPr="00A5360C" w:rsidRDefault="00A5360C" w:rsidP="00A5360C">
          <w:pPr>
            <w:pStyle w:val="TOC2"/>
            <w:tabs>
              <w:tab w:val="right" w:leader="dot" w:pos="9060"/>
            </w:tabs>
            <w:spacing w:line="360" w:lineRule="auto"/>
            <w:jc w:val="both"/>
            <w:rPr>
              <w:rFonts w:ascii="Arial" w:eastAsiaTheme="minorEastAsia" w:hAnsi="Arial" w:cs="Arial"/>
              <w:noProof/>
              <w:lang w:eastAsia="en-IN"/>
            </w:rPr>
          </w:pPr>
          <w:hyperlink w:anchor="_Toc132476782" w:history="1">
            <w:r w:rsidRPr="00A5360C">
              <w:rPr>
                <w:rStyle w:val="Hyperlink"/>
                <w:rFonts w:ascii="Arial" w:hAnsi="Arial" w:cs="Arial"/>
                <w:noProof/>
              </w:rPr>
              <w:t>Mission, vision, and strategy of Sainsbury</w:t>
            </w:r>
            <w:r w:rsidRPr="00A5360C">
              <w:rPr>
                <w:rFonts w:ascii="Arial" w:hAnsi="Arial" w:cs="Arial"/>
                <w:noProof/>
                <w:webHidden/>
              </w:rPr>
              <w:tab/>
            </w:r>
            <w:r w:rsidRPr="00A5360C">
              <w:rPr>
                <w:rFonts w:ascii="Arial" w:hAnsi="Arial" w:cs="Arial"/>
                <w:noProof/>
                <w:webHidden/>
              </w:rPr>
              <w:fldChar w:fldCharType="begin"/>
            </w:r>
            <w:r w:rsidRPr="00A5360C">
              <w:rPr>
                <w:rFonts w:ascii="Arial" w:hAnsi="Arial" w:cs="Arial"/>
                <w:noProof/>
                <w:webHidden/>
              </w:rPr>
              <w:instrText xml:space="preserve"> PAGEREF _Toc132476782 \h </w:instrText>
            </w:r>
            <w:r w:rsidRPr="00A5360C">
              <w:rPr>
                <w:rFonts w:ascii="Arial" w:hAnsi="Arial" w:cs="Arial"/>
                <w:noProof/>
                <w:webHidden/>
              </w:rPr>
            </w:r>
            <w:r w:rsidRPr="00A5360C">
              <w:rPr>
                <w:rFonts w:ascii="Arial" w:hAnsi="Arial" w:cs="Arial"/>
                <w:noProof/>
                <w:webHidden/>
              </w:rPr>
              <w:fldChar w:fldCharType="separate"/>
            </w:r>
            <w:r w:rsidRPr="00A5360C">
              <w:rPr>
                <w:rFonts w:ascii="Arial" w:hAnsi="Arial" w:cs="Arial"/>
                <w:noProof/>
                <w:webHidden/>
              </w:rPr>
              <w:t>9</w:t>
            </w:r>
            <w:r w:rsidRPr="00A5360C">
              <w:rPr>
                <w:rFonts w:ascii="Arial" w:hAnsi="Arial" w:cs="Arial"/>
                <w:noProof/>
                <w:webHidden/>
              </w:rPr>
              <w:fldChar w:fldCharType="end"/>
            </w:r>
          </w:hyperlink>
        </w:p>
        <w:p w:rsidR="00A5360C" w:rsidRPr="00A5360C" w:rsidRDefault="00A5360C" w:rsidP="00A5360C">
          <w:pPr>
            <w:pStyle w:val="TOC2"/>
            <w:tabs>
              <w:tab w:val="right" w:leader="dot" w:pos="9060"/>
            </w:tabs>
            <w:spacing w:line="360" w:lineRule="auto"/>
            <w:jc w:val="both"/>
            <w:rPr>
              <w:rFonts w:ascii="Arial" w:eastAsiaTheme="minorEastAsia" w:hAnsi="Arial" w:cs="Arial"/>
              <w:noProof/>
              <w:lang w:eastAsia="en-IN"/>
            </w:rPr>
          </w:pPr>
          <w:hyperlink w:anchor="_Toc132476783" w:history="1">
            <w:r w:rsidRPr="00A5360C">
              <w:rPr>
                <w:rStyle w:val="Hyperlink"/>
                <w:rFonts w:ascii="Arial" w:hAnsi="Arial" w:cs="Arial"/>
                <w:noProof/>
              </w:rPr>
              <w:t>Balanced Scorecards of Sainsbury</w:t>
            </w:r>
            <w:r w:rsidRPr="00A5360C">
              <w:rPr>
                <w:rFonts w:ascii="Arial" w:hAnsi="Arial" w:cs="Arial"/>
                <w:noProof/>
                <w:webHidden/>
              </w:rPr>
              <w:tab/>
            </w:r>
            <w:r w:rsidRPr="00A5360C">
              <w:rPr>
                <w:rFonts w:ascii="Arial" w:hAnsi="Arial" w:cs="Arial"/>
                <w:noProof/>
                <w:webHidden/>
              </w:rPr>
              <w:fldChar w:fldCharType="begin"/>
            </w:r>
            <w:r w:rsidRPr="00A5360C">
              <w:rPr>
                <w:rFonts w:ascii="Arial" w:hAnsi="Arial" w:cs="Arial"/>
                <w:noProof/>
                <w:webHidden/>
              </w:rPr>
              <w:instrText xml:space="preserve"> PAGEREF _Toc132476783 \h </w:instrText>
            </w:r>
            <w:r w:rsidRPr="00A5360C">
              <w:rPr>
                <w:rFonts w:ascii="Arial" w:hAnsi="Arial" w:cs="Arial"/>
                <w:noProof/>
                <w:webHidden/>
              </w:rPr>
            </w:r>
            <w:r w:rsidRPr="00A5360C">
              <w:rPr>
                <w:rFonts w:ascii="Arial" w:hAnsi="Arial" w:cs="Arial"/>
                <w:noProof/>
                <w:webHidden/>
              </w:rPr>
              <w:fldChar w:fldCharType="separate"/>
            </w:r>
            <w:r w:rsidRPr="00A5360C">
              <w:rPr>
                <w:rFonts w:ascii="Arial" w:hAnsi="Arial" w:cs="Arial"/>
                <w:noProof/>
                <w:webHidden/>
              </w:rPr>
              <w:t>10</w:t>
            </w:r>
            <w:r w:rsidRPr="00A5360C">
              <w:rPr>
                <w:rFonts w:ascii="Arial" w:hAnsi="Arial" w:cs="Arial"/>
                <w:noProof/>
                <w:webHidden/>
              </w:rPr>
              <w:fldChar w:fldCharType="end"/>
            </w:r>
          </w:hyperlink>
        </w:p>
        <w:p w:rsidR="00A5360C" w:rsidRPr="00A5360C" w:rsidRDefault="00A5360C" w:rsidP="00A5360C">
          <w:pPr>
            <w:pStyle w:val="TOC1"/>
            <w:tabs>
              <w:tab w:val="right" w:leader="dot" w:pos="9060"/>
            </w:tabs>
            <w:spacing w:line="360" w:lineRule="auto"/>
            <w:jc w:val="both"/>
            <w:rPr>
              <w:rFonts w:ascii="Arial" w:eastAsiaTheme="minorEastAsia" w:hAnsi="Arial" w:cs="Arial"/>
              <w:noProof/>
              <w:lang w:eastAsia="en-IN"/>
            </w:rPr>
          </w:pPr>
          <w:hyperlink w:anchor="_Toc132476784" w:history="1">
            <w:r w:rsidRPr="00A5360C">
              <w:rPr>
                <w:rStyle w:val="Hyperlink"/>
                <w:rFonts w:ascii="Arial" w:hAnsi="Arial" w:cs="Arial"/>
                <w:noProof/>
              </w:rPr>
              <w:t>4. Coronavirus pandemic impact on company’s financial performance</w:t>
            </w:r>
            <w:r w:rsidRPr="00A5360C">
              <w:rPr>
                <w:rFonts w:ascii="Arial" w:hAnsi="Arial" w:cs="Arial"/>
                <w:noProof/>
                <w:webHidden/>
              </w:rPr>
              <w:tab/>
            </w:r>
            <w:r w:rsidRPr="00A5360C">
              <w:rPr>
                <w:rFonts w:ascii="Arial" w:hAnsi="Arial" w:cs="Arial"/>
                <w:noProof/>
                <w:webHidden/>
              </w:rPr>
              <w:fldChar w:fldCharType="begin"/>
            </w:r>
            <w:r w:rsidRPr="00A5360C">
              <w:rPr>
                <w:rFonts w:ascii="Arial" w:hAnsi="Arial" w:cs="Arial"/>
                <w:noProof/>
                <w:webHidden/>
              </w:rPr>
              <w:instrText xml:space="preserve"> PAGEREF _Toc132476784 \h </w:instrText>
            </w:r>
            <w:r w:rsidRPr="00A5360C">
              <w:rPr>
                <w:rFonts w:ascii="Arial" w:hAnsi="Arial" w:cs="Arial"/>
                <w:noProof/>
                <w:webHidden/>
              </w:rPr>
            </w:r>
            <w:r w:rsidRPr="00A5360C">
              <w:rPr>
                <w:rFonts w:ascii="Arial" w:hAnsi="Arial" w:cs="Arial"/>
                <w:noProof/>
                <w:webHidden/>
              </w:rPr>
              <w:fldChar w:fldCharType="separate"/>
            </w:r>
            <w:r w:rsidRPr="00A5360C">
              <w:rPr>
                <w:rFonts w:ascii="Arial" w:hAnsi="Arial" w:cs="Arial"/>
                <w:noProof/>
                <w:webHidden/>
              </w:rPr>
              <w:t>16</w:t>
            </w:r>
            <w:r w:rsidRPr="00A5360C">
              <w:rPr>
                <w:rFonts w:ascii="Arial" w:hAnsi="Arial" w:cs="Arial"/>
                <w:noProof/>
                <w:webHidden/>
              </w:rPr>
              <w:fldChar w:fldCharType="end"/>
            </w:r>
          </w:hyperlink>
        </w:p>
        <w:p w:rsidR="00A5360C" w:rsidRPr="00A5360C" w:rsidRDefault="00A5360C" w:rsidP="00A5360C">
          <w:pPr>
            <w:pStyle w:val="TOC2"/>
            <w:tabs>
              <w:tab w:val="right" w:leader="dot" w:pos="9060"/>
            </w:tabs>
            <w:spacing w:line="360" w:lineRule="auto"/>
            <w:jc w:val="both"/>
            <w:rPr>
              <w:rFonts w:ascii="Arial" w:eastAsiaTheme="minorEastAsia" w:hAnsi="Arial" w:cs="Arial"/>
              <w:noProof/>
              <w:lang w:eastAsia="en-IN"/>
            </w:rPr>
          </w:pPr>
          <w:hyperlink w:anchor="_Toc132476785" w:history="1">
            <w:r w:rsidRPr="00A5360C">
              <w:rPr>
                <w:rStyle w:val="Hyperlink"/>
                <w:rFonts w:ascii="Arial" w:hAnsi="Arial" w:cs="Arial"/>
                <w:noProof/>
              </w:rPr>
              <w:t>Covid-19 pandemic impact on Sainsbury’s financial performance</w:t>
            </w:r>
            <w:r w:rsidRPr="00A5360C">
              <w:rPr>
                <w:rFonts w:ascii="Arial" w:hAnsi="Arial" w:cs="Arial"/>
                <w:noProof/>
                <w:webHidden/>
              </w:rPr>
              <w:tab/>
            </w:r>
            <w:r w:rsidRPr="00A5360C">
              <w:rPr>
                <w:rFonts w:ascii="Arial" w:hAnsi="Arial" w:cs="Arial"/>
                <w:noProof/>
                <w:webHidden/>
              </w:rPr>
              <w:fldChar w:fldCharType="begin"/>
            </w:r>
            <w:r w:rsidRPr="00A5360C">
              <w:rPr>
                <w:rFonts w:ascii="Arial" w:hAnsi="Arial" w:cs="Arial"/>
                <w:noProof/>
                <w:webHidden/>
              </w:rPr>
              <w:instrText xml:space="preserve"> PAGEREF _Toc132476785 \h </w:instrText>
            </w:r>
            <w:r w:rsidRPr="00A5360C">
              <w:rPr>
                <w:rFonts w:ascii="Arial" w:hAnsi="Arial" w:cs="Arial"/>
                <w:noProof/>
                <w:webHidden/>
              </w:rPr>
            </w:r>
            <w:r w:rsidRPr="00A5360C">
              <w:rPr>
                <w:rFonts w:ascii="Arial" w:hAnsi="Arial" w:cs="Arial"/>
                <w:noProof/>
                <w:webHidden/>
              </w:rPr>
              <w:fldChar w:fldCharType="separate"/>
            </w:r>
            <w:r w:rsidRPr="00A5360C">
              <w:rPr>
                <w:rFonts w:ascii="Arial" w:hAnsi="Arial" w:cs="Arial"/>
                <w:noProof/>
                <w:webHidden/>
              </w:rPr>
              <w:t>16</w:t>
            </w:r>
            <w:r w:rsidRPr="00A5360C">
              <w:rPr>
                <w:rFonts w:ascii="Arial" w:hAnsi="Arial" w:cs="Arial"/>
                <w:noProof/>
                <w:webHidden/>
              </w:rPr>
              <w:fldChar w:fldCharType="end"/>
            </w:r>
          </w:hyperlink>
        </w:p>
        <w:p w:rsidR="00A5360C" w:rsidRPr="00A5360C" w:rsidRDefault="00A5360C" w:rsidP="00A5360C">
          <w:pPr>
            <w:pStyle w:val="TOC2"/>
            <w:tabs>
              <w:tab w:val="right" w:leader="dot" w:pos="9060"/>
            </w:tabs>
            <w:spacing w:line="360" w:lineRule="auto"/>
            <w:jc w:val="both"/>
            <w:rPr>
              <w:rFonts w:ascii="Arial" w:eastAsiaTheme="minorEastAsia" w:hAnsi="Arial" w:cs="Arial"/>
              <w:noProof/>
              <w:lang w:eastAsia="en-IN"/>
            </w:rPr>
          </w:pPr>
          <w:hyperlink w:anchor="_Toc132476786" w:history="1">
            <w:r w:rsidRPr="00A5360C">
              <w:rPr>
                <w:rStyle w:val="Hyperlink"/>
                <w:rFonts w:ascii="Arial" w:hAnsi="Arial" w:cs="Arial"/>
                <w:noProof/>
              </w:rPr>
              <w:t>Covid-19 pandemic impact on Sainsbury’s non-financial performance</w:t>
            </w:r>
            <w:r w:rsidRPr="00A5360C">
              <w:rPr>
                <w:rFonts w:ascii="Arial" w:hAnsi="Arial" w:cs="Arial"/>
                <w:noProof/>
                <w:webHidden/>
              </w:rPr>
              <w:tab/>
            </w:r>
            <w:r w:rsidRPr="00A5360C">
              <w:rPr>
                <w:rFonts w:ascii="Arial" w:hAnsi="Arial" w:cs="Arial"/>
                <w:noProof/>
                <w:webHidden/>
              </w:rPr>
              <w:fldChar w:fldCharType="begin"/>
            </w:r>
            <w:r w:rsidRPr="00A5360C">
              <w:rPr>
                <w:rFonts w:ascii="Arial" w:hAnsi="Arial" w:cs="Arial"/>
                <w:noProof/>
                <w:webHidden/>
              </w:rPr>
              <w:instrText xml:space="preserve"> PAGEREF _Toc132476786 \h </w:instrText>
            </w:r>
            <w:r w:rsidRPr="00A5360C">
              <w:rPr>
                <w:rFonts w:ascii="Arial" w:hAnsi="Arial" w:cs="Arial"/>
                <w:noProof/>
                <w:webHidden/>
              </w:rPr>
            </w:r>
            <w:r w:rsidRPr="00A5360C">
              <w:rPr>
                <w:rFonts w:ascii="Arial" w:hAnsi="Arial" w:cs="Arial"/>
                <w:noProof/>
                <w:webHidden/>
              </w:rPr>
              <w:fldChar w:fldCharType="separate"/>
            </w:r>
            <w:r w:rsidRPr="00A5360C">
              <w:rPr>
                <w:rFonts w:ascii="Arial" w:hAnsi="Arial" w:cs="Arial"/>
                <w:noProof/>
                <w:webHidden/>
              </w:rPr>
              <w:t>17</w:t>
            </w:r>
            <w:r w:rsidRPr="00A5360C">
              <w:rPr>
                <w:rFonts w:ascii="Arial" w:hAnsi="Arial" w:cs="Arial"/>
                <w:noProof/>
                <w:webHidden/>
              </w:rPr>
              <w:fldChar w:fldCharType="end"/>
            </w:r>
          </w:hyperlink>
        </w:p>
        <w:p w:rsidR="00A5360C" w:rsidRPr="00A5360C" w:rsidRDefault="00A5360C" w:rsidP="00A5360C">
          <w:pPr>
            <w:pStyle w:val="TOC1"/>
            <w:tabs>
              <w:tab w:val="right" w:leader="dot" w:pos="9060"/>
            </w:tabs>
            <w:spacing w:line="360" w:lineRule="auto"/>
            <w:jc w:val="both"/>
            <w:rPr>
              <w:rFonts w:ascii="Arial" w:eastAsiaTheme="minorEastAsia" w:hAnsi="Arial" w:cs="Arial"/>
              <w:noProof/>
              <w:lang w:eastAsia="en-IN"/>
            </w:rPr>
          </w:pPr>
          <w:hyperlink w:anchor="_Toc132476787" w:history="1">
            <w:r w:rsidRPr="00A5360C">
              <w:rPr>
                <w:rStyle w:val="Hyperlink"/>
                <w:rFonts w:ascii="Arial" w:hAnsi="Arial" w:cs="Arial"/>
                <w:noProof/>
              </w:rPr>
              <w:t>5. Conclusions</w:t>
            </w:r>
            <w:r w:rsidRPr="00A5360C">
              <w:rPr>
                <w:rFonts w:ascii="Arial" w:hAnsi="Arial" w:cs="Arial"/>
                <w:noProof/>
                <w:webHidden/>
              </w:rPr>
              <w:tab/>
            </w:r>
            <w:r w:rsidRPr="00A5360C">
              <w:rPr>
                <w:rFonts w:ascii="Arial" w:hAnsi="Arial" w:cs="Arial"/>
                <w:noProof/>
                <w:webHidden/>
              </w:rPr>
              <w:fldChar w:fldCharType="begin"/>
            </w:r>
            <w:r w:rsidRPr="00A5360C">
              <w:rPr>
                <w:rFonts w:ascii="Arial" w:hAnsi="Arial" w:cs="Arial"/>
                <w:noProof/>
                <w:webHidden/>
              </w:rPr>
              <w:instrText xml:space="preserve"> PAGEREF _Toc132476787 \h </w:instrText>
            </w:r>
            <w:r w:rsidRPr="00A5360C">
              <w:rPr>
                <w:rFonts w:ascii="Arial" w:hAnsi="Arial" w:cs="Arial"/>
                <w:noProof/>
                <w:webHidden/>
              </w:rPr>
            </w:r>
            <w:r w:rsidRPr="00A5360C">
              <w:rPr>
                <w:rFonts w:ascii="Arial" w:hAnsi="Arial" w:cs="Arial"/>
                <w:noProof/>
                <w:webHidden/>
              </w:rPr>
              <w:fldChar w:fldCharType="separate"/>
            </w:r>
            <w:r w:rsidRPr="00A5360C">
              <w:rPr>
                <w:rFonts w:ascii="Arial" w:hAnsi="Arial" w:cs="Arial"/>
                <w:noProof/>
                <w:webHidden/>
              </w:rPr>
              <w:t>18</w:t>
            </w:r>
            <w:r w:rsidRPr="00A5360C">
              <w:rPr>
                <w:rFonts w:ascii="Arial" w:hAnsi="Arial" w:cs="Arial"/>
                <w:noProof/>
                <w:webHidden/>
              </w:rPr>
              <w:fldChar w:fldCharType="end"/>
            </w:r>
          </w:hyperlink>
        </w:p>
        <w:p w:rsidR="00A5360C" w:rsidRPr="00A5360C" w:rsidRDefault="00A5360C" w:rsidP="00A5360C">
          <w:pPr>
            <w:pStyle w:val="TOC1"/>
            <w:tabs>
              <w:tab w:val="right" w:leader="dot" w:pos="9060"/>
            </w:tabs>
            <w:spacing w:line="360" w:lineRule="auto"/>
            <w:jc w:val="both"/>
            <w:rPr>
              <w:rFonts w:ascii="Arial" w:eastAsiaTheme="minorEastAsia" w:hAnsi="Arial" w:cs="Arial"/>
              <w:noProof/>
              <w:lang w:eastAsia="en-IN"/>
            </w:rPr>
          </w:pPr>
          <w:hyperlink w:anchor="_Toc132476788" w:history="1">
            <w:r w:rsidRPr="00A5360C">
              <w:rPr>
                <w:rStyle w:val="Hyperlink"/>
                <w:rFonts w:ascii="Arial" w:hAnsi="Arial" w:cs="Arial"/>
                <w:noProof/>
              </w:rPr>
              <w:t>Reference List</w:t>
            </w:r>
            <w:r w:rsidRPr="00A5360C">
              <w:rPr>
                <w:rFonts w:ascii="Arial" w:hAnsi="Arial" w:cs="Arial"/>
                <w:noProof/>
                <w:webHidden/>
              </w:rPr>
              <w:tab/>
            </w:r>
            <w:r w:rsidRPr="00A5360C">
              <w:rPr>
                <w:rFonts w:ascii="Arial" w:hAnsi="Arial" w:cs="Arial"/>
                <w:noProof/>
                <w:webHidden/>
              </w:rPr>
              <w:fldChar w:fldCharType="begin"/>
            </w:r>
            <w:r w:rsidRPr="00A5360C">
              <w:rPr>
                <w:rFonts w:ascii="Arial" w:hAnsi="Arial" w:cs="Arial"/>
                <w:noProof/>
                <w:webHidden/>
              </w:rPr>
              <w:instrText xml:space="preserve"> PAGEREF _Toc132476788 \h </w:instrText>
            </w:r>
            <w:r w:rsidRPr="00A5360C">
              <w:rPr>
                <w:rFonts w:ascii="Arial" w:hAnsi="Arial" w:cs="Arial"/>
                <w:noProof/>
                <w:webHidden/>
              </w:rPr>
            </w:r>
            <w:r w:rsidRPr="00A5360C">
              <w:rPr>
                <w:rFonts w:ascii="Arial" w:hAnsi="Arial" w:cs="Arial"/>
                <w:noProof/>
                <w:webHidden/>
              </w:rPr>
              <w:fldChar w:fldCharType="separate"/>
            </w:r>
            <w:r w:rsidRPr="00A5360C">
              <w:rPr>
                <w:rFonts w:ascii="Arial" w:hAnsi="Arial" w:cs="Arial"/>
                <w:noProof/>
                <w:webHidden/>
              </w:rPr>
              <w:t>19</w:t>
            </w:r>
            <w:r w:rsidRPr="00A5360C">
              <w:rPr>
                <w:rFonts w:ascii="Arial" w:hAnsi="Arial" w:cs="Arial"/>
                <w:noProof/>
                <w:webHidden/>
              </w:rPr>
              <w:fldChar w:fldCharType="end"/>
            </w:r>
          </w:hyperlink>
        </w:p>
        <w:p w:rsidR="00A5360C" w:rsidRPr="00A5360C" w:rsidRDefault="00A5360C" w:rsidP="00A5360C">
          <w:pPr>
            <w:pStyle w:val="TOC1"/>
            <w:tabs>
              <w:tab w:val="right" w:leader="dot" w:pos="9060"/>
            </w:tabs>
            <w:spacing w:line="360" w:lineRule="auto"/>
            <w:jc w:val="both"/>
            <w:rPr>
              <w:rFonts w:ascii="Arial" w:eastAsiaTheme="minorEastAsia" w:hAnsi="Arial" w:cs="Arial"/>
              <w:noProof/>
              <w:lang w:eastAsia="en-IN"/>
            </w:rPr>
          </w:pPr>
          <w:hyperlink w:anchor="_Toc132476789" w:history="1">
            <w:r w:rsidRPr="00A5360C">
              <w:rPr>
                <w:rStyle w:val="Hyperlink"/>
                <w:rFonts w:ascii="Arial" w:hAnsi="Arial" w:cs="Arial"/>
                <w:noProof/>
              </w:rPr>
              <w:t>Appendices</w:t>
            </w:r>
            <w:r w:rsidRPr="00A5360C">
              <w:rPr>
                <w:rFonts w:ascii="Arial" w:hAnsi="Arial" w:cs="Arial"/>
                <w:noProof/>
                <w:webHidden/>
              </w:rPr>
              <w:tab/>
            </w:r>
            <w:r w:rsidRPr="00A5360C">
              <w:rPr>
                <w:rFonts w:ascii="Arial" w:hAnsi="Arial" w:cs="Arial"/>
                <w:noProof/>
                <w:webHidden/>
              </w:rPr>
              <w:fldChar w:fldCharType="begin"/>
            </w:r>
            <w:r w:rsidRPr="00A5360C">
              <w:rPr>
                <w:rFonts w:ascii="Arial" w:hAnsi="Arial" w:cs="Arial"/>
                <w:noProof/>
                <w:webHidden/>
              </w:rPr>
              <w:instrText xml:space="preserve"> PAGEREF _Toc132476789 \h </w:instrText>
            </w:r>
            <w:r w:rsidRPr="00A5360C">
              <w:rPr>
                <w:rFonts w:ascii="Arial" w:hAnsi="Arial" w:cs="Arial"/>
                <w:noProof/>
                <w:webHidden/>
              </w:rPr>
            </w:r>
            <w:r w:rsidRPr="00A5360C">
              <w:rPr>
                <w:rFonts w:ascii="Arial" w:hAnsi="Arial" w:cs="Arial"/>
                <w:noProof/>
                <w:webHidden/>
              </w:rPr>
              <w:fldChar w:fldCharType="separate"/>
            </w:r>
            <w:r w:rsidRPr="00A5360C">
              <w:rPr>
                <w:rFonts w:ascii="Arial" w:hAnsi="Arial" w:cs="Arial"/>
                <w:noProof/>
                <w:webHidden/>
              </w:rPr>
              <w:t>21</w:t>
            </w:r>
            <w:r w:rsidRPr="00A5360C">
              <w:rPr>
                <w:rFonts w:ascii="Arial" w:hAnsi="Arial" w:cs="Arial"/>
                <w:noProof/>
                <w:webHidden/>
              </w:rPr>
              <w:fldChar w:fldCharType="end"/>
            </w:r>
          </w:hyperlink>
        </w:p>
        <w:p w:rsidR="00A5360C" w:rsidRPr="00A5360C" w:rsidRDefault="00A5360C" w:rsidP="00A5360C">
          <w:pPr>
            <w:pStyle w:val="TOC2"/>
            <w:tabs>
              <w:tab w:val="right" w:leader="dot" w:pos="9060"/>
            </w:tabs>
            <w:spacing w:line="360" w:lineRule="auto"/>
            <w:jc w:val="both"/>
            <w:rPr>
              <w:rFonts w:ascii="Arial" w:eastAsiaTheme="minorEastAsia" w:hAnsi="Arial" w:cs="Arial"/>
              <w:noProof/>
              <w:lang w:eastAsia="en-IN"/>
            </w:rPr>
          </w:pPr>
          <w:hyperlink w:anchor="_Toc132476790" w:history="1">
            <w:r w:rsidRPr="00A5360C">
              <w:rPr>
                <w:rStyle w:val="Hyperlink"/>
                <w:rFonts w:ascii="Arial" w:hAnsi="Arial" w:cs="Arial"/>
                <w:noProof/>
                <w:lang w:val="en-US"/>
              </w:rPr>
              <w:t>Appendix 1: Calculation of financial ratios</w:t>
            </w:r>
            <w:r w:rsidRPr="00A5360C">
              <w:rPr>
                <w:rFonts w:ascii="Arial" w:hAnsi="Arial" w:cs="Arial"/>
                <w:noProof/>
                <w:webHidden/>
              </w:rPr>
              <w:tab/>
            </w:r>
            <w:r w:rsidRPr="00A5360C">
              <w:rPr>
                <w:rFonts w:ascii="Arial" w:hAnsi="Arial" w:cs="Arial"/>
                <w:noProof/>
                <w:webHidden/>
              </w:rPr>
              <w:fldChar w:fldCharType="begin"/>
            </w:r>
            <w:r w:rsidRPr="00A5360C">
              <w:rPr>
                <w:rFonts w:ascii="Arial" w:hAnsi="Arial" w:cs="Arial"/>
                <w:noProof/>
                <w:webHidden/>
              </w:rPr>
              <w:instrText xml:space="preserve"> PAGEREF _Toc132476790 \h </w:instrText>
            </w:r>
            <w:r w:rsidRPr="00A5360C">
              <w:rPr>
                <w:rFonts w:ascii="Arial" w:hAnsi="Arial" w:cs="Arial"/>
                <w:noProof/>
                <w:webHidden/>
              </w:rPr>
            </w:r>
            <w:r w:rsidRPr="00A5360C">
              <w:rPr>
                <w:rFonts w:ascii="Arial" w:hAnsi="Arial" w:cs="Arial"/>
                <w:noProof/>
                <w:webHidden/>
              </w:rPr>
              <w:fldChar w:fldCharType="separate"/>
            </w:r>
            <w:r w:rsidRPr="00A5360C">
              <w:rPr>
                <w:rFonts w:ascii="Arial" w:hAnsi="Arial" w:cs="Arial"/>
                <w:noProof/>
                <w:webHidden/>
              </w:rPr>
              <w:t>21</w:t>
            </w:r>
            <w:r w:rsidRPr="00A5360C">
              <w:rPr>
                <w:rFonts w:ascii="Arial" w:hAnsi="Arial" w:cs="Arial"/>
                <w:noProof/>
                <w:webHidden/>
              </w:rPr>
              <w:fldChar w:fldCharType="end"/>
            </w:r>
          </w:hyperlink>
        </w:p>
        <w:p w:rsidR="00A5360C" w:rsidRPr="00A5360C" w:rsidRDefault="00A5360C" w:rsidP="00A5360C">
          <w:pPr>
            <w:pStyle w:val="TOC2"/>
            <w:tabs>
              <w:tab w:val="right" w:leader="dot" w:pos="9060"/>
            </w:tabs>
            <w:spacing w:line="360" w:lineRule="auto"/>
            <w:jc w:val="both"/>
            <w:rPr>
              <w:rFonts w:ascii="Arial" w:eastAsiaTheme="minorEastAsia" w:hAnsi="Arial" w:cs="Arial"/>
              <w:noProof/>
              <w:lang w:eastAsia="en-IN"/>
            </w:rPr>
          </w:pPr>
          <w:hyperlink w:anchor="_Toc132476791" w:history="1">
            <w:r w:rsidRPr="00A5360C">
              <w:rPr>
                <w:rStyle w:val="Hyperlink"/>
                <w:rFonts w:ascii="Arial" w:hAnsi="Arial" w:cs="Arial"/>
                <w:noProof/>
                <w:lang w:val="en-US"/>
              </w:rPr>
              <w:t>Appendix 2: Financial statements of Sainsbury Plc and Tesco Plc</w:t>
            </w:r>
            <w:r w:rsidRPr="00A5360C">
              <w:rPr>
                <w:rFonts w:ascii="Arial" w:hAnsi="Arial" w:cs="Arial"/>
                <w:noProof/>
                <w:webHidden/>
              </w:rPr>
              <w:tab/>
            </w:r>
            <w:r w:rsidRPr="00A5360C">
              <w:rPr>
                <w:rFonts w:ascii="Arial" w:hAnsi="Arial" w:cs="Arial"/>
                <w:noProof/>
                <w:webHidden/>
              </w:rPr>
              <w:fldChar w:fldCharType="begin"/>
            </w:r>
            <w:r w:rsidRPr="00A5360C">
              <w:rPr>
                <w:rFonts w:ascii="Arial" w:hAnsi="Arial" w:cs="Arial"/>
                <w:noProof/>
                <w:webHidden/>
              </w:rPr>
              <w:instrText xml:space="preserve"> PAGEREF _Toc132476791 \h </w:instrText>
            </w:r>
            <w:r w:rsidRPr="00A5360C">
              <w:rPr>
                <w:rFonts w:ascii="Arial" w:hAnsi="Arial" w:cs="Arial"/>
                <w:noProof/>
                <w:webHidden/>
              </w:rPr>
            </w:r>
            <w:r w:rsidRPr="00A5360C">
              <w:rPr>
                <w:rFonts w:ascii="Arial" w:hAnsi="Arial" w:cs="Arial"/>
                <w:noProof/>
                <w:webHidden/>
              </w:rPr>
              <w:fldChar w:fldCharType="separate"/>
            </w:r>
            <w:r w:rsidRPr="00A5360C">
              <w:rPr>
                <w:rFonts w:ascii="Arial" w:hAnsi="Arial" w:cs="Arial"/>
                <w:noProof/>
                <w:webHidden/>
              </w:rPr>
              <w:t>21</w:t>
            </w:r>
            <w:r w:rsidRPr="00A5360C">
              <w:rPr>
                <w:rFonts w:ascii="Arial" w:hAnsi="Arial" w:cs="Arial"/>
                <w:noProof/>
                <w:webHidden/>
              </w:rPr>
              <w:fldChar w:fldCharType="end"/>
            </w:r>
          </w:hyperlink>
        </w:p>
        <w:p w:rsidR="00A5360C" w:rsidRPr="00A5360C" w:rsidRDefault="00A5360C" w:rsidP="00A5360C">
          <w:pPr>
            <w:spacing w:line="360" w:lineRule="auto"/>
            <w:jc w:val="both"/>
            <w:rPr>
              <w:rFonts w:ascii="Arial" w:hAnsi="Arial" w:cs="Arial"/>
            </w:rPr>
          </w:pPr>
          <w:r w:rsidRPr="00A5360C">
            <w:rPr>
              <w:rFonts w:ascii="Arial" w:hAnsi="Arial" w:cs="Arial"/>
              <w:b/>
              <w:bCs/>
              <w:noProof/>
            </w:rPr>
            <w:fldChar w:fldCharType="end"/>
          </w:r>
        </w:p>
      </w:sdtContent>
    </w:sdt>
    <w:p w:rsidR="00CF15BB" w:rsidRPr="005372D0" w:rsidRDefault="00CF15BB" w:rsidP="005372D0">
      <w:pPr>
        <w:spacing w:line="360" w:lineRule="auto"/>
        <w:jc w:val="both"/>
        <w:rPr>
          <w:rFonts w:ascii="Arial" w:hAnsi="Arial" w:cs="Arial"/>
          <w:lang w:val="en-US"/>
        </w:rPr>
      </w:pPr>
    </w:p>
    <w:p w:rsidR="00186D8C" w:rsidRPr="005372D0" w:rsidRDefault="00C23A2A" w:rsidP="005372D0">
      <w:pPr>
        <w:spacing w:line="360" w:lineRule="auto"/>
        <w:rPr>
          <w:rFonts w:ascii="Arial" w:eastAsiaTheme="majorEastAsia" w:hAnsi="Arial" w:cs="Arial"/>
          <w:b/>
        </w:rPr>
      </w:pPr>
      <w:r w:rsidRPr="005372D0">
        <w:rPr>
          <w:rFonts w:ascii="Arial" w:hAnsi="Arial" w:cs="Arial"/>
        </w:rPr>
        <w:br w:type="page"/>
      </w:r>
    </w:p>
    <w:p w:rsidR="009B3C2D" w:rsidRPr="005372D0" w:rsidRDefault="00C23A2A" w:rsidP="005372D0">
      <w:pPr>
        <w:pStyle w:val="Heading1"/>
      </w:pPr>
      <w:bookmarkStart w:id="2" w:name="_Toc132397980"/>
      <w:bookmarkStart w:id="3" w:name="_Toc132476777"/>
      <w:r w:rsidRPr="005372D0">
        <w:lastRenderedPageBreak/>
        <w:t>1. Introduction</w:t>
      </w:r>
      <w:bookmarkEnd w:id="2"/>
      <w:bookmarkEnd w:id="3"/>
      <w:r w:rsidR="00CF15BB" w:rsidRPr="005372D0">
        <w:t xml:space="preserve"> </w:t>
      </w:r>
      <w:r w:rsidR="001C29FC" w:rsidRPr="005372D0">
        <w:tab/>
      </w:r>
    </w:p>
    <w:p w:rsidR="00BF224A" w:rsidRPr="005372D0" w:rsidRDefault="00C23A2A" w:rsidP="005372D0">
      <w:pPr>
        <w:spacing w:line="360" w:lineRule="auto"/>
        <w:jc w:val="both"/>
        <w:rPr>
          <w:rFonts w:ascii="Arial" w:hAnsi="Arial" w:cs="Arial"/>
        </w:rPr>
      </w:pPr>
      <w:r w:rsidRPr="005372D0">
        <w:rPr>
          <w:rFonts w:ascii="Arial" w:hAnsi="Arial" w:cs="Arial"/>
        </w:rPr>
        <w:t>From a corporate standpoint, managing financial performance becomes crucial since it promotes growth and gives insight into the future decisions</w:t>
      </w:r>
      <w:r w:rsidR="00941A94" w:rsidRPr="005372D0">
        <w:rPr>
          <w:rFonts w:ascii="Arial" w:hAnsi="Arial" w:cs="Arial"/>
        </w:rPr>
        <w:t xml:space="preserve"> of the business corporation</w:t>
      </w:r>
      <w:r w:rsidRPr="005372D0">
        <w:rPr>
          <w:rFonts w:ascii="Arial" w:hAnsi="Arial" w:cs="Arial"/>
        </w:rPr>
        <w:t xml:space="preserve">. </w:t>
      </w:r>
      <w:r w:rsidR="00941A94" w:rsidRPr="005372D0">
        <w:rPr>
          <w:rFonts w:ascii="Arial" w:hAnsi="Arial" w:cs="Arial"/>
        </w:rPr>
        <w:t>Evolving with this implication, the existing assignment is constituted to evaluate the financial performance management of the United Kingdom (UK) based business company namely J Sainsbury Plc. Sainsbury has organis</w:t>
      </w:r>
      <w:r w:rsidRPr="005372D0">
        <w:rPr>
          <w:rFonts w:ascii="Arial" w:hAnsi="Arial" w:cs="Arial"/>
        </w:rPr>
        <w:t xml:space="preserve">ed its business operations by dividing its product </w:t>
      </w:r>
      <w:r w:rsidR="00941A94" w:rsidRPr="005372D0">
        <w:rPr>
          <w:rFonts w:ascii="Arial" w:hAnsi="Arial" w:cs="Arial"/>
        </w:rPr>
        <w:t>and service base into three</w:t>
      </w:r>
      <w:r w:rsidRPr="005372D0">
        <w:rPr>
          <w:rFonts w:ascii="Arial" w:hAnsi="Arial" w:cs="Arial"/>
        </w:rPr>
        <w:t xml:space="preserve"> main categories, including</w:t>
      </w:r>
      <w:r w:rsidR="00941A94" w:rsidRPr="005372D0">
        <w:rPr>
          <w:rFonts w:ascii="Arial" w:hAnsi="Arial" w:cs="Arial"/>
        </w:rPr>
        <w:t xml:space="preserve"> Sainsbury's Supermarkets Ltd (Comprising convenience shops), Argos, and Sainsbury's Bank</w:t>
      </w:r>
      <w:r w:rsidRPr="005372D0">
        <w:rPr>
          <w:rFonts w:ascii="Arial" w:hAnsi="Arial" w:cs="Arial"/>
        </w:rPr>
        <w:t>. Additionally, the company has expanded it</w:t>
      </w:r>
      <w:r w:rsidR="00B353A1" w:rsidRPr="005372D0">
        <w:rPr>
          <w:rFonts w:ascii="Arial" w:hAnsi="Arial" w:cs="Arial"/>
        </w:rPr>
        <w:t>s operations to over 1,400 various locations in the nation</w:t>
      </w:r>
      <w:r w:rsidRPr="005372D0">
        <w:rPr>
          <w:rFonts w:ascii="Arial" w:hAnsi="Arial" w:cs="Arial"/>
        </w:rPr>
        <w:t xml:space="preserve">. </w:t>
      </w:r>
      <w:r w:rsidR="00B353A1" w:rsidRPr="005372D0">
        <w:rPr>
          <w:rFonts w:ascii="Arial" w:hAnsi="Arial" w:cs="Arial"/>
        </w:rPr>
        <w:t>In association with over £ 29,895 Billion in</w:t>
      </w:r>
      <w:r w:rsidRPr="005372D0">
        <w:rPr>
          <w:rFonts w:ascii="Arial" w:hAnsi="Arial" w:cs="Arial"/>
        </w:rPr>
        <w:t xml:space="preserve"> </w:t>
      </w:r>
      <w:r w:rsidR="00B353A1" w:rsidRPr="005372D0">
        <w:rPr>
          <w:rFonts w:ascii="Arial" w:hAnsi="Arial" w:cs="Arial"/>
        </w:rPr>
        <w:t>revenue, Sainsbury Plc</w:t>
      </w:r>
      <w:r w:rsidRPr="005372D0">
        <w:rPr>
          <w:rFonts w:ascii="Arial" w:hAnsi="Arial" w:cs="Arial"/>
        </w:rPr>
        <w:t xml:space="preserve"> has risen to the p</w:t>
      </w:r>
      <w:r w:rsidR="00B353A1" w:rsidRPr="005372D0">
        <w:rPr>
          <w:rFonts w:ascii="Arial" w:hAnsi="Arial" w:cs="Arial"/>
        </w:rPr>
        <w:t>osition of the second</w:t>
      </w:r>
      <w:r w:rsidRPr="005372D0">
        <w:rPr>
          <w:rFonts w:ascii="Arial" w:hAnsi="Arial" w:cs="Arial"/>
        </w:rPr>
        <w:t>-largest</w:t>
      </w:r>
      <w:r w:rsidR="00B353A1" w:rsidRPr="005372D0">
        <w:rPr>
          <w:rFonts w:ascii="Arial" w:hAnsi="Arial" w:cs="Arial"/>
        </w:rPr>
        <w:t xml:space="preserve"> supermarket chain in the United Kingdom</w:t>
      </w:r>
      <w:r w:rsidRPr="005372D0">
        <w:rPr>
          <w:rFonts w:ascii="Arial" w:hAnsi="Arial" w:cs="Arial"/>
        </w:rPr>
        <w:t>. However, the unexpected Covid-19 pandemic outbreak has also had an impact on the organisation's financial performance, as pandem</w:t>
      </w:r>
      <w:r w:rsidR="00737FE7" w:rsidRPr="005372D0">
        <w:rPr>
          <w:rFonts w:ascii="Arial" w:hAnsi="Arial" w:cs="Arial"/>
        </w:rPr>
        <w:t xml:space="preserve">ic-related restrictions pose a significant </w:t>
      </w:r>
      <w:r w:rsidRPr="005372D0">
        <w:rPr>
          <w:rFonts w:ascii="Arial" w:hAnsi="Arial" w:cs="Arial"/>
        </w:rPr>
        <w:t xml:space="preserve">impact on the operation by limiting the local staff and their sales channels. As a result, Sainsbury Plc's financial performance has declined in recent years. </w:t>
      </w:r>
    </w:p>
    <w:p w:rsidR="008C2DF1" w:rsidRPr="005372D0" w:rsidRDefault="00C23A2A" w:rsidP="005372D0">
      <w:pPr>
        <w:spacing w:line="360" w:lineRule="auto"/>
        <w:jc w:val="both"/>
        <w:rPr>
          <w:rFonts w:ascii="Arial" w:hAnsi="Arial" w:cs="Arial"/>
        </w:rPr>
      </w:pPr>
      <w:r w:rsidRPr="005372D0">
        <w:rPr>
          <w:rFonts w:ascii="Arial" w:hAnsi="Arial" w:cs="Arial"/>
        </w:rPr>
        <w:t>The existing assignment hence intends to critically assess Sainsbury Plc</w:t>
      </w:r>
      <w:r w:rsidR="00A02ADD" w:rsidRPr="005372D0">
        <w:rPr>
          <w:rFonts w:ascii="Arial" w:hAnsi="Arial" w:cs="Arial"/>
        </w:rPr>
        <w:t>'s management of its financi</w:t>
      </w:r>
      <w:r w:rsidR="000E00BC" w:rsidRPr="005372D0">
        <w:rPr>
          <w:rFonts w:ascii="Arial" w:hAnsi="Arial" w:cs="Arial"/>
        </w:rPr>
        <w:t>al performance over the recent</w:t>
      </w:r>
      <w:r w:rsidR="00A02ADD" w:rsidRPr="005372D0">
        <w:rPr>
          <w:rFonts w:ascii="Arial" w:hAnsi="Arial" w:cs="Arial"/>
        </w:rPr>
        <w:t xml:space="preserve"> two years</w:t>
      </w:r>
      <w:r w:rsidR="000E00BC" w:rsidRPr="005372D0">
        <w:rPr>
          <w:rFonts w:ascii="Arial" w:hAnsi="Arial" w:cs="Arial"/>
        </w:rPr>
        <w:t xml:space="preserve"> of 2021 and 2022</w:t>
      </w:r>
      <w:r w:rsidR="00A02ADD" w:rsidRPr="005372D0">
        <w:rPr>
          <w:rFonts w:ascii="Arial" w:hAnsi="Arial" w:cs="Arial"/>
        </w:rPr>
        <w:t xml:space="preserve">. In this regard, the report's analysis of the financial performance has a particular focus on </w:t>
      </w:r>
      <w:r w:rsidR="000E00BC" w:rsidRPr="005372D0">
        <w:rPr>
          <w:rFonts w:ascii="Arial" w:hAnsi="Arial" w:cs="Arial"/>
        </w:rPr>
        <w:t>profitability</w:t>
      </w:r>
      <w:r w:rsidR="00A02ADD" w:rsidRPr="005372D0">
        <w:rPr>
          <w:rFonts w:ascii="Arial" w:hAnsi="Arial" w:cs="Arial"/>
        </w:rPr>
        <w:t xml:space="preserve"> and liquidity through ratio computations. The ana</w:t>
      </w:r>
      <w:r w:rsidR="000E00BC" w:rsidRPr="005372D0">
        <w:rPr>
          <w:rFonts w:ascii="Arial" w:hAnsi="Arial" w:cs="Arial"/>
        </w:rPr>
        <w:t>lysis has also examined Sainsbury Plc</w:t>
      </w:r>
      <w:r w:rsidR="00A02ADD" w:rsidRPr="005372D0">
        <w:rPr>
          <w:rFonts w:ascii="Arial" w:hAnsi="Arial" w:cs="Arial"/>
        </w:rPr>
        <w:t xml:space="preserve">'s financial performance in comparison to </w:t>
      </w:r>
      <w:r w:rsidR="000E00BC" w:rsidRPr="005372D0">
        <w:rPr>
          <w:rFonts w:ascii="Arial" w:hAnsi="Arial" w:cs="Arial"/>
        </w:rPr>
        <w:t>one of its principal rivals, Tesco Plc</w:t>
      </w:r>
      <w:r w:rsidR="00A02ADD" w:rsidRPr="005372D0">
        <w:rPr>
          <w:rFonts w:ascii="Arial" w:hAnsi="Arial" w:cs="Arial"/>
        </w:rPr>
        <w:t>. The research also examined how t</w:t>
      </w:r>
      <w:r w:rsidR="000E00BC" w:rsidRPr="005372D0">
        <w:rPr>
          <w:rFonts w:ascii="Arial" w:hAnsi="Arial" w:cs="Arial"/>
        </w:rPr>
        <w:t>he epidemic affected the organis</w:t>
      </w:r>
      <w:r w:rsidR="00A02ADD" w:rsidRPr="005372D0">
        <w:rPr>
          <w:rFonts w:ascii="Arial" w:hAnsi="Arial" w:cs="Arial"/>
        </w:rPr>
        <w:t xml:space="preserve">ation's financial </w:t>
      </w:r>
      <w:r w:rsidR="000E00BC" w:rsidRPr="005372D0">
        <w:rPr>
          <w:rFonts w:ascii="Arial" w:hAnsi="Arial" w:cs="Arial"/>
        </w:rPr>
        <w:t xml:space="preserve">and non-financial </w:t>
      </w:r>
      <w:r w:rsidR="00A02ADD" w:rsidRPr="005372D0">
        <w:rPr>
          <w:rFonts w:ascii="Arial" w:hAnsi="Arial" w:cs="Arial"/>
        </w:rPr>
        <w:t>performance. The research also discusses the possibility of enhancing performance through the creation of improved strategic objectives.</w:t>
      </w:r>
    </w:p>
    <w:p w:rsidR="009B3C2D" w:rsidRPr="005372D0" w:rsidRDefault="00C23A2A" w:rsidP="005372D0">
      <w:pPr>
        <w:pStyle w:val="Heading1"/>
      </w:pPr>
      <w:bookmarkStart w:id="4" w:name="_Toc132397981"/>
      <w:bookmarkStart w:id="5" w:name="_Toc132476778"/>
      <w:r w:rsidRPr="005372D0">
        <w:t>2. Financial position considering ratio evaluation</w:t>
      </w:r>
      <w:bookmarkEnd w:id="4"/>
      <w:bookmarkEnd w:id="5"/>
      <w:r w:rsidRPr="005372D0">
        <w:t xml:space="preserve"> </w:t>
      </w:r>
    </w:p>
    <w:p w:rsidR="00AF5FD5" w:rsidRPr="005372D0" w:rsidRDefault="00C23A2A" w:rsidP="005372D0">
      <w:pPr>
        <w:pStyle w:val="Heading2"/>
      </w:pPr>
      <w:bookmarkStart w:id="6" w:name="_Toc132397982"/>
      <w:bookmarkStart w:id="7" w:name="_Toc132476779"/>
      <w:r w:rsidRPr="005372D0">
        <w:t>Overview of the selected companies</w:t>
      </w:r>
      <w:bookmarkEnd w:id="6"/>
      <w:bookmarkEnd w:id="7"/>
    </w:p>
    <w:p w:rsidR="00354C24" w:rsidRPr="00354C24" w:rsidRDefault="00C23A2A" w:rsidP="005372D0">
      <w:pPr>
        <w:spacing w:before="240" w:after="240" w:line="360" w:lineRule="auto"/>
        <w:jc w:val="both"/>
        <w:rPr>
          <w:rFonts w:ascii="Arial" w:eastAsia="Times New Roman" w:hAnsi="Arial" w:cs="Arial"/>
          <w:lang w:eastAsia="en-IN"/>
        </w:rPr>
      </w:pPr>
      <w:bookmarkStart w:id="8" w:name="_Toc132397983"/>
      <w:r w:rsidRPr="00354C24">
        <w:rPr>
          <w:rFonts w:ascii="Arial" w:eastAsia="Times New Roman" w:hAnsi="Arial" w:cs="Arial"/>
          <w:color w:val="000000"/>
          <w:lang w:eastAsia="en-IN"/>
        </w:rPr>
        <w:t>In association with the comparable business structures and product offers, Tesco and Sainsbury identify as two of the biggest supermarket chain rivals within the premises of the UK.</w:t>
      </w:r>
    </w:p>
    <w:p w:rsidR="00354C24" w:rsidRPr="00354C24" w:rsidRDefault="00C23A2A" w:rsidP="005372D0">
      <w:pPr>
        <w:spacing w:before="240" w:after="240" w:line="360" w:lineRule="auto"/>
        <w:jc w:val="both"/>
        <w:rPr>
          <w:rFonts w:ascii="Arial" w:eastAsia="Times New Roman" w:hAnsi="Arial" w:cs="Arial"/>
          <w:lang w:eastAsia="en-IN"/>
        </w:rPr>
      </w:pPr>
      <w:r w:rsidRPr="00354C24">
        <w:rPr>
          <w:rFonts w:ascii="Arial" w:eastAsia="Times New Roman" w:hAnsi="Arial" w:cs="Arial"/>
          <w:color w:val="000000"/>
          <w:lang w:eastAsia="en-IN"/>
        </w:rPr>
        <w:t>Sainsbury was founded in 1869 by John James Sainsbury and serves as a British supermarket chain. It has more than 1,400 stores and employs some 178,000 people. Today, Sainsbury holds 15.8% of the market share structure making it the second-largest grocery company in the UK</w:t>
      </w:r>
      <w:r w:rsidR="002954FD">
        <w:rPr>
          <w:rFonts w:ascii="Arial" w:eastAsia="Times New Roman" w:hAnsi="Arial" w:cs="Arial"/>
          <w:color w:val="000000"/>
          <w:lang w:eastAsia="en-IN"/>
        </w:rPr>
        <w:t xml:space="preserve"> (</w:t>
      </w:r>
      <w:r w:rsidR="002954FD" w:rsidRPr="00EE6B78">
        <w:rPr>
          <w:rFonts w:ascii="Arial" w:eastAsia="Times New Roman" w:hAnsi="Arial" w:cs="Arial"/>
          <w:iCs/>
          <w:lang w:eastAsia="en-IN"/>
        </w:rPr>
        <w:t>Sainsbury | About Us</w:t>
      </w:r>
      <w:r w:rsidR="002954FD">
        <w:rPr>
          <w:rFonts w:ascii="Arial" w:eastAsia="Times New Roman" w:hAnsi="Arial" w:cs="Arial"/>
          <w:lang w:eastAsia="en-IN"/>
        </w:rPr>
        <w:t xml:space="preserve">, </w:t>
      </w:r>
      <w:r w:rsidR="002954FD" w:rsidRPr="00EE6B78">
        <w:rPr>
          <w:rFonts w:ascii="Arial" w:eastAsia="Times New Roman" w:hAnsi="Arial" w:cs="Arial"/>
          <w:lang w:eastAsia="en-IN"/>
        </w:rPr>
        <w:t>2023)</w:t>
      </w:r>
      <w:r w:rsidRPr="00354C24">
        <w:rPr>
          <w:rFonts w:ascii="Arial" w:eastAsia="Times New Roman" w:hAnsi="Arial" w:cs="Arial"/>
          <w:color w:val="000000"/>
          <w:lang w:eastAsia="en-IN"/>
        </w:rPr>
        <w:t>. In addition to groceries, the company sells a variety of things including apparel, and household goods. On the other side Jack Cohen in 1919 created Tesco, another large-scale international grocery business in the United Kingdom. It has more than 6,800 stores worldwide and employs almost 450,000 people, making it the biggest supermarket chain in the UK with a market share of 27.4%</w:t>
      </w:r>
      <w:r w:rsidR="002954FD">
        <w:rPr>
          <w:rFonts w:ascii="Arial" w:eastAsia="Times New Roman" w:hAnsi="Arial" w:cs="Arial"/>
          <w:color w:val="000000"/>
          <w:lang w:eastAsia="en-IN"/>
        </w:rPr>
        <w:t xml:space="preserve"> (</w:t>
      </w:r>
      <w:r w:rsidR="002954FD" w:rsidRPr="00EE6B78">
        <w:rPr>
          <w:rFonts w:ascii="Arial" w:eastAsia="Times New Roman" w:hAnsi="Arial" w:cs="Arial"/>
          <w:iCs/>
          <w:lang w:eastAsia="en-IN"/>
        </w:rPr>
        <w:t>Tesco Plc | About Us</w:t>
      </w:r>
      <w:r w:rsidR="002954FD">
        <w:rPr>
          <w:rFonts w:ascii="Arial" w:eastAsia="Times New Roman" w:hAnsi="Arial" w:cs="Arial"/>
          <w:lang w:eastAsia="en-IN"/>
        </w:rPr>
        <w:t xml:space="preserve">, </w:t>
      </w:r>
      <w:r w:rsidR="002954FD" w:rsidRPr="00EE6B78">
        <w:rPr>
          <w:rFonts w:ascii="Arial" w:eastAsia="Times New Roman" w:hAnsi="Arial" w:cs="Arial"/>
          <w:lang w:eastAsia="en-IN"/>
        </w:rPr>
        <w:t>2023)</w:t>
      </w:r>
      <w:r w:rsidRPr="00354C24">
        <w:rPr>
          <w:rFonts w:ascii="Arial" w:eastAsia="Times New Roman" w:hAnsi="Arial" w:cs="Arial"/>
          <w:color w:val="000000"/>
          <w:lang w:eastAsia="en-IN"/>
        </w:rPr>
        <w:t xml:space="preserve">. The </w:t>
      </w:r>
      <w:r w:rsidRPr="00354C24">
        <w:rPr>
          <w:rFonts w:ascii="Arial" w:eastAsia="Times New Roman" w:hAnsi="Arial" w:cs="Arial"/>
          <w:color w:val="000000"/>
          <w:lang w:eastAsia="en-IN"/>
        </w:rPr>
        <w:lastRenderedPageBreak/>
        <w:t>corporation provides a variety of goods, including food, apparel, electronics, and financial services.</w:t>
      </w:r>
    </w:p>
    <w:p w:rsidR="00354C24" w:rsidRPr="00354C24" w:rsidRDefault="00C23A2A" w:rsidP="005372D0">
      <w:pPr>
        <w:spacing w:before="240" w:after="240" w:line="360" w:lineRule="auto"/>
        <w:jc w:val="both"/>
        <w:rPr>
          <w:rFonts w:ascii="Arial" w:eastAsia="Times New Roman" w:hAnsi="Arial" w:cs="Arial"/>
          <w:lang w:eastAsia="en-IN"/>
        </w:rPr>
      </w:pPr>
      <w:r w:rsidRPr="00354C24">
        <w:rPr>
          <w:rFonts w:ascii="Arial" w:eastAsia="Times New Roman" w:hAnsi="Arial" w:cs="Arial"/>
          <w:color w:val="000000"/>
          <w:lang w:eastAsia="en-IN"/>
        </w:rPr>
        <w:t>Sainsbury's and Tesco operate in the same sector of the grocery retail market</w:t>
      </w:r>
      <w:r w:rsidR="001140D1">
        <w:rPr>
          <w:rFonts w:ascii="Arial" w:eastAsia="Times New Roman" w:hAnsi="Arial" w:cs="Arial"/>
          <w:color w:val="000000"/>
          <w:lang w:eastAsia="en-IN"/>
        </w:rPr>
        <w:t xml:space="preserve"> (</w:t>
      </w:r>
      <w:r w:rsidR="001140D1">
        <w:rPr>
          <w:rFonts w:ascii="Arial" w:hAnsi="Arial" w:cs="Arial"/>
          <w:color w:val="222222"/>
          <w:shd w:val="clear" w:color="auto" w:fill="FFFFFF"/>
        </w:rPr>
        <w:t xml:space="preserve">Upadhyay </w:t>
      </w:r>
      <w:r w:rsidR="001140D1" w:rsidRPr="001140D1">
        <w:rPr>
          <w:rFonts w:ascii="Arial" w:hAnsi="Arial" w:cs="Arial"/>
          <w:i/>
          <w:color w:val="222222"/>
          <w:shd w:val="clear" w:color="auto" w:fill="FFFFFF"/>
        </w:rPr>
        <w:t xml:space="preserve">et al. </w:t>
      </w:r>
      <w:r w:rsidR="001140D1" w:rsidRPr="00EE6B78">
        <w:rPr>
          <w:rFonts w:ascii="Arial" w:hAnsi="Arial" w:cs="Arial"/>
          <w:color w:val="222222"/>
          <w:shd w:val="clear" w:color="auto" w:fill="FFFFFF"/>
        </w:rPr>
        <w:t>2021</w:t>
      </w:r>
      <w:r w:rsidR="001140D1">
        <w:rPr>
          <w:rFonts w:ascii="Arial" w:hAnsi="Arial" w:cs="Arial"/>
          <w:color w:val="222222"/>
          <w:shd w:val="clear" w:color="auto" w:fill="FFFFFF"/>
        </w:rPr>
        <w:t>)</w:t>
      </w:r>
      <w:r w:rsidRPr="00354C24">
        <w:rPr>
          <w:rFonts w:ascii="Arial" w:eastAsia="Times New Roman" w:hAnsi="Arial" w:cs="Arial"/>
          <w:color w:val="000000"/>
          <w:lang w:eastAsia="en-IN"/>
        </w:rPr>
        <w:t>. They compete against a wide range of businesses, including Aldi, Lidl, Asda, and Morrisons, in a very competitive market. However, the five forces model is considered to determine how the two selected organisations belong to similar industries and affect by diverse factors given below.</w:t>
      </w:r>
    </w:p>
    <w:p w:rsidR="00354C24" w:rsidRPr="00354C24" w:rsidRDefault="00C23A2A" w:rsidP="005372D0">
      <w:pPr>
        <w:spacing w:before="240" w:after="240" w:line="360" w:lineRule="auto"/>
        <w:jc w:val="both"/>
        <w:rPr>
          <w:rFonts w:ascii="Arial" w:eastAsia="Times New Roman" w:hAnsi="Arial" w:cs="Arial"/>
          <w:lang w:eastAsia="en-IN"/>
        </w:rPr>
      </w:pPr>
      <w:r w:rsidRPr="00354C24">
        <w:rPr>
          <w:rFonts w:ascii="Arial" w:eastAsia="Times New Roman" w:hAnsi="Arial" w:cs="Arial"/>
          <w:b/>
          <w:bCs/>
          <w:i/>
          <w:iCs/>
          <w:color w:val="000000"/>
          <w:lang w:eastAsia="en-IN"/>
        </w:rPr>
        <w:t>Competitive rivalry:</w:t>
      </w:r>
      <w:r w:rsidRPr="00354C24">
        <w:rPr>
          <w:rFonts w:ascii="Arial" w:eastAsia="Times New Roman" w:hAnsi="Arial" w:cs="Arial"/>
          <w:color w:val="000000"/>
          <w:lang w:eastAsia="en-IN"/>
        </w:rPr>
        <w:t xml:space="preserve"> Sainsbury's and Tesco engage in price wars and promotional offers to entice customers as a result of their fierce competition with one another and other businesses in the sector</w:t>
      </w:r>
      <w:r w:rsidR="001140D1">
        <w:rPr>
          <w:rFonts w:ascii="Arial" w:eastAsia="Times New Roman" w:hAnsi="Arial" w:cs="Arial"/>
          <w:color w:val="000000"/>
          <w:lang w:eastAsia="en-IN"/>
        </w:rPr>
        <w:t xml:space="preserve"> (</w:t>
      </w:r>
      <w:r w:rsidR="001140D1" w:rsidRPr="00EE6B78">
        <w:rPr>
          <w:rFonts w:ascii="Arial" w:hAnsi="Arial" w:cs="Arial"/>
          <w:color w:val="222222"/>
          <w:shd w:val="clear" w:color="auto" w:fill="FFFFFF"/>
        </w:rPr>
        <w:t>Vla</w:t>
      </w:r>
      <w:r w:rsidR="001140D1">
        <w:rPr>
          <w:rFonts w:ascii="Arial" w:hAnsi="Arial" w:cs="Arial"/>
          <w:color w:val="222222"/>
          <w:shd w:val="clear" w:color="auto" w:fill="FFFFFF"/>
        </w:rPr>
        <w:t xml:space="preserve">dos and Chatzinikolaou, </w:t>
      </w:r>
      <w:r w:rsidR="001140D1" w:rsidRPr="00EE6B78">
        <w:rPr>
          <w:rFonts w:ascii="Arial" w:hAnsi="Arial" w:cs="Arial"/>
          <w:color w:val="222222"/>
          <w:shd w:val="clear" w:color="auto" w:fill="FFFFFF"/>
        </w:rPr>
        <w:t>2019</w:t>
      </w:r>
      <w:r w:rsidR="001140D1">
        <w:rPr>
          <w:rFonts w:ascii="Arial" w:hAnsi="Arial" w:cs="Arial"/>
          <w:color w:val="222222"/>
          <w:shd w:val="clear" w:color="auto" w:fill="FFFFFF"/>
        </w:rPr>
        <w:t>)</w:t>
      </w:r>
      <w:r w:rsidRPr="00354C24">
        <w:rPr>
          <w:rFonts w:ascii="Arial" w:eastAsia="Times New Roman" w:hAnsi="Arial" w:cs="Arial"/>
          <w:color w:val="000000"/>
          <w:lang w:eastAsia="en-IN"/>
        </w:rPr>
        <w:t>.</w:t>
      </w:r>
    </w:p>
    <w:p w:rsidR="00354C24" w:rsidRPr="00354C24" w:rsidRDefault="00C23A2A" w:rsidP="005372D0">
      <w:pPr>
        <w:spacing w:before="240" w:after="240" w:line="360" w:lineRule="auto"/>
        <w:jc w:val="both"/>
        <w:rPr>
          <w:rFonts w:ascii="Arial" w:eastAsia="Times New Roman" w:hAnsi="Arial" w:cs="Arial"/>
          <w:lang w:eastAsia="en-IN"/>
        </w:rPr>
      </w:pPr>
      <w:r w:rsidRPr="00354C24">
        <w:rPr>
          <w:rFonts w:ascii="Arial" w:eastAsia="Times New Roman" w:hAnsi="Arial" w:cs="Arial"/>
          <w:b/>
          <w:bCs/>
          <w:i/>
          <w:iCs/>
          <w:color w:val="000000"/>
          <w:lang w:eastAsia="en-IN"/>
        </w:rPr>
        <w:t xml:space="preserve">The threat of New Entrants: </w:t>
      </w:r>
      <w:r w:rsidRPr="00354C24">
        <w:rPr>
          <w:rFonts w:ascii="Arial" w:eastAsia="Times New Roman" w:hAnsi="Arial" w:cs="Arial"/>
          <w:color w:val="000000"/>
          <w:lang w:eastAsia="en-IN"/>
        </w:rPr>
        <w:t>The retail industry has high entry barriers because it costs a lot of money to launch a new grocery chain. As a result, the threat of new entrants is constrained.</w:t>
      </w:r>
    </w:p>
    <w:p w:rsidR="00354C24" w:rsidRPr="00354C24" w:rsidRDefault="00C23A2A" w:rsidP="005372D0">
      <w:pPr>
        <w:spacing w:before="240" w:after="240" w:line="360" w:lineRule="auto"/>
        <w:jc w:val="both"/>
        <w:rPr>
          <w:rFonts w:ascii="Arial" w:eastAsia="Times New Roman" w:hAnsi="Arial" w:cs="Arial"/>
          <w:lang w:eastAsia="en-IN"/>
        </w:rPr>
      </w:pPr>
      <w:r w:rsidRPr="00354C24">
        <w:rPr>
          <w:rFonts w:ascii="Arial" w:eastAsia="Times New Roman" w:hAnsi="Arial" w:cs="Arial"/>
          <w:b/>
          <w:bCs/>
          <w:i/>
          <w:iCs/>
          <w:color w:val="000000"/>
          <w:lang w:eastAsia="en-IN"/>
        </w:rPr>
        <w:t>The threat of Substitutes:</w:t>
      </w:r>
      <w:r w:rsidRPr="00354C24">
        <w:rPr>
          <w:rFonts w:ascii="Arial" w:eastAsia="Times New Roman" w:hAnsi="Arial" w:cs="Arial"/>
          <w:color w:val="000000"/>
          <w:lang w:eastAsia="en-IN"/>
        </w:rPr>
        <w:t xml:space="preserve"> Customers have a wide range of grocery shopping options, including local markets and internet shops, raising the risk of substitutes</w:t>
      </w:r>
      <w:r w:rsidR="00760CE0">
        <w:rPr>
          <w:rFonts w:ascii="Arial" w:eastAsia="Times New Roman" w:hAnsi="Arial" w:cs="Arial"/>
          <w:color w:val="000000"/>
          <w:lang w:eastAsia="en-IN"/>
        </w:rPr>
        <w:t xml:space="preserve"> (</w:t>
      </w:r>
      <w:r w:rsidR="00760CE0" w:rsidRPr="00EE6B78">
        <w:rPr>
          <w:rFonts w:ascii="Arial" w:hAnsi="Arial" w:cs="Arial"/>
          <w:color w:val="222222"/>
          <w:shd w:val="clear" w:color="auto" w:fill="FFFFFF"/>
        </w:rPr>
        <w:t>Anastasiu</w:t>
      </w:r>
      <w:r w:rsidR="00760CE0">
        <w:rPr>
          <w:rFonts w:ascii="Arial" w:hAnsi="Arial" w:cs="Arial"/>
          <w:color w:val="222222"/>
          <w:shd w:val="clear" w:color="auto" w:fill="FFFFFF"/>
        </w:rPr>
        <w:t xml:space="preserve"> </w:t>
      </w:r>
      <w:r w:rsidR="00760CE0" w:rsidRPr="00760CE0">
        <w:rPr>
          <w:rFonts w:ascii="Arial" w:hAnsi="Arial" w:cs="Arial"/>
          <w:i/>
          <w:color w:val="222222"/>
          <w:shd w:val="clear" w:color="auto" w:fill="FFFFFF"/>
        </w:rPr>
        <w:t>et al.</w:t>
      </w:r>
      <w:r w:rsidR="00760CE0">
        <w:rPr>
          <w:rFonts w:ascii="Arial" w:hAnsi="Arial" w:cs="Arial"/>
          <w:color w:val="222222"/>
          <w:shd w:val="clear" w:color="auto" w:fill="FFFFFF"/>
        </w:rPr>
        <w:t xml:space="preserve"> </w:t>
      </w:r>
      <w:r w:rsidR="00760CE0" w:rsidRPr="00EE6B78">
        <w:rPr>
          <w:rFonts w:ascii="Arial" w:hAnsi="Arial" w:cs="Arial"/>
          <w:color w:val="222222"/>
          <w:shd w:val="clear" w:color="auto" w:fill="FFFFFF"/>
        </w:rPr>
        <w:t>2020</w:t>
      </w:r>
      <w:r w:rsidR="00760CE0">
        <w:rPr>
          <w:rFonts w:ascii="Arial" w:hAnsi="Arial" w:cs="Arial"/>
          <w:color w:val="222222"/>
          <w:shd w:val="clear" w:color="auto" w:fill="FFFFFF"/>
        </w:rPr>
        <w:t>)</w:t>
      </w:r>
      <w:r w:rsidRPr="00354C24">
        <w:rPr>
          <w:rFonts w:ascii="Arial" w:eastAsia="Times New Roman" w:hAnsi="Arial" w:cs="Arial"/>
          <w:color w:val="000000"/>
          <w:lang w:eastAsia="en-IN"/>
        </w:rPr>
        <w:t>.</w:t>
      </w:r>
    </w:p>
    <w:p w:rsidR="00354C24" w:rsidRPr="00354C24" w:rsidRDefault="00C23A2A" w:rsidP="005372D0">
      <w:pPr>
        <w:spacing w:before="240" w:after="240" w:line="360" w:lineRule="auto"/>
        <w:jc w:val="both"/>
        <w:rPr>
          <w:rFonts w:ascii="Arial" w:eastAsia="Times New Roman" w:hAnsi="Arial" w:cs="Arial"/>
          <w:lang w:eastAsia="en-IN"/>
        </w:rPr>
      </w:pPr>
      <w:r w:rsidRPr="00354C24">
        <w:rPr>
          <w:rFonts w:ascii="Arial" w:eastAsia="Times New Roman" w:hAnsi="Arial" w:cs="Arial"/>
          <w:b/>
          <w:bCs/>
          <w:i/>
          <w:iCs/>
          <w:color w:val="000000"/>
          <w:lang w:eastAsia="en-IN"/>
        </w:rPr>
        <w:t>Bargaining power of suppliers:</w:t>
      </w:r>
      <w:r w:rsidRPr="00354C24">
        <w:rPr>
          <w:rFonts w:ascii="Arial" w:eastAsia="Times New Roman" w:hAnsi="Arial" w:cs="Arial"/>
          <w:color w:val="000000"/>
          <w:lang w:eastAsia="en-IN"/>
        </w:rPr>
        <w:t xml:space="preserve"> Large grocery chains like Sainsbury's and Tesco have the negotiating leverage to obtain cheaper costs from suppliers because the sector depends substantially on its suppliers.</w:t>
      </w:r>
    </w:p>
    <w:p w:rsidR="00354C24" w:rsidRPr="00354C24" w:rsidRDefault="00C23A2A" w:rsidP="005372D0">
      <w:pPr>
        <w:spacing w:before="240" w:after="240" w:line="360" w:lineRule="auto"/>
        <w:jc w:val="both"/>
        <w:rPr>
          <w:rFonts w:ascii="Arial" w:eastAsia="Times New Roman" w:hAnsi="Arial" w:cs="Arial"/>
          <w:lang w:eastAsia="en-IN"/>
        </w:rPr>
      </w:pPr>
      <w:r w:rsidRPr="00354C24">
        <w:rPr>
          <w:rFonts w:ascii="Arial" w:eastAsia="Times New Roman" w:hAnsi="Arial" w:cs="Arial"/>
          <w:b/>
          <w:bCs/>
          <w:i/>
          <w:iCs/>
          <w:color w:val="000000"/>
          <w:lang w:eastAsia="en-IN"/>
        </w:rPr>
        <w:t>Bargaining power of buyers:</w:t>
      </w:r>
      <w:r w:rsidRPr="00354C24">
        <w:rPr>
          <w:rFonts w:ascii="Arial" w:eastAsia="Times New Roman" w:hAnsi="Arial" w:cs="Arial"/>
          <w:color w:val="000000"/>
          <w:lang w:eastAsia="en-IN"/>
        </w:rPr>
        <w:t xml:space="preserve"> Customers have substantial bargaining power, and the business runs on razor-thin margins, which fuels intense competition for customer loyalty</w:t>
      </w:r>
      <w:r w:rsidR="00760CE0">
        <w:rPr>
          <w:rFonts w:ascii="Arial" w:eastAsia="Times New Roman" w:hAnsi="Arial" w:cs="Arial"/>
          <w:color w:val="000000"/>
          <w:lang w:eastAsia="en-IN"/>
        </w:rPr>
        <w:t xml:space="preserve"> (</w:t>
      </w:r>
      <w:r w:rsidR="00760CE0">
        <w:rPr>
          <w:rFonts w:ascii="Arial" w:hAnsi="Arial" w:cs="Arial"/>
          <w:color w:val="222222"/>
          <w:shd w:val="clear" w:color="auto" w:fill="FFFFFF"/>
        </w:rPr>
        <w:t xml:space="preserve">Kim </w:t>
      </w:r>
      <w:r w:rsidR="00760CE0" w:rsidRPr="00760CE0">
        <w:rPr>
          <w:rFonts w:ascii="Arial" w:hAnsi="Arial" w:cs="Arial"/>
          <w:i/>
          <w:color w:val="222222"/>
          <w:shd w:val="clear" w:color="auto" w:fill="FFFFFF"/>
        </w:rPr>
        <w:t>et al.</w:t>
      </w:r>
      <w:r w:rsidR="00760CE0">
        <w:rPr>
          <w:rFonts w:ascii="Arial" w:hAnsi="Arial" w:cs="Arial"/>
          <w:color w:val="222222"/>
          <w:shd w:val="clear" w:color="auto" w:fill="FFFFFF"/>
        </w:rPr>
        <w:t xml:space="preserve"> </w:t>
      </w:r>
      <w:r w:rsidR="00760CE0" w:rsidRPr="00EE6B78">
        <w:rPr>
          <w:rFonts w:ascii="Arial" w:hAnsi="Arial" w:cs="Arial"/>
          <w:color w:val="222222"/>
          <w:shd w:val="clear" w:color="auto" w:fill="FFFFFF"/>
        </w:rPr>
        <w:t>2021</w:t>
      </w:r>
      <w:r w:rsidR="00760CE0">
        <w:rPr>
          <w:rFonts w:ascii="Arial" w:hAnsi="Arial" w:cs="Arial"/>
          <w:color w:val="222222"/>
          <w:shd w:val="clear" w:color="auto" w:fill="FFFFFF"/>
        </w:rPr>
        <w:t>)</w:t>
      </w:r>
      <w:r w:rsidRPr="00354C24">
        <w:rPr>
          <w:rFonts w:ascii="Arial" w:eastAsia="Times New Roman" w:hAnsi="Arial" w:cs="Arial"/>
          <w:color w:val="000000"/>
          <w:lang w:eastAsia="en-IN"/>
        </w:rPr>
        <w:t>.</w:t>
      </w:r>
    </w:p>
    <w:p w:rsidR="00AF5FD5" w:rsidRPr="005372D0" w:rsidRDefault="00C23A2A" w:rsidP="005372D0">
      <w:pPr>
        <w:pStyle w:val="Heading2"/>
      </w:pPr>
      <w:bookmarkStart w:id="9" w:name="_Toc132476780"/>
      <w:r w:rsidRPr="005372D0">
        <w:t>Comparative financial performance evaluation of the companies</w:t>
      </w:r>
      <w:bookmarkEnd w:id="8"/>
      <w:bookmarkEnd w:id="9"/>
    </w:p>
    <w:p w:rsidR="003D2F92" w:rsidRPr="005372D0" w:rsidRDefault="00C23A2A" w:rsidP="005372D0">
      <w:pPr>
        <w:spacing w:line="360" w:lineRule="auto"/>
        <w:jc w:val="both"/>
        <w:rPr>
          <w:rFonts w:ascii="Arial" w:hAnsi="Arial" w:cs="Arial"/>
          <w:b/>
          <w:i/>
          <w:lang w:val="en-US"/>
        </w:rPr>
      </w:pPr>
      <w:r w:rsidRPr="005372D0">
        <w:rPr>
          <w:rFonts w:ascii="Arial" w:hAnsi="Arial" w:cs="Arial"/>
          <w:b/>
          <w:i/>
          <w:lang w:val="en-US"/>
        </w:rPr>
        <w:t>Profitability Ratios</w:t>
      </w:r>
    </w:p>
    <w:p w:rsidR="00F71E76" w:rsidRPr="005372D0" w:rsidRDefault="00C23A2A" w:rsidP="005372D0">
      <w:pPr>
        <w:spacing w:line="360" w:lineRule="auto"/>
        <w:jc w:val="both"/>
        <w:rPr>
          <w:rFonts w:ascii="Arial" w:hAnsi="Arial" w:cs="Arial"/>
          <w:b/>
          <w:lang w:val="en-US"/>
        </w:rPr>
      </w:pPr>
      <w:r w:rsidRPr="005372D0">
        <w:rPr>
          <w:rFonts w:ascii="Arial" w:hAnsi="Arial" w:cs="Arial"/>
          <w:b/>
          <w:lang w:val="en-US"/>
        </w:rPr>
        <w:t>Net profit margin</w:t>
      </w:r>
    </w:p>
    <w:p w:rsidR="005F71FE" w:rsidRPr="005372D0" w:rsidRDefault="00C23A2A" w:rsidP="005372D0">
      <w:pPr>
        <w:spacing w:line="360" w:lineRule="auto"/>
        <w:jc w:val="center"/>
        <w:rPr>
          <w:rFonts w:ascii="Arial" w:hAnsi="Arial" w:cs="Arial"/>
          <w:b/>
          <w:lang w:val="en-US"/>
        </w:rPr>
      </w:pPr>
      <w:r w:rsidRPr="005372D0">
        <w:rPr>
          <w:rFonts w:ascii="Arial" w:hAnsi="Arial" w:cs="Arial"/>
          <w:noProof/>
          <w:lang w:eastAsia="en-IN"/>
        </w:rPr>
        <w:lastRenderedPageBreak/>
        <w:drawing>
          <wp:inline distT="0" distB="0" distL="0" distR="0">
            <wp:extent cx="3967295" cy="2505883"/>
            <wp:effectExtent l="0" t="0" r="14605"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20B45" w:rsidRPr="005372D0" w:rsidRDefault="00C23A2A" w:rsidP="005372D0">
      <w:pPr>
        <w:spacing w:line="360" w:lineRule="auto"/>
        <w:jc w:val="center"/>
        <w:rPr>
          <w:rFonts w:ascii="Arial" w:hAnsi="Arial" w:cs="Arial"/>
          <w:b/>
          <w:lang w:val="en-US"/>
        </w:rPr>
      </w:pPr>
      <w:r w:rsidRPr="005372D0">
        <w:rPr>
          <w:rFonts w:ascii="Arial" w:hAnsi="Arial" w:cs="Arial"/>
          <w:b/>
          <w:lang w:val="en-US"/>
        </w:rPr>
        <w:t xml:space="preserve">Figure 1: </w:t>
      </w:r>
      <w:r w:rsidR="00650FE6" w:rsidRPr="005372D0">
        <w:rPr>
          <w:rFonts w:ascii="Arial" w:hAnsi="Arial" w:cs="Arial"/>
          <w:b/>
          <w:lang w:val="en-US"/>
        </w:rPr>
        <w:t>The bar graph illustrates</w:t>
      </w:r>
      <w:r w:rsidRPr="005372D0">
        <w:rPr>
          <w:rFonts w:ascii="Arial" w:hAnsi="Arial" w:cs="Arial"/>
          <w:b/>
          <w:lang w:val="en-US"/>
        </w:rPr>
        <w:t xml:space="preserve"> the net profit margin comparison of both the </w:t>
      </w:r>
      <w:r w:rsidR="00650FE6" w:rsidRPr="005372D0">
        <w:rPr>
          <w:rFonts w:ascii="Arial" w:hAnsi="Arial" w:cs="Arial"/>
          <w:b/>
          <w:lang w:val="en-US"/>
        </w:rPr>
        <w:t>firms</w:t>
      </w:r>
    </w:p>
    <w:p w:rsidR="00420B45" w:rsidRPr="005372D0" w:rsidRDefault="00C23A2A" w:rsidP="005372D0">
      <w:pPr>
        <w:spacing w:line="360" w:lineRule="auto"/>
        <w:jc w:val="center"/>
        <w:rPr>
          <w:rFonts w:ascii="Arial" w:hAnsi="Arial" w:cs="Arial"/>
          <w:lang w:val="en-US"/>
        </w:rPr>
      </w:pPr>
      <w:r w:rsidRPr="005372D0">
        <w:rPr>
          <w:rFonts w:ascii="Arial" w:hAnsi="Arial" w:cs="Arial"/>
          <w:lang w:val="en-US"/>
        </w:rPr>
        <w:t>(Source: Self–created)</w:t>
      </w:r>
    </w:p>
    <w:p w:rsidR="009D7374" w:rsidRPr="005372D0" w:rsidRDefault="00C23A2A" w:rsidP="005372D0">
      <w:pPr>
        <w:pStyle w:val="NormalWeb"/>
        <w:spacing w:before="240" w:beforeAutospacing="0" w:after="240" w:afterAutospacing="0" w:line="360" w:lineRule="auto"/>
        <w:jc w:val="both"/>
        <w:rPr>
          <w:rFonts w:ascii="Arial" w:hAnsi="Arial" w:cs="Arial"/>
          <w:sz w:val="22"/>
          <w:szCs w:val="22"/>
        </w:rPr>
      </w:pPr>
      <w:r w:rsidRPr="005372D0">
        <w:rPr>
          <w:rFonts w:ascii="Arial" w:hAnsi="Arial" w:cs="Arial"/>
          <w:b/>
          <w:i/>
          <w:sz w:val="22"/>
          <w:szCs w:val="22"/>
          <w:lang w:val="en-US"/>
        </w:rPr>
        <w:t>Analysis:</w:t>
      </w:r>
      <w:r w:rsidR="009668E6" w:rsidRPr="005372D0">
        <w:rPr>
          <w:rFonts w:ascii="Arial" w:hAnsi="Arial" w:cs="Arial"/>
          <w:b/>
          <w:i/>
          <w:sz w:val="22"/>
          <w:szCs w:val="22"/>
          <w:lang w:val="en-US"/>
        </w:rPr>
        <w:t xml:space="preserve"> </w:t>
      </w:r>
      <w:r w:rsidRPr="005372D0">
        <w:rPr>
          <w:rFonts w:ascii="Arial" w:hAnsi="Arial" w:cs="Arial"/>
          <w:color w:val="000000"/>
          <w:sz w:val="22"/>
          <w:szCs w:val="22"/>
        </w:rPr>
        <w:t>A profitability ratio namely net profit margin used to calculate the proportion of net profit per dollar of revenue</w:t>
      </w:r>
      <w:r w:rsidR="00684279">
        <w:rPr>
          <w:rFonts w:ascii="Arial" w:hAnsi="Arial" w:cs="Arial"/>
          <w:color w:val="000000"/>
          <w:sz w:val="22"/>
          <w:szCs w:val="22"/>
        </w:rPr>
        <w:t xml:space="preserve"> (</w:t>
      </w:r>
      <w:r w:rsidR="00684279">
        <w:rPr>
          <w:rFonts w:ascii="Arial" w:hAnsi="Arial" w:cs="Arial"/>
          <w:color w:val="222222"/>
          <w:sz w:val="22"/>
          <w:szCs w:val="22"/>
          <w:shd w:val="clear" w:color="auto" w:fill="FFFFFF"/>
        </w:rPr>
        <w:t xml:space="preserve">Markonah </w:t>
      </w:r>
      <w:r w:rsidR="00684279" w:rsidRPr="00684279">
        <w:rPr>
          <w:rFonts w:ascii="Arial" w:hAnsi="Arial" w:cs="Arial"/>
          <w:i/>
          <w:color w:val="222222"/>
          <w:sz w:val="22"/>
          <w:szCs w:val="22"/>
          <w:shd w:val="clear" w:color="auto" w:fill="FFFFFF"/>
        </w:rPr>
        <w:t>et al.</w:t>
      </w:r>
      <w:r w:rsidR="00684279">
        <w:rPr>
          <w:rFonts w:ascii="Arial" w:hAnsi="Arial" w:cs="Arial"/>
          <w:color w:val="222222"/>
          <w:sz w:val="22"/>
          <w:szCs w:val="22"/>
          <w:shd w:val="clear" w:color="auto" w:fill="FFFFFF"/>
        </w:rPr>
        <w:t xml:space="preserve"> </w:t>
      </w:r>
      <w:r w:rsidR="00684279" w:rsidRPr="00EE6B78">
        <w:rPr>
          <w:rFonts w:ascii="Arial" w:hAnsi="Arial" w:cs="Arial"/>
          <w:color w:val="222222"/>
          <w:sz w:val="22"/>
          <w:szCs w:val="22"/>
          <w:shd w:val="clear" w:color="auto" w:fill="FFFFFF"/>
        </w:rPr>
        <w:t>2020</w:t>
      </w:r>
      <w:r w:rsidR="00684279">
        <w:rPr>
          <w:rFonts w:ascii="Arial" w:hAnsi="Arial" w:cs="Arial"/>
          <w:color w:val="222222"/>
          <w:shd w:val="clear" w:color="auto" w:fill="FFFFFF"/>
        </w:rPr>
        <w:t>)</w:t>
      </w:r>
      <w:r w:rsidRPr="005372D0">
        <w:rPr>
          <w:rFonts w:ascii="Arial" w:hAnsi="Arial" w:cs="Arial"/>
          <w:color w:val="000000"/>
          <w:sz w:val="22"/>
          <w:szCs w:val="22"/>
        </w:rPr>
        <w:t>. According to the above-provided graph, the net profit margins for Sainsbury Plc and Tesco Plc in 2022 are explored as 2% and 2%, respectively. In other words, Sainsbury and Tesco made 2 cents in net profit for every $1 in revenue. Sainsbury Plc, however, experienced a loss in 2021 as seen by its negative net profit margin of -1%</w:t>
      </w:r>
      <w:r w:rsidR="002954FD">
        <w:rPr>
          <w:rFonts w:ascii="Arial" w:hAnsi="Arial" w:cs="Arial"/>
          <w:color w:val="000000"/>
          <w:sz w:val="22"/>
          <w:szCs w:val="22"/>
        </w:rPr>
        <w:t xml:space="preserve"> </w:t>
      </w:r>
      <w:r w:rsidR="002954FD">
        <w:rPr>
          <w:rFonts w:ascii="Arial" w:hAnsi="Arial" w:cs="Arial"/>
          <w:color w:val="000000"/>
          <w:sz w:val="22"/>
          <w:szCs w:val="22"/>
        </w:rPr>
        <w:t>(</w:t>
      </w:r>
      <w:r w:rsidR="002954FD" w:rsidRPr="00EE6B78">
        <w:rPr>
          <w:rFonts w:ascii="Arial" w:hAnsi="Arial" w:cs="Arial"/>
          <w:iCs/>
          <w:sz w:val="22"/>
          <w:szCs w:val="22"/>
        </w:rPr>
        <w:t>Sainsbury Plc | Annual Report</w:t>
      </w:r>
      <w:r w:rsidR="002954FD">
        <w:rPr>
          <w:rFonts w:ascii="Arial" w:hAnsi="Arial" w:cs="Arial"/>
          <w:sz w:val="22"/>
          <w:szCs w:val="22"/>
        </w:rPr>
        <w:t xml:space="preserve">, </w:t>
      </w:r>
      <w:r w:rsidR="002954FD" w:rsidRPr="00EE6B78">
        <w:rPr>
          <w:rFonts w:ascii="Arial" w:hAnsi="Arial" w:cs="Arial"/>
          <w:sz w:val="22"/>
          <w:szCs w:val="22"/>
        </w:rPr>
        <w:t>2023)</w:t>
      </w:r>
      <w:r w:rsidRPr="005372D0">
        <w:rPr>
          <w:rFonts w:ascii="Arial" w:hAnsi="Arial" w:cs="Arial"/>
          <w:color w:val="000000"/>
          <w:sz w:val="22"/>
          <w:szCs w:val="22"/>
        </w:rPr>
        <w:t xml:space="preserve">. Hence, it is adequate to say that Sainsbury identifies enhances its net profit margin valuation in 2022, whereas Tesco recognises deterioration in comparison to its initial year of 2021. </w:t>
      </w:r>
    </w:p>
    <w:p w:rsidR="00F71E76" w:rsidRPr="005372D0" w:rsidRDefault="00C23A2A" w:rsidP="005372D0">
      <w:pPr>
        <w:spacing w:line="360" w:lineRule="auto"/>
        <w:jc w:val="both"/>
        <w:rPr>
          <w:rFonts w:ascii="Arial" w:hAnsi="Arial" w:cs="Arial"/>
          <w:b/>
          <w:lang w:val="en-US"/>
        </w:rPr>
      </w:pPr>
      <w:r w:rsidRPr="005372D0">
        <w:rPr>
          <w:rFonts w:ascii="Arial" w:hAnsi="Arial" w:cs="Arial"/>
          <w:b/>
          <w:lang w:val="en-US"/>
        </w:rPr>
        <w:t>Return on assets (ROA)</w:t>
      </w:r>
    </w:p>
    <w:p w:rsidR="005F71FE" w:rsidRPr="005372D0" w:rsidRDefault="00C23A2A" w:rsidP="005372D0">
      <w:pPr>
        <w:spacing w:line="360" w:lineRule="auto"/>
        <w:jc w:val="center"/>
        <w:rPr>
          <w:rFonts w:ascii="Arial" w:hAnsi="Arial" w:cs="Arial"/>
          <w:b/>
          <w:lang w:val="en-US"/>
        </w:rPr>
      </w:pPr>
      <w:r w:rsidRPr="005372D0">
        <w:rPr>
          <w:rFonts w:ascii="Arial" w:hAnsi="Arial" w:cs="Arial"/>
          <w:noProof/>
          <w:lang w:eastAsia="en-IN"/>
        </w:rPr>
        <w:drawing>
          <wp:inline distT="0" distB="0" distL="0" distR="0">
            <wp:extent cx="4108532" cy="2237066"/>
            <wp:effectExtent l="0" t="0" r="635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D1C16" w:rsidRPr="005372D0" w:rsidRDefault="00C23A2A" w:rsidP="005372D0">
      <w:pPr>
        <w:spacing w:line="360" w:lineRule="auto"/>
        <w:jc w:val="center"/>
        <w:rPr>
          <w:rFonts w:ascii="Arial" w:hAnsi="Arial" w:cs="Arial"/>
          <w:b/>
          <w:lang w:val="en-US"/>
        </w:rPr>
      </w:pPr>
      <w:r w:rsidRPr="005372D0">
        <w:rPr>
          <w:rFonts w:ascii="Arial" w:hAnsi="Arial" w:cs="Arial"/>
          <w:b/>
          <w:lang w:val="en-US"/>
        </w:rPr>
        <w:t>Figure 2: Line graph highlighting ROA comparison of both the firms</w:t>
      </w:r>
    </w:p>
    <w:p w:rsidR="00DD1C16" w:rsidRPr="005372D0" w:rsidRDefault="00C23A2A" w:rsidP="005372D0">
      <w:pPr>
        <w:spacing w:line="360" w:lineRule="auto"/>
        <w:jc w:val="center"/>
        <w:rPr>
          <w:rFonts w:ascii="Arial" w:hAnsi="Arial" w:cs="Arial"/>
          <w:lang w:val="en-US"/>
        </w:rPr>
      </w:pPr>
      <w:r w:rsidRPr="005372D0">
        <w:rPr>
          <w:rFonts w:ascii="Arial" w:hAnsi="Arial" w:cs="Arial"/>
          <w:lang w:val="en-US"/>
        </w:rPr>
        <w:t>(Source: Self–created)</w:t>
      </w:r>
    </w:p>
    <w:p w:rsidR="009D7374" w:rsidRPr="005372D0" w:rsidRDefault="00C23A2A" w:rsidP="005372D0">
      <w:pPr>
        <w:pStyle w:val="NormalWeb"/>
        <w:spacing w:before="240" w:beforeAutospacing="0" w:after="240" w:afterAutospacing="0" w:line="360" w:lineRule="auto"/>
        <w:jc w:val="both"/>
        <w:rPr>
          <w:rFonts w:ascii="Arial" w:hAnsi="Arial" w:cs="Arial"/>
          <w:sz w:val="22"/>
          <w:szCs w:val="22"/>
        </w:rPr>
      </w:pPr>
      <w:r w:rsidRPr="005372D0">
        <w:rPr>
          <w:rFonts w:ascii="Arial" w:hAnsi="Arial" w:cs="Arial"/>
          <w:b/>
          <w:i/>
          <w:sz w:val="22"/>
          <w:szCs w:val="22"/>
          <w:lang w:val="en-US"/>
        </w:rPr>
        <w:lastRenderedPageBreak/>
        <w:t>Analysis:</w:t>
      </w:r>
      <w:r w:rsidR="009668E6" w:rsidRPr="005372D0">
        <w:rPr>
          <w:rFonts w:ascii="Arial" w:hAnsi="Arial" w:cs="Arial"/>
          <w:b/>
          <w:i/>
          <w:sz w:val="22"/>
          <w:szCs w:val="22"/>
          <w:lang w:val="en-US"/>
        </w:rPr>
        <w:t xml:space="preserve"> </w:t>
      </w:r>
      <w:r w:rsidR="00684279" w:rsidRPr="00684279">
        <w:rPr>
          <w:rFonts w:ascii="Arial" w:hAnsi="Arial" w:cs="Arial"/>
          <w:sz w:val="22"/>
          <w:szCs w:val="22"/>
          <w:lang w:val="en-US"/>
        </w:rPr>
        <w:t xml:space="preserve">As opined by </w:t>
      </w:r>
      <w:r w:rsidR="00684279" w:rsidRPr="00684279">
        <w:rPr>
          <w:rFonts w:ascii="Arial" w:hAnsi="Arial" w:cs="Arial"/>
          <w:color w:val="222222"/>
          <w:sz w:val="22"/>
          <w:szCs w:val="22"/>
          <w:shd w:val="clear" w:color="auto" w:fill="FFFFFF"/>
        </w:rPr>
        <w:t xml:space="preserve">Dirman, A., </w:t>
      </w:r>
      <w:r w:rsidR="00684279" w:rsidRPr="00684279">
        <w:rPr>
          <w:rFonts w:ascii="Arial" w:hAnsi="Arial" w:cs="Arial"/>
          <w:color w:val="222222"/>
          <w:shd w:val="clear" w:color="auto" w:fill="FFFFFF"/>
        </w:rPr>
        <w:t>(</w:t>
      </w:r>
      <w:r w:rsidR="00684279" w:rsidRPr="00684279">
        <w:rPr>
          <w:rFonts w:ascii="Arial" w:hAnsi="Arial" w:cs="Arial"/>
          <w:color w:val="222222"/>
          <w:sz w:val="22"/>
          <w:szCs w:val="22"/>
          <w:shd w:val="clear" w:color="auto" w:fill="FFFFFF"/>
        </w:rPr>
        <w:t>2020</w:t>
      </w:r>
      <w:r w:rsidR="00684279">
        <w:rPr>
          <w:rFonts w:ascii="Arial" w:hAnsi="Arial" w:cs="Arial"/>
          <w:color w:val="222222"/>
          <w:shd w:val="clear" w:color="auto" w:fill="FFFFFF"/>
        </w:rPr>
        <w:t>)</w:t>
      </w:r>
      <w:r w:rsidR="00684279">
        <w:rPr>
          <w:rFonts w:ascii="Arial" w:hAnsi="Arial" w:cs="Arial"/>
          <w:color w:val="222222"/>
          <w:shd w:val="clear" w:color="auto" w:fill="FFFFFF"/>
        </w:rPr>
        <w:t xml:space="preserve">, </w:t>
      </w:r>
      <w:r w:rsidR="00684279">
        <w:rPr>
          <w:rFonts w:ascii="Arial" w:hAnsi="Arial" w:cs="Arial"/>
          <w:color w:val="000000"/>
          <w:sz w:val="22"/>
          <w:szCs w:val="22"/>
        </w:rPr>
        <w:t>t</w:t>
      </w:r>
      <w:r w:rsidRPr="005372D0">
        <w:rPr>
          <w:rFonts w:ascii="Arial" w:hAnsi="Arial" w:cs="Arial"/>
          <w:color w:val="000000"/>
          <w:sz w:val="22"/>
          <w:szCs w:val="22"/>
        </w:rPr>
        <w:t>he profitability ratio known as return on assets (ROA) assesses how effectively a business uses its assets to produce profits. In 2022, Tesco Plc will have a greater ROA of 0.12 than Sainsbury Plc, which has a ROA of 0.03</w:t>
      </w:r>
      <w:r w:rsidR="00181628">
        <w:rPr>
          <w:rFonts w:ascii="Arial" w:hAnsi="Arial" w:cs="Arial"/>
          <w:color w:val="000000"/>
          <w:sz w:val="22"/>
          <w:szCs w:val="22"/>
        </w:rPr>
        <w:t xml:space="preserve"> </w:t>
      </w:r>
      <w:r w:rsidR="00181628">
        <w:rPr>
          <w:rFonts w:ascii="Arial" w:hAnsi="Arial" w:cs="Arial"/>
          <w:color w:val="000000"/>
          <w:sz w:val="22"/>
          <w:szCs w:val="22"/>
        </w:rPr>
        <w:t>(</w:t>
      </w:r>
      <w:r w:rsidR="00181628" w:rsidRPr="00EE6B78">
        <w:rPr>
          <w:rFonts w:ascii="Arial" w:hAnsi="Arial" w:cs="Arial"/>
          <w:iCs/>
          <w:sz w:val="22"/>
          <w:szCs w:val="22"/>
        </w:rPr>
        <w:t>Tesco Plc | Annual Report</w:t>
      </w:r>
      <w:r w:rsidR="00181628">
        <w:rPr>
          <w:rFonts w:ascii="Arial" w:hAnsi="Arial" w:cs="Arial"/>
          <w:sz w:val="22"/>
          <w:szCs w:val="22"/>
        </w:rPr>
        <w:t xml:space="preserve">, </w:t>
      </w:r>
      <w:r w:rsidR="00181628" w:rsidRPr="00EE6B78">
        <w:rPr>
          <w:rFonts w:ascii="Arial" w:hAnsi="Arial" w:cs="Arial"/>
          <w:sz w:val="22"/>
          <w:szCs w:val="22"/>
        </w:rPr>
        <w:t>2023)</w:t>
      </w:r>
      <w:r w:rsidRPr="005372D0">
        <w:rPr>
          <w:rFonts w:ascii="Arial" w:hAnsi="Arial" w:cs="Arial"/>
          <w:color w:val="000000"/>
          <w:sz w:val="22"/>
          <w:szCs w:val="22"/>
        </w:rPr>
        <w:t xml:space="preserve">. According to this, Tesco Plc outperforms Sainsbury Plc in terms of profits per dollar of assets. Both businesses, however, had negative ROA in 2021, demonstrating that they were underutilising their resources. Furthermore, both of the companies evolve to enhance their profitability performance in 2022 in comparison to their initial period of 2021. </w:t>
      </w:r>
    </w:p>
    <w:p w:rsidR="00F71E76" w:rsidRPr="005372D0" w:rsidRDefault="00C23A2A" w:rsidP="005372D0">
      <w:pPr>
        <w:spacing w:line="360" w:lineRule="auto"/>
        <w:jc w:val="both"/>
        <w:rPr>
          <w:rFonts w:ascii="Arial" w:hAnsi="Arial" w:cs="Arial"/>
          <w:b/>
          <w:lang w:val="en-US"/>
        </w:rPr>
      </w:pPr>
      <w:r w:rsidRPr="005372D0">
        <w:rPr>
          <w:rFonts w:ascii="Arial" w:hAnsi="Arial" w:cs="Arial"/>
          <w:b/>
          <w:lang w:val="en-US"/>
        </w:rPr>
        <w:t>Return on equity (ROE)</w:t>
      </w:r>
    </w:p>
    <w:p w:rsidR="00F71E76" w:rsidRPr="005372D0" w:rsidRDefault="00C23A2A" w:rsidP="005372D0">
      <w:pPr>
        <w:spacing w:line="360" w:lineRule="auto"/>
        <w:jc w:val="center"/>
        <w:rPr>
          <w:rFonts w:ascii="Arial" w:hAnsi="Arial" w:cs="Arial"/>
          <w:lang w:val="en-US"/>
        </w:rPr>
      </w:pPr>
      <w:r w:rsidRPr="005372D0">
        <w:rPr>
          <w:rFonts w:ascii="Arial" w:hAnsi="Arial" w:cs="Arial"/>
          <w:noProof/>
          <w:lang w:eastAsia="en-IN"/>
        </w:rPr>
        <w:drawing>
          <wp:inline distT="0" distB="0" distL="0" distR="0">
            <wp:extent cx="4239891" cy="2693878"/>
            <wp:effectExtent l="0" t="0" r="889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26D0C" w:rsidRPr="005372D0" w:rsidRDefault="00C23A2A" w:rsidP="005372D0">
      <w:pPr>
        <w:spacing w:line="360" w:lineRule="auto"/>
        <w:jc w:val="center"/>
        <w:rPr>
          <w:rFonts w:ascii="Arial" w:hAnsi="Arial" w:cs="Arial"/>
          <w:b/>
          <w:lang w:val="en-US"/>
        </w:rPr>
      </w:pPr>
      <w:r w:rsidRPr="005372D0">
        <w:rPr>
          <w:rFonts w:ascii="Arial" w:hAnsi="Arial" w:cs="Arial"/>
          <w:b/>
          <w:lang w:val="en-US"/>
        </w:rPr>
        <w:t>Figure 3: Bar graph presenting the ROE comparison of both the firms</w:t>
      </w:r>
    </w:p>
    <w:p w:rsidR="00026D0C" w:rsidRPr="005372D0" w:rsidRDefault="00C23A2A" w:rsidP="005372D0">
      <w:pPr>
        <w:spacing w:line="360" w:lineRule="auto"/>
        <w:jc w:val="center"/>
        <w:rPr>
          <w:rFonts w:ascii="Arial" w:hAnsi="Arial" w:cs="Arial"/>
          <w:lang w:val="en-US"/>
        </w:rPr>
      </w:pPr>
      <w:r w:rsidRPr="005372D0">
        <w:rPr>
          <w:rFonts w:ascii="Arial" w:hAnsi="Arial" w:cs="Arial"/>
          <w:lang w:val="en-US"/>
        </w:rPr>
        <w:t>(Source: Self–created)</w:t>
      </w:r>
    </w:p>
    <w:p w:rsidR="009D7374" w:rsidRPr="005372D0" w:rsidRDefault="00C23A2A" w:rsidP="005372D0">
      <w:pPr>
        <w:pStyle w:val="NormalWeb"/>
        <w:spacing w:before="240" w:beforeAutospacing="0" w:after="240" w:afterAutospacing="0" w:line="360" w:lineRule="auto"/>
        <w:jc w:val="both"/>
        <w:rPr>
          <w:rFonts w:ascii="Arial" w:hAnsi="Arial" w:cs="Arial"/>
          <w:sz w:val="22"/>
          <w:szCs w:val="22"/>
        </w:rPr>
      </w:pPr>
      <w:r w:rsidRPr="005372D0">
        <w:rPr>
          <w:rFonts w:ascii="Arial" w:hAnsi="Arial" w:cs="Arial"/>
          <w:b/>
          <w:i/>
          <w:sz w:val="22"/>
          <w:szCs w:val="22"/>
          <w:lang w:val="en-US"/>
        </w:rPr>
        <w:t>Analysis:</w:t>
      </w:r>
      <w:r w:rsidR="009668E6" w:rsidRPr="005372D0">
        <w:rPr>
          <w:rFonts w:ascii="Arial" w:hAnsi="Arial" w:cs="Arial"/>
          <w:sz w:val="22"/>
          <w:szCs w:val="22"/>
          <w:lang w:val="en-US"/>
        </w:rPr>
        <w:t xml:space="preserve"> </w:t>
      </w:r>
      <w:r w:rsidRPr="005372D0">
        <w:rPr>
          <w:rFonts w:ascii="Arial" w:hAnsi="Arial" w:cs="Arial"/>
          <w:color w:val="000000"/>
          <w:sz w:val="22"/>
          <w:szCs w:val="22"/>
        </w:rPr>
        <w:t>A profitability metric, return on equity (ROE) calculates net income per dollar of shareholders' equity</w:t>
      </w:r>
      <w:r w:rsidR="00684279">
        <w:rPr>
          <w:rFonts w:ascii="Arial" w:hAnsi="Arial" w:cs="Arial"/>
          <w:color w:val="000000"/>
          <w:sz w:val="22"/>
          <w:szCs w:val="22"/>
        </w:rPr>
        <w:t xml:space="preserve"> </w:t>
      </w:r>
      <w:r w:rsidR="00684279">
        <w:rPr>
          <w:rFonts w:ascii="Arial" w:hAnsi="Arial" w:cs="Arial"/>
          <w:color w:val="000000"/>
          <w:sz w:val="22"/>
          <w:szCs w:val="22"/>
        </w:rPr>
        <w:t>(</w:t>
      </w:r>
      <w:r w:rsidR="00684279">
        <w:rPr>
          <w:rFonts w:ascii="Arial" w:hAnsi="Arial" w:cs="Arial"/>
          <w:color w:val="222222"/>
          <w:sz w:val="22"/>
          <w:szCs w:val="22"/>
          <w:shd w:val="clear" w:color="auto" w:fill="FFFFFF"/>
        </w:rPr>
        <w:t xml:space="preserve">Markonah </w:t>
      </w:r>
      <w:r w:rsidR="00684279" w:rsidRPr="00684279">
        <w:rPr>
          <w:rFonts w:ascii="Arial" w:hAnsi="Arial" w:cs="Arial"/>
          <w:i/>
          <w:color w:val="222222"/>
          <w:sz w:val="22"/>
          <w:szCs w:val="22"/>
          <w:shd w:val="clear" w:color="auto" w:fill="FFFFFF"/>
        </w:rPr>
        <w:t>et al.</w:t>
      </w:r>
      <w:r w:rsidR="00684279">
        <w:rPr>
          <w:rFonts w:ascii="Arial" w:hAnsi="Arial" w:cs="Arial"/>
          <w:color w:val="222222"/>
          <w:sz w:val="22"/>
          <w:szCs w:val="22"/>
          <w:shd w:val="clear" w:color="auto" w:fill="FFFFFF"/>
        </w:rPr>
        <w:t xml:space="preserve"> </w:t>
      </w:r>
      <w:r w:rsidR="00684279" w:rsidRPr="00EE6B78">
        <w:rPr>
          <w:rFonts w:ascii="Arial" w:hAnsi="Arial" w:cs="Arial"/>
          <w:color w:val="222222"/>
          <w:sz w:val="22"/>
          <w:szCs w:val="22"/>
          <w:shd w:val="clear" w:color="auto" w:fill="FFFFFF"/>
        </w:rPr>
        <w:t>2020</w:t>
      </w:r>
      <w:r w:rsidR="00684279">
        <w:rPr>
          <w:rFonts w:ascii="Arial" w:hAnsi="Arial" w:cs="Arial"/>
          <w:color w:val="222222"/>
          <w:shd w:val="clear" w:color="auto" w:fill="FFFFFF"/>
        </w:rPr>
        <w:t>)</w:t>
      </w:r>
      <w:r w:rsidRPr="005372D0">
        <w:rPr>
          <w:rFonts w:ascii="Arial" w:hAnsi="Arial" w:cs="Arial"/>
          <w:color w:val="000000"/>
          <w:sz w:val="22"/>
          <w:szCs w:val="22"/>
        </w:rPr>
        <w:t>. In 2022, Tesco Plc's ROE is 0.09, which is greater than Sainsbury Plc's ROE of 0.08. This shows that Tesco Plc is outperforming Sainsbury Plc in terms of shareholder returns per dollar of equity</w:t>
      </w:r>
      <w:r w:rsidR="00181628">
        <w:rPr>
          <w:rFonts w:ascii="Arial" w:hAnsi="Arial" w:cs="Arial"/>
          <w:color w:val="000000"/>
          <w:sz w:val="22"/>
          <w:szCs w:val="22"/>
        </w:rPr>
        <w:t xml:space="preserve"> </w:t>
      </w:r>
      <w:r w:rsidR="00181628">
        <w:rPr>
          <w:rFonts w:ascii="Arial" w:hAnsi="Arial" w:cs="Arial"/>
          <w:color w:val="000000"/>
          <w:sz w:val="22"/>
          <w:szCs w:val="22"/>
        </w:rPr>
        <w:t>(</w:t>
      </w:r>
      <w:r w:rsidR="00181628" w:rsidRPr="00EE6B78">
        <w:rPr>
          <w:rFonts w:ascii="Arial" w:hAnsi="Arial" w:cs="Arial"/>
          <w:iCs/>
          <w:sz w:val="22"/>
          <w:szCs w:val="22"/>
        </w:rPr>
        <w:t>Tesco Plc | Annual Report</w:t>
      </w:r>
      <w:r w:rsidR="00181628">
        <w:rPr>
          <w:rFonts w:ascii="Arial" w:hAnsi="Arial" w:cs="Arial"/>
          <w:sz w:val="22"/>
          <w:szCs w:val="22"/>
        </w:rPr>
        <w:t xml:space="preserve">, </w:t>
      </w:r>
      <w:r w:rsidR="00181628" w:rsidRPr="00EE6B78">
        <w:rPr>
          <w:rFonts w:ascii="Arial" w:hAnsi="Arial" w:cs="Arial"/>
          <w:sz w:val="22"/>
          <w:szCs w:val="22"/>
        </w:rPr>
        <w:t>2023)</w:t>
      </w:r>
      <w:r w:rsidRPr="005372D0">
        <w:rPr>
          <w:rFonts w:ascii="Arial" w:hAnsi="Arial" w:cs="Arial"/>
          <w:color w:val="000000"/>
          <w:sz w:val="22"/>
          <w:szCs w:val="22"/>
        </w:rPr>
        <w:t xml:space="preserve">. Both businesses, however, had negative ROE in 2021, demonstrating that they were failing to produce returns for their stockholders. Additionally, both firms identify enhancing the profitability position in the context of ROE. </w:t>
      </w:r>
    </w:p>
    <w:p w:rsidR="003D2F92" w:rsidRPr="005372D0" w:rsidRDefault="00C23A2A" w:rsidP="005372D0">
      <w:pPr>
        <w:spacing w:line="360" w:lineRule="auto"/>
        <w:jc w:val="both"/>
        <w:rPr>
          <w:rFonts w:ascii="Arial" w:hAnsi="Arial" w:cs="Arial"/>
          <w:b/>
          <w:i/>
          <w:lang w:val="en-US"/>
        </w:rPr>
      </w:pPr>
      <w:r w:rsidRPr="005372D0">
        <w:rPr>
          <w:rFonts w:ascii="Arial" w:hAnsi="Arial" w:cs="Arial"/>
          <w:b/>
          <w:i/>
          <w:lang w:val="en-US"/>
        </w:rPr>
        <w:t>Liquidity Ratios</w:t>
      </w:r>
    </w:p>
    <w:p w:rsidR="00F71E76" w:rsidRPr="005372D0" w:rsidRDefault="00C23A2A" w:rsidP="005372D0">
      <w:pPr>
        <w:spacing w:line="360" w:lineRule="auto"/>
        <w:jc w:val="both"/>
        <w:rPr>
          <w:rFonts w:ascii="Arial" w:hAnsi="Arial" w:cs="Arial"/>
          <w:b/>
          <w:lang w:val="en-US"/>
        </w:rPr>
      </w:pPr>
      <w:r w:rsidRPr="005372D0">
        <w:rPr>
          <w:rFonts w:ascii="Arial" w:hAnsi="Arial" w:cs="Arial"/>
          <w:b/>
          <w:lang w:val="en-US"/>
        </w:rPr>
        <w:t>Current ratio</w:t>
      </w:r>
    </w:p>
    <w:p w:rsidR="005F71FE" w:rsidRPr="005372D0" w:rsidRDefault="00C23A2A" w:rsidP="005372D0">
      <w:pPr>
        <w:spacing w:line="360" w:lineRule="auto"/>
        <w:jc w:val="center"/>
        <w:rPr>
          <w:rFonts w:ascii="Arial" w:hAnsi="Arial" w:cs="Arial"/>
          <w:b/>
          <w:lang w:val="en-US"/>
        </w:rPr>
      </w:pPr>
      <w:r w:rsidRPr="005372D0">
        <w:rPr>
          <w:rFonts w:ascii="Arial" w:hAnsi="Arial" w:cs="Arial"/>
          <w:noProof/>
          <w:lang w:eastAsia="en-IN"/>
        </w:rPr>
        <w:lastRenderedPageBreak/>
        <w:drawing>
          <wp:inline distT="0" distB="0" distL="0" distR="0">
            <wp:extent cx="3993373" cy="2442352"/>
            <wp:effectExtent l="0" t="0" r="762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3068C" w:rsidRPr="005372D0" w:rsidRDefault="00C23A2A" w:rsidP="005372D0">
      <w:pPr>
        <w:spacing w:line="360" w:lineRule="auto"/>
        <w:jc w:val="center"/>
        <w:rPr>
          <w:rFonts w:ascii="Arial" w:hAnsi="Arial" w:cs="Arial"/>
          <w:b/>
          <w:lang w:val="en-US"/>
        </w:rPr>
      </w:pPr>
      <w:r w:rsidRPr="005372D0">
        <w:rPr>
          <w:rFonts w:ascii="Arial" w:hAnsi="Arial" w:cs="Arial"/>
          <w:b/>
          <w:lang w:val="en-US"/>
        </w:rPr>
        <w:t>Figure 4: Bar graph illustrating the current ratio comparison of both the firms</w:t>
      </w:r>
    </w:p>
    <w:p w:rsidR="00B3068C" w:rsidRPr="005372D0" w:rsidRDefault="00C23A2A" w:rsidP="005372D0">
      <w:pPr>
        <w:spacing w:line="360" w:lineRule="auto"/>
        <w:jc w:val="center"/>
        <w:rPr>
          <w:rFonts w:ascii="Arial" w:hAnsi="Arial" w:cs="Arial"/>
          <w:lang w:val="en-US"/>
        </w:rPr>
      </w:pPr>
      <w:r w:rsidRPr="005372D0">
        <w:rPr>
          <w:rFonts w:ascii="Arial" w:hAnsi="Arial" w:cs="Arial"/>
          <w:lang w:val="en-US"/>
        </w:rPr>
        <w:t>(Source: Self–created)</w:t>
      </w:r>
    </w:p>
    <w:p w:rsidR="00B85EF1" w:rsidRPr="005372D0" w:rsidRDefault="00C23A2A" w:rsidP="005372D0">
      <w:pPr>
        <w:spacing w:line="360" w:lineRule="auto"/>
        <w:jc w:val="both"/>
        <w:rPr>
          <w:rFonts w:ascii="Arial" w:hAnsi="Arial" w:cs="Arial"/>
          <w:lang w:val="en-US"/>
        </w:rPr>
      </w:pPr>
      <w:r w:rsidRPr="005372D0">
        <w:rPr>
          <w:rFonts w:ascii="Arial" w:hAnsi="Arial" w:cs="Arial"/>
          <w:b/>
          <w:i/>
          <w:lang w:val="en-US"/>
        </w:rPr>
        <w:t>Analysis:</w:t>
      </w:r>
      <w:r w:rsidR="000B3494" w:rsidRPr="005372D0">
        <w:rPr>
          <w:rFonts w:ascii="Arial" w:hAnsi="Arial" w:cs="Arial"/>
          <w:b/>
          <w:i/>
          <w:lang w:val="en-US"/>
        </w:rPr>
        <w:t xml:space="preserve"> </w:t>
      </w:r>
      <w:r w:rsidR="00510F25" w:rsidRPr="005372D0">
        <w:rPr>
          <w:rFonts w:ascii="Arial" w:hAnsi="Arial" w:cs="Arial"/>
          <w:lang w:val="en-US"/>
        </w:rPr>
        <w:t>Sainsbury Plc</w:t>
      </w:r>
      <w:r w:rsidR="000B3494" w:rsidRPr="005372D0">
        <w:rPr>
          <w:rFonts w:ascii="Arial" w:hAnsi="Arial" w:cs="Arial"/>
          <w:lang w:val="en-US"/>
        </w:rPr>
        <w:t>'s current ratio grew from 0.60 in 2021 to 0.68 in 2022, demonstrating a better ability for the company to meet its short-term obligations</w:t>
      </w:r>
      <w:r w:rsidR="002954FD">
        <w:rPr>
          <w:rFonts w:ascii="Arial" w:hAnsi="Arial" w:cs="Arial"/>
          <w:lang w:val="en-US"/>
        </w:rPr>
        <w:t xml:space="preserve"> </w:t>
      </w:r>
      <w:r w:rsidR="002954FD">
        <w:rPr>
          <w:rFonts w:ascii="Arial" w:hAnsi="Arial" w:cs="Arial"/>
          <w:color w:val="000000"/>
        </w:rPr>
        <w:t>(</w:t>
      </w:r>
      <w:r w:rsidR="002954FD" w:rsidRPr="00EE6B78">
        <w:rPr>
          <w:rFonts w:ascii="Arial" w:eastAsia="Times New Roman" w:hAnsi="Arial" w:cs="Arial"/>
          <w:iCs/>
          <w:lang w:eastAsia="en-IN"/>
        </w:rPr>
        <w:t>Sainsbury Plc | Annual Report</w:t>
      </w:r>
      <w:r w:rsidR="002954FD">
        <w:rPr>
          <w:rFonts w:ascii="Arial" w:hAnsi="Arial" w:cs="Arial"/>
        </w:rPr>
        <w:t xml:space="preserve">, </w:t>
      </w:r>
      <w:r w:rsidR="002954FD" w:rsidRPr="00EE6B78">
        <w:rPr>
          <w:rFonts w:ascii="Arial" w:eastAsia="Times New Roman" w:hAnsi="Arial" w:cs="Arial"/>
          <w:lang w:eastAsia="en-IN"/>
        </w:rPr>
        <w:t>2023)</w:t>
      </w:r>
      <w:r w:rsidR="000B3494" w:rsidRPr="005372D0">
        <w:rPr>
          <w:rFonts w:ascii="Arial" w:hAnsi="Arial" w:cs="Arial"/>
          <w:lang w:val="en-US"/>
        </w:rPr>
        <w:t>. Similar to this, Tesco Plc's current ratio grew from 0.65 in 2021 to 0.73 in 2022, demonstrating a stronger ability to satisfy its short-term obligations. The current ratios of both businesses, however, are under 1, showing that they have more short-term liabilities than current assets, which may be a sign of possible liquidity problems</w:t>
      </w:r>
      <w:r w:rsidR="00FF250A">
        <w:rPr>
          <w:rFonts w:ascii="Arial" w:hAnsi="Arial" w:cs="Arial"/>
          <w:lang w:val="en-US"/>
        </w:rPr>
        <w:t xml:space="preserve"> (</w:t>
      </w:r>
      <w:r w:rsidR="00FF250A">
        <w:rPr>
          <w:rFonts w:ascii="Arial" w:hAnsi="Arial" w:cs="Arial"/>
          <w:color w:val="222222"/>
          <w:shd w:val="clear" w:color="auto" w:fill="FFFFFF"/>
        </w:rPr>
        <w:t xml:space="preserve">Sari and Sedana, </w:t>
      </w:r>
      <w:r w:rsidR="00FF250A" w:rsidRPr="00EE6B78">
        <w:rPr>
          <w:rFonts w:ascii="Arial" w:hAnsi="Arial" w:cs="Arial"/>
          <w:color w:val="222222"/>
          <w:shd w:val="clear" w:color="auto" w:fill="FFFFFF"/>
        </w:rPr>
        <w:t>2020</w:t>
      </w:r>
      <w:r w:rsidR="00FF250A">
        <w:rPr>
          <w:rFonts w:ascii="Arial" w:hAnsi="Arial" w:cs="Arial"/>
          <w:color w:val="222222"/>
          <w:shd w:val="clear" w:color="auto" w:fill="FFFFFF"/>
        </w:rPr>
        <w:t>)</w:t>
      </w:r>
      <w:r w:rsidR="000B3494" w:rsidRPr="005372D0">
        <w:rPr>
          <w:rFonts w:ascii="Arial" w:hAnsi="Arial" w:cs="Arial"/>
          <w:lang w:val="en-US"/>
        </w:rPr>
        <w:t>.</w:t>
      </w:r>
    </w:p>
    <w:p w:rsidR="00F71E76" w:rsidRPr="005372D0" w:rsidRDefault="00C23A2A" w:rsidP="005372D0">
      <w:pPr>
        <w:spacing w:line="360" w:lineRule="auto"/>
        <w:jc w:val="both"/>
        <w:rPr>
          <w:rFonts w:ascii="Arial" w:hAnsi="Arial" w:cs="Arial"/>
          <w:b/>
          <w:lang w:val="en-US"/>
        </w:rPr>
      </w:pPr>
      <w:r w:rsidRPr="005372D0">
        <w:rPr>
          <w:rFonts w:ascii="Arial" w:hAnsi="Arial" w:cs="Arial"/>
          <w:b/>
          <w:lang w:val="en-US"/>
        </w:rPr>
        <w:t>Quick ratio</w:t>
      </w:r>
    </w:p>
    <w:p w:rsidR="005F71FE" w:rsidRPr="005372D0" w:rsidRDefault="00C23A2A" w:rsidP="005372D0">
      <w:pPr>
        <w:spacing w:line="360" w:lineRule="auto"/>
        <w:jc w:val="center"/>
        <w:rPr>
          <w:rFonts w:ascii="Arial" w:hAnsi="Arial" w:cs="Arial"/>
          <w:b/>
          <w:lang w:val="en-US"/>
        </w:rPr>
      </w:pPr>
      <w:r w:rsidRPr="005372D0">
        <w:rPr>
          <w:rFonts w:ascii="Arial" w:hAnsi="Arial" w:cs="Arial"/>
          <w:noProof/>
          <w:lang w:eastAsia="en-IN"/>
        </w:rPr>
        <w:drawing>
          <wp:inline distT="0" distB="0" distL="0" distR="0">
            <wp:extent cx="4076723" cy="2781943"/>
            <wp:effectExtent l="0" t="0" r="0" b="184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01E21" w:rsidRPr="005372D0" w:rsidRDefault="00C23A2A" w:rsidP="005372D0">
      <w:pPr>
        <w:spacing w:line="360" w:lineRule="auto"/>
        <w:jc w:val="center"/>
        <w:rPr>
          <w:rFonts w:ascii="Arial" w:hAnsi="Arial" w:cs="Arial"/>
          <w:b/>
          <w:lang w:val="en-US"/>
        </w:rPr>
      </w:pPr>
      <w:r w:rsidRPr="005372D0">
        <w:rPr>
          <w:rFonts w:ascii="Arial" w:hAnsi="Arial" w:cs="Arial"/>
          <w:b/>
          <w:lang w:val="en-US"/>
        </w:rPr>
        <w:t>Figure 5: Bar graph providing quick ratio comparison of both the firms</w:t>
      </w:r>
    </w:p>
    <w:p w:rsidR="00401E21" w:rsidRPr="005372D0" w:rsidRDefault="00C23A2A" w:rsidP="005372D0">
      <w:pPr>
        <w:spacing w:line="360" w:lineRule="auto"/>
        <w:jc w:val="center"/>
        <w:rPr>
          <w:rFonts w:ascii="Arial" w:hAnsi="Arial" w:cs="Arial"/>
          <w:lang w:val="en-US"/>
        </w:rPr>
      </w:pPr>
      <w:r w:rsidRPr="005372D0">
        <w:rPr>
          <w:rFonts w:ascii="Arial" w:hAnsi="Arial" w:cs="Arial"/>
          <w:lang w:val="en-US"/>
        </w:rPr>
        <w:t>(Source: Self–created)</w:t>
      </w:r>
    </w:p>
    <w:p w:rsidR="00B85EF1" w:rsidRPr="005372D0" w:rsidRDefault="00C23A2A" w:rsidP="005372D0">
      <w:pPr>
        <w:spacing w:line="360" w:lineRule="auto"/>
        <w:jc w:val="both"/>
        <w:rPr>
          <w:rFonts w:ascii="Arial" w:hAnsi="Arial" w:cs="Arial"/>
          <w:lang w:val="en-US"/>
        </w:rPr>
      </w:pPr>
      <w:r w:rsidRPr="005372D0">
        <w:rPr>
          <w:rFonts w:ascii="Arial" w:hAnsi="Arial" w:cs="Arial"/>
          <w:b/>
          <w:i/>
          <w:lang w:val="en-US"/>
        </w:rPr>
        <w:lastRenderedPageBreak/>
        <w:t>Analysis:</w:t>
      </w:r>
      <w:r w:rsidR="000B3494" w:rsidRPr="005372D0">
        <w:rPr>
          <w:rFonts w:ascii="Arial" w:hAnsi="Arial" w:cs="Arial"/>
          <w:b/>
          <w:i/>
          <w:lang w:val="en-US"/>
        </w:rPr>
        <w:t xml:space="preserve"> </w:t>
      </w:r>
      <w:r w:rsidR="00E81AAA" w:rsidRPr="005372D0">
        <w:rPr>
          <w:rFonts w:ascii="Arial" w:hAnsi="Arial" w:cs="Arial"/>
          <w:lang w:val="en-US"/>
        </w:rPr>
        <w:t>Quick</w:t>
      </w:r>
      <w:r w:rsidR="000B3494" w:rsidRPr="005372D0">
        <w:rPr>
          <w:rFonts w:ascii="Arial" w:hAnsi="Arial" w:cs="Arial"/>
          <w:lang w:val="en-US"/>
        </w:rPr>
        <w:t xml:space="preserve"> ratio, sometimes </w:t>
      </w:r>
      <w:r w:rsidR="008C5266" w:rsidRPr="005372D0">
        <w:rPr>
          <w:rFonts w:ascii="Arial" w:hAnsi="Arial" w:cs="Arial"/>
          <w:lang w:val="en-US"/>
        </w:rPr>
        <w:t xml:space="preserve">also </w:t>
      </w:r>
      <w:r w:rsidR="000B3494" w:rsidRPr="005372D0">
        <w:rPr>
          <w:rFonts w:ascii="Arial" w:hAnsi="Arial" w:cs="Arial"/>
          <w:lang w:val="en-US"/>
        </w:rPr>
        <w:t>referred to as the acid-test ratio, is a stricter method of determining liquidity</w:t>
      </w:r>
      <w:r w:rsidR="00840AE2" w:rsidRPr="005372D0">
        <w:rPr>
          <w:rFonts w:ascii="Arial" w:hAnsi="Arial" w:cs="Arial"/>
          <w:lang w:val="en-US"/>
        </w:rPr>
        <w:t xml:space="preserve"> that excludes inventory structure</w:t>
      </w:r>
      <w:r w:rsidR="00DC30CF" w:rsidRPr="005372D0">
        <w:rPr>
          <w:rFonts w:ascii="Arial" w:hAnsi="Arial" w:cs="Arial"/>
          <w:lang w:val="en-US"/>
        </w:rPr>
        <w:t>. The quick</w:t>
      </w:r>
      <w:r w:rsidR="000B3494" w:rsidRPr="005372D0">
        <w:rPr>
          <w:rFonts w:ascii="Arial" w:hAnsi="Arial" w:cs="Arial"/>
          <w:lang w:val="en-US"/>
        </w:rPr>
        <w:t xml:space="preserve"> ratios of Sainsbury Plc and Tesco Plc both increased in 2022 compared to 2021, which suggests that they are less dependent on inventories to meet their short-term obligations. </w:t>
      </w:r>
      <w:r w:rsidR="008B49A9" w:rsidRPr="005372D0">
        <w:rPr>
          <w:rFonts w:ascii="Arial" w:hAnsi="Arial" w:cs="Arial"/>
          <w:lang w:val="en-US"/>
        </w:rPr>
        <w:t>Furthermore, b</w:t>
      </w:r>
      <w:r w:rsidR="000B3494" w:rsidRPr="005372D0">
        <w:rPr>
          <w:rFonts w:ascii="Arial" w:hAnsi="Arial" w:cs="Arial"/>
          <w:lang w:val="en-US"/>
        </w:rPr>
        <w:t>oth companies' quick ratios, however, are still below 1, which would point to a possible liquidity issue</w:t>
      </w:r>
      <w:r w:rsidR="00AC200D">
        <w:rPr>
          <w:rFonts w:ascii="Arial" w:hAnsi="Arial" w:cs="Arial"/>
          <w:lang w:val="en-US"/>
        </w:rPr>
        <w:t xml:space="preserve"> (</w:t>
      </w:r>
      <w:r w:rsidR="00AC200D">
        <w:rPr>
          <w:rFonts w:ascii="Arial" w:hAnsi="Arial" w:cs="Arial"/>
          <w:color w:val="222222"/>
          <w:shd w:val="clear" w:color="auto" w:fill="FFFFFF"/>
        </w:rPr>
        <w:t xml:space="preserve">Hasanaj and Kuqi, </w:t>
      </w:r>
      <w:r w:rsidR="00AC200D" w:rsidRPr="00EE6B78">
        <w:rPr>
          <w:rFonts w:ascii="Arial" w:hAnsi="Arial" w:cs="Arial"/>
          <w:color w:val="222222"/>
          <w:shd w:val="clear" w:color="auto" w:fill="FFFFFF"/>
        </w:rPr>
        <w:t>2019</w:t>
      </w:r>
      <w:r w:rsidR="00AC200D">
        <w:rPr>
          <w:rFonts w:ascii="Arial" w:hAnsi="Arial" w:cs="Arial"/>
          <w:color w:val="222222"/>
          <w:shd w:val="clear" w:color="auto" w:fill="FFFFFF"/>
        </w:rPr>
        <w:t>)</w:t>
      </w:r>
      <w:r w:rsidR="000B3494" w:rsidRPr="005372D0">
        <w:rPr>
          <w:rFonts w:ascii="Arial" w:hAnsi="Arial" w:cs="Arial"/>
          <w:lang w:val="en-US"/>
        </w:rPr>
        <w:t>.</w:t>
      </w:r>
    </w:p>
    <w:p w:rsidR="00F71E76" w:rsidRPr="005372D0" w:rsidRDefault="00C23A2A" w:rsidP="005372D0">
      <w:pPr>
        <w:spacing w:line="360" w:lineRule="auto"/>
        <w:jc w:val="both"/>
        <w:rPr>
          <w:rFonts w:ascii="Arial" w:hAnsi="Arial" w:cs="Arial"/>
          <w:b/>
          <w:lang w:val="en-US"/>
        </w:rPr>
      </w:pPr>
      <w:r w:rsidRPr="005372D0">
        <w:rPr>
          <w:rFonts w:ascii="Arial" w:hAnsi="Arial" w:cs="Arial"/>
          <w:b/>
          <w:lang w:val="en-US"/>
        </w:rPr>
        <w:t xml:space="preserve">Cash ratio </w:t>
      </w:r>
    </w:p>
    <w:p w:rsidR="005F71FE" w:rsidRPr="005372D0" w:rsidRDefault="00C23A2A" w:rsidP="005372D0">
      <w:pPr>
        <w:spacing w:line="360" w:lineRule="auto"/>
        <w:jc w:val="center"/>
        <w:rPr>
          <w:rFonts w:ascii="Arial" w:hAnsi="Arial" w:cs="Arial"/>
          <w:b/>
          <w:lang w:val="en-US"/>
        </w:rPr>
      </w:pPr>
      <w:r w:rsidRPr="005372D0">
        <w:rPr>
          <w:rFonts w:ascii="Arial" w:hAnsi="Arial" w:cs="Arial"/>
          <w:noProof/>
          <w:lang w:eastAsia="en-IN"/>
        </w:rPr>
        <w:drawing>
          <wp:inline distT="0" distB="0" distL="0" distR="0">
            <wp:extent cx="4082320" cy="2539547"/>
            <wp:effectExtent l="0" t="0" r="13970" b="133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311B9" w:rsidRPr="005372D0" w:rsidRDefault="00032B2E" w:rsidP="005372D0">
      <w:pPr>
        <w:spacing w:line="360" w:lineRule="auto"/>
        <w:jc w:val="center"/>
        <w:rPr>
          <w:rFonts w:ascii="Arial" w:hAnsi="Arial" w:cs="Arial"/>
          <w:b/>
          <w:lang w:val="en-US"/>
        </w:rPr>
      </w:pPr>
      <w:r>
        <w:rPr>
          <w:rFonts w:ascii="Arial" w:hAnsi="Arial" w:cs="Arial"/>
          <w:b/>
          <w:lang w:val="en-US"/>
        </w:rPr>
        <w:t>Figure 6</w:t>
      </w:r>
      <w:r w:rsidR="00C23A2A" w:rsidRPr="005372D0">
        <w:rPr>
          <w:rFonts w:ascii="Arial" w:hAnsi="Arial" w:cs="Arial"/>
          <w:b/>
          <w:lang w:val="en-US"/>
        </w:rPr>
        <w:t>: Line graph presenting quick ratio comparison of both the firms</w:t>
      </w:r>
    </w:p>
    <w:p w:rsidR="00D311B9" w:rsidRPr="005372D0" w:rsidRDefault="00C23A2A" w:rsidP="005372D0">
      <w:pPr>
        <w:spacing w:line="360" w:lineRule="auto"/>
        <w:jc w:val="center"/>
        <w:rPr>
          <w:rFonts w:ascii="Arial" w:hAnsi="Arial" w:cs="Arial"/>
          <w:lang w:val="en-US"/>
        </w:rPr>
      </w:pPr>
      <w:r w:rsidRPr="005372D0">
        <w:rPr>
          <w:rFonts w:ascii="Arial" w:hAnsi="Arial" w:cs="Arial"/>
          <w:lang w:val="en-US"/>
        </w:rPr>
        <w:t>(Source: Self–created)</w:t>
      </w:r>
    </w:p>
    <w:p w:rsidR="00F71E76" w:rsidRPr="005372D0" w:rsidRDefault="00C23A2A" w:rsidP="005372D0">
      <w:pPr>
        <w:spacing w:line="360" w:lineRule="auto"/>
        <w:jc w:val="both"/>
        <w:rPr>
          <w:rFonts w:ascii="Arial" w:hAnsi="Arial" w:cs="Arial"/>
          <w:lang w:val="en-US"/>
        </w:rPr>
      </w:pPr>
      <w:r w:rsidRPr="005372D0">
        <w:rPr>
          <w:rFonts w:ascii="Arial" w:hAnsi="Arial" w:cs="Arial"/>
          <w:b/>
          <w:i/>
          <w:lang w:val="en-US"/>
        </w:rPr>
        <w:t>Analysis:</w:t>
      </w:r>
      <w:r w:rsidR="000B3494" w:rsidRPr="005372D0">
        <w:rPr>
          <w:rFonts w:ascii="Arial" w:hAnsi="Arial" w:cs="Arial"/>
          <w:b/>
          <w:i/>
          <w:lang w:val="en-US"/>
        </w:rPr>
        <w:t xml:space="preserve"> </w:t>
      </w:r>
      <w:r w:rsidR="000B3494" w:rsidRPr="005372D0">
        <w:rPr>
          <w:rFonts w:ascii="Arial" w:hAnsi="Arial" w:cs="Arial"/>
          <w:lang w:val="en-US"/>
        </w:rPr>
        <w:t>A company's ability to meet its short-term obligations entirely with cash and cash equivalents is gauged by the cash ratio. Tesco Plc's cash ratio dropped from 0.16 in 2021 to 0.1</w:t>
      </w:r>
      <w:r w:rsidR="00510F25" w:rsidRPr="005372D0">
        <w:rPr>
          <w:rFonts w:ascii="Arial" w:hAnsi="Arial" w:cs="Arial"/>
          <w:lang w:val="en-US"/>
        </w:rPr>
        <w:t>5 in 2022, while Sainsbury Plc</w:t>
      </w:r>
      <w:r w:rsidR="000B3494" w:rsidRPr="005372D0">
        <w:rPr>
          <w:rFonts w:ascii="Arial" w:hAnsi="Arial" w:cs="Arial"/>
          <w:lang w:val="en-US"/>
        </w:rPr>
        <w:t xml:space="preserve"> fell from 0.13 in 2021 to 0.08 in 2022. These reductions show that both companies' short-term l</w:t>
      </w:r>
      <w:r w:rsidR="0052012D" w:rsidRPr="005372D0">
        <w:rPr>
          <w:rFonts w:ascii="Arial" w:hAnsi="Arial" w:cs="Arial"/>
          <w:lang w:val="en-US"/>
        </w:rPr>
        <w:t xml:space="preserve">iquidity has decreased somewhat and hereby need to </w:t>
      </w:r>
      <w:r w:rsidR="005550F3" w:rsidRPr="005372D0">
        <w:rPr>
          <w:rFonts w:ascii="Arial" w:hAnsi="Arial" w:cs="Arial"/>
          <w:lang w:val="en-US"/>
        </w:rPr>
        <w:t>improve</w:t>
      </w:r>
      <w:r w:rsidR="0052012D" w:rsidRPr="005372D0">
        <w:rPr>
          <w:rFonts w:ascii="Arial" w:hAnsi="Arial" w:cs="Arial"/>
          <w:lang w:val="en-US"/>
        </w:rPr>
        <w:t xml:space="preserve"> their liquidity structure urgently</w:t>
      </w:r>
      <w:r w:rsidR="00AC200D">
        <w:rPr>
          <w:rFonts w:ascii="Arial" w:hAnsi="Arial" w:cs="Arial"/>
          <w:lang w:val="en-US"/>
        </w:rPr>
        <w:t xml:space="preserve"> </w:t>
      </w:r>
      <w:r w:rsidR="00AC200D">
        <w:rPr>
          <w:rFonts w:ascii="Arial" w:hAnsi="Arial" w:cs="Arial"/>
          <w:lang w:val="en-US"/>
        </w:rPr>
        <w:t>(</w:t>
      </w:r>
      <w:r w:rsidR="00AC200D">
        <w:rPr>
          <w:rFonts w:ascii="Arial" w:hAnsi="Arial" w:cs="Arial"/>
          <w:color w:val="222222"/>
          <w:shd w:val="clear" w:color="auto" w:fill="FFFFFF"/>
        </w:rPr>
        <w:t xml:space="preserve">Sari and Sedana, </w:t>
      </w:r>
      <w:r w:rsidR="00AC200D" w:rsidRPr="00EE6B78">
        <w:rPr>
          <w:rFonts w:ascii="Arial" w:hAnsi="Arial" w:cs="Arial"/>
          <w:color w:val="222222"/>
          <w:shd w:val="clear" w:color="auto" w:fill="FFFFFF"/>
        </w:rPr>
        <w:t>2020</w:t>
      </w:r>
      <w:r w:rsidR="00AC200D">
        <w:rPr>
          <w:rFonts w:ascii="Arial" w:hAnsi="Arial" w:cs="Arial"/>
          <w:color w:val="222222"/>
          <w:shd w:val="clear" w:color="auto" w:fill="FFFFFF"/>
        </w:rPr>
        <w:t>)</w:t>
      </w:r>
      <w:r w:rsidR="0052012D" w:rsidRPr="005372D0">
        <w:rPr>
          <w:rFonts w:ascii="Arial" w:hAnsi="Arial" w:cs="Arial"/>
          <w:lang w:val="en-US"/>
        </w:rPr>
        <w:t xml:space="preserve">. </w:t>
      </w:r>
    </w:p>
    <w:p w:rsidR="009B3C2D" w:rsidRPr="005372D0" w:rsidRDefault="00C23A2A" w:rsidP="005372D0">
      <w:pPr>
        <w:pStyle w:val="Heading1"/>
      </w:pPr>
      <w:bookmarkStart w:id="10" w:name="_Toc132397984"/>
      <w:bookmarkStart w:id="11" w:name="_Toc132476781"/>
      <w:r w:rsidRPr="005372D0">
        <w:t>3. Balanced Scorecard</w:t>
      </w:r>
      <w:bookmarkEnd w:id="10"/>
      <w:bookmarkEnd w:id="11"/>
      <w:r w:rsidRPr="005372D0">
        <w:t xml:space="preserve"> </w:t>
      </w:r>
    </w:p>
    <w:p w:rsidR="003D2F92" w:rsidRPr="005372D0" w:rsidRDefault="00C23A2A" w:rsidP="005372D0">
      <w:pPr>
        <w:pStyle w:val="Heading2"/>
      </w:pPr>
      <w:bookmarkStart w:id="12" w:name="_Toc132397985"/>
      <w:bookmarkStart w:id="13" w:name="_Toc132476782"/>
      <w:r w:rsidRPr="005372D0">
        <w:t>Mission, vision, and strategy of Sainsbury</w:t>
      </w:r>
      <w:bookmarkEnd w:id="12"/>
      <w:bookmarkEnd w:id="13"/>
      <w:r w:rsidRPr="005372D0">
        <w:t xml:space="preserve"> </w:t>
      </w:r>
    </w:p>
    <w:p w:rsidR="00BC09AA" w:rsidRPr="005372D0" w:rsidRDefault="00C23A2A" w:rsidP="005372D0">
      <w:pPr>
        <w:pStyle w:val="NormalWeb"/>
        <w:spacing w:before="240" w:beforeAutospacing="0" w:after="240" w:afterAutospacing="0" w:line="360" w:lineRule="auto"/>
        <w:jc w:val="both"/>
        <w:rPr>
          <w:rFonts w:ascii="Arial" w:hAnsi="Arial" w:cs="Arial"/>
          <w:sz w:val="22"/>
          <w:szCs w:val="22"/>
        </w:rPr>
      </w:pPr>
      <w:r w:rsidRPr="005372D0">
        <w:rPr>
          <w:rFonts w:ascii="Arial" w:hAnsi="Arial" w:cs="Arial"/>
          <w:b/>
          <w:bCs/>
          <w:i/>
          <w:iCs/>
          <w:color w:val="000000"/>
          <w:sz w:val="22"/>
          <w:szCs w:val="22"/>
        </w:rPr>
        <w:t>Mission Statement</w:t>
      </w:r>
    </w:p>
    <w:p w:rsidR="00BC09AA" w:rsidRPr="005372D0" w:rsidRDefault="00C23A2A" w:rsidP="005372D0">
      <w:pPr>
        <w:pStyle w:val="NormalWeb"/>
        <w:spacing w:before="240" w:beforeAutospacing="0" w:after="240" w:afterAutospacing="0" w:line="360" w:lineRule="auto"/>
        <w:jc w:val="both"/>
        <w:rPr>
          <w:rFonts w:ascii="Arial" w:hAnsi="Arial" w:cs="Arial"/>
          <w:sz w:val="22"/>
          <w:szCs w:val="22"/>
        </w:rPr>
      </w:pPr>
      <w:r w:rsidRPr="005372D0">
        <w:rPr>
          <w:rFonts w:ascii="Arial" w:hAnsi="Arial" w:cs="Arial"/>
          <w:color w:val="000000"/>
          <w:sz w:val="22"/>
          <w:szCs w:val="22"/>
        </w:rPr>
        <w:t xml:space="preserve">The mission statement of Sainsbury Plc includes "to be the most trusted retailer where people love to work and shop." </w:t>
      </w:r>
      <w:r w:rsidR="00942D97" w:rsidRPr="005372D0">
        <w:rPr>
          <w:rFonts w:ascii="Arial" w:hAnsi="Arial" w:cs="Arial"/>
          <w:color w:val="000000"/>
          <w:sz w:val="22"/>
          <w:szCs w:val="22"/>
        </w:rPr>
        <w:t xml:space="preserve">As highlighted by </w:t>
      </w:r>
      <w:r w:rsidR="00942D97" w:rsidRPr="005372D0">
        <w:rPr>
          <w:rFonts w:ascii="Arial" w:hAnsi="Arial" w:cs="Arial"/>
          <w:color w:val="222222"/>
          <w:sz w:val="22"/>
          <w:szCs w:val="22"/>
          <w:shd w:val="clear" w:color="auto" w:fill="FFFFFF"/>
        </w:rPr>
        <w:t xml:space="preserve">Keay and Iqbal (2019), </w:t>
      </w:r>
      <w:r w:rsidR="00942D97" w:rsidRPr="005372D0">
        <w:rPr>
          <w:rFonts w:ascii="Arial" w:hAnsi="Arial" w:cs="Arial"/>
          <w:color w:val="000000"/>
          <w:sz w:val="22"/>
          <w:szCs w:val="22"/>
        </w:rPr>
        <w:t>t</w:t>
      </w:r>
      <w:r w:rsidRPr="005372D0">
        <w:rPr>
          <w:rFonts w:ascii="Arial" w:hAnsi="Arial" w:cs="Arial"/>
          <w:color w:val="000000"/>
          <w:sz w:val="22"/>
          <w:szCs w:val="22"/>
        </w:rPr>
        <w:t xml:space="preserve">he company's commitment to offering its clients high-quality goods and services while also fostering a supportive workplace culture is reflected in the mission statement. However, Sainsbury's works to </w:t>
      </w:r>
      <w:r w:rsidRPr="005372D0">
        <w:rPr>
          <w:rFonts w:ascii="Arial" w:hAnsi="Arial" w:cs="Arial"/>
          <w:color w:val="000000"/>
          <w:sz w:val="22"/>
          <w:szCs w:val="22"/>
        </w:rPr>
        <w:lastRenderedPageBreak/>
        <w:t>establish trust with its clients, staff members, and other stakeholders because the company believes trust is essential to its ultimate success.</w:t>
      </w:r>
    </w:p>
    <w:p w:rsidR="00BC09AA" w:rsidRPr="005372D0" w:rsidRDefault="00C23A2A" w:rsidP="005372D0">
      <w:pPr>
        <w:pStyle w:val="NormalWeb"/>
        <w:spacing w:before="240" w:beforeAutospacing="0" w:after="240" w:afterAutospacing="0" w:line="360" w:lineRule="auto"/>
        <w:jc w:val="both"/>
        <w:rPr>
          <w:rFonts w:ascii="Arial" w:hAnsi="Arial" w:cs="Arial"/>
          <w:sz w:val="22"/>
          <w:szCs w:val="22"/>
        </w:rPr>
      </w:pPr>
      <w:r w:rsidRPr="005372D0">
        <w:rPr>
          <w:rFonts w:ascii="Arial" w:hAnsi="Arial" w:cs="Arial"/>
          <w:b/>
          <w:bCs/>
          <w:i/>
          <w:iCs/>
          <w:color w:val="000000"/>
          <w:sz w:val="22"/>
          <w:szCs w:val="22"/>
        </w:rPr>
        <w:t>Vision Statement</w:t>
      </w:r>
    </w:p>
    <w:p w:rsidR="00BC09AA" w:rsidRPr="005372D0" w:rsidRDefault="00C23A2A" w:rsidP="005372D0">
      <w:pPr>
        <w:pStyle w:val="NormalWeb"/>
        <w:spacing w:before="240" w:beforeAutospacing="0" w:after="240" w:afterAutospacing="0" w:line="360" w:lineRule="auto"/>
        <w:jc w:val="both"/>
        <w:rPr>
          <w:rFonts w:ascii="Arial" w:hAnsi="Arial" w:cs="Arial"/>
          <w:sz w:val="22"/>
          <w:szCs w:val="22"/>
        </w:rPr>
      </w:pPr>
      <w:r w:rsidRPr="005372D0">
        <w:rPr>
          <w:rFonts w:ascii="Arial" w:hAnsi="Arial" w:cs="Arial"/>
          <w:color w:val="000000"/>
          <w:sz w:val="22"/>
          <w:szCs w:val="22"/>
        </w:rPr>
        <w:t xml:space="preserve">The vision statement of Sainsbury involves "helping customers live well for less." </w:t>
      </w:r>
      <w:r w:rsidR="0029120F" w:rsidRPr="005372D0">
        <w:rPr>
          <w:rFonts w:ascii="Arial" w:hAnsi="Arial" w:cs="Arial"/>
          <w:color w:val="000000"/>
          <w:sz w:val="22"/>
          <w:szCs w:val="22"/>
        </w:rPr>
        <w:t xml:space="preserve">As recognised by </w:t>
      </w:r>
      <w:r w:rsidR="0029120F" w:rsidRPr="005372D0">
        <w:rPr>
          <w:rFonts w:ascii="Arial" w:hAnsi="Arial" w:cs="Arial"/>
          <w:color w:val="222222"/>
          <w:sz w:val="22"/>
          <w:szCs w:val="22"/>
          <w:shd w:val="clear" w:color="auto" w:fill="FFFFFF"/>
        </w:rPr>
        <w:t xml:space="preserve">Jones and Comfort (2019), </w:t>
      </w:r>
      <w:r w:rsidR="0029120F" w:rsidRPr="005372D0">
        <w:rPr>
          <w:rFonts w:ascii="Arial" w:hAnsi="Arial" w:cs="Arial"/>
          <w:color w:val="000000"/>
          <w:sz w:val="22"/>
          <w:szCs w:val="22"/>
        </w:rPr>
        <w:t>t</w:t>
      </w:r>
      <w:r w:rsidRPr="005372D0">
        <w:rPr>
          <w:rFonts w:ascii="Arial" w:hAnsi="Arial" w:cs="Arial"/>
          <w:color w:val="000000"/>
          <w:sz w:val="22"/>
          <w:szCs w:val="22"/>
        </w:rPr>
        <w:t>he company's commitment to providing value to its clients by providing high-quality products at competitive costs is reflected in the vision statement. Sainsbury's acknowledges that many customers are price-conscious and aims to offer them goods that are both reasonably priced and of excellent quality.</w:t>
      </w:r>
    </w:p>
    <w:p w:rsidR="00BC09AA" w:rsidRPr="005372D0" w:rsidRDefault="00C23A2A" w:rsidP="005372D0">
      <w:pPr>
        <w:pStyle w:val="NormalWeb"/>
        <w:spacing w:before="240" w:beforeAutospacing="0" w:after="240" w:afterAutospacing="0" w:line="360" w:lineRule="auto"/>
        <w:jc w:val="both"/>
        <w:rPr>
          <w:rFonts w:ascii="Arial" w:hAnsi="Arial" w:cs="Arial"/>
          <w:sz w:val="22"/>
          <w:szCs w:val="22"/>
        </w:rPr>
      </w:pPr>
      <w:r w:rsidRPr="005372D0">
        <w:rPr>
          <w:rFonts w:ascii="Arial" w:hAnsi="Arial" w:cs="Arial"/>
          <w:b/>
          <w:bCs/>
          <w:i/>
          <w:iCs/>
          <w:color w:val="000000"/>
          <w:sz w:val="22"/>
          <w:szCs w:val="22"/>
        </w:rPr>
        <w:t>Strategy</w:t>
      </w:r>
    </w:p>
    <w:p w:rsidR="00BC09AA" w:rsidRPr="005372D0" w:rsidRDefault="00C23A2A" w:rsidP="005372D0">
      <w:pPr>
        <w:pStyle w:val="NormalWeb"/>
        <w:spacing w:before="240" w:beforeAutospacing="0" w:after="240" w:afterAutospacing="0" w:line="360" w:lineRule="auto"/>
        <w:jc w:val="both"/>
        <w:rPr>
          <w:rFonts w:ascii="Arial" w:hAnsi="Arial" w:cs="Arial"/>
          <w:sz w:val="22"/>
          <w:szCs w:val="22"/>
        </w:rPr>
      </w:pPr>
      <w:r w:rsidRPr="005372D0">
        <w:rPr>
          <w:rFonts w:ascii="Arial" w:hAnsi="Arial" w:cs="Arial"/>
          <w:color w:val="000000"/>
          <w:sz w:val="22"/>
          <w:szCs w:val="22"/>
        </w:rPr>
        <w:t xml:space="preserve">Expanding its digital capabilities, providing value to clients, offering top-notch customer service, and increasing efficiency are the four main areas on which Sainsbury's strategy is concentrated. </w:t>
      </w:r>
      <w:r w:rsidR="003B4F09" w:rsidRPr="005372D0">
        <w:rPr>
          <w:rFonts w:ascii="Arial" w:hAnsi="Arial" w:cs="Arial"/>
          <w:color w:val="000000"/>
          <w:sz w:val="22"/>
          <w:szCs w:val="22"/>
        </w:rPr>
        <w:t xml:space="preserve">As opined by </w:t>
      </w:r>
      <w:r w:rsidR="003B4F09" w:rsidRPr="005372D0">
        <w:rPr>
          <w:rFonts w:ascii="Arial" w:hAnsi="Arial" w:cs="Arial"/>
          <w:color w:val="222222"/>
          <w:sz w:val="22"/>
          <w:szCs w:val="22"/>
          <w:shd w:val="clear" w:color="auto" w:fill="FFFFFF"/>
        </w:rPr>
        <w:t xml:space="preserve">Xiao, Chen, and Yu (2021), </w:t>
      </w:r>
      <w:r w:rsidR="003B4F09" w:rsidRPr="005372D0">
        <w:rPr>
          <w:rFonts w:ascii="Arial" w:hAnsi="Arial" w:cs="Arial"/>
          <w:color w:val="000000"/>
          <w:sz w:val="22"/>
          <w:szCs w:val="22"/>
        </w:rPr>
        <w:t>r</w:t>
      </w:r>
      <w:r w:rsidRPr="005372D0">
        <w:rPr>
          <w:rFonts w:ascii="Arial" w:hAnsi="Arial" w:cs="Arial"/>
          <w:color w:val="000000"/>
          <w:sz w:val="22"/>
          <w:szCs w:val="22"/>
        </w:rPr>
        <w:t>ecognising the significance of e-commerce in the current market, the company has made significant investments in its online and digital capabilities. By giving discounts and pricing that are competitive, Sainsbury's aims to add value to its customers while also delivering a wonderful shopping experience.</w:t>
      </w:r>
    </w:p>
    <w:p w:rsidR="00BC09AA" w:rsidRPr="005372D0" w:rsidRDefault="00C23A2A" w:rsidP="005372D0">
      <w:pPr>
        <w:pStyle w:val="NormalWeb"/>
        <w:spacing w:before="240" w:beforeAutospacing="0" w:after="240" w:afterAutospacing="0" w:line="360" w:lineRule="auto"/>
        <w:jc w:val="both"/>
        <w:rPr>
          <w:rFonts w:ascii="Arial" w:hAnsi="Arial" w:cs="Arial"/>
          <w:sz w:val="22"/>
          <w:szCs w:val="22"/>
        </w:rPr>
      </w:pPr>
      <w:r w:rsidRPr="005372D0">
        <w:rPr>
          <w:rFonts w:ascii="Arial" w:hAnsi="Arial" w:cs="Arial"/>
          <w:color w:val="000000"/>
          <w:sz w:val="22"/>
          <w:szCs w:val="22"/>
        </w:rPr>
        <w:t xml:space="preserve">Besides, Sainsbury's has also started a cost-cutting initiative to boost productivity and streamline operations. </w:t>
      </w:r>
      <w:r w:rsidR="000720C6" w:rsidRPr="005372D0">
        <w:rPr>
          <w:rFonts w:ascii="Arial" w:hAnsi="Arial" w:cs="Arial"/>
          <w:color w:val="000000"/>
          <w:sz w:val="22"/>
          <w:szCs w:val="22"/>
        </w:rPr>
        <w:t xml:space="preserve">As distinguished by </w:t>
      </w:r>
      <w:r w:rsidR="000720C6" w:rsidRPr="005372D0">
        <w:rPr>
          <w:rFonts w:ascii="Arial" w:hAnsi="Arial" w:cs="Arial"/>
          <w:color w:val="222222"/>
          <w:sz w:val="22"/>
          <w:szCs w:val="22"/>
          <w:shd w:val="clear" w:color="auto" w:fill="FFFFFF"/>
        </w:rPr>
        <w:t xml:space="preserve">Benghezal and Izadi (2022), </w:t>
      </w:r>
      <w:r w:rsidR="000720C6" w:rsidRPr="005372D0">
        <w:rPr>
          <w:rFonts w:ascii="Arial" w:hAnsi="Arial" w:cs="Arial"/>
          <w:color w:val="000000"/>
          <w:sz w:val="22"/>
          <w:szCs w:val="22"/>
        </w:rPr>
        <w:t>t</w:t>
      </w:r>
      <w:r w:rsidRPr="005372D0">
        <w:rPr>
          <w:rFonts w:ascii="Arial" w:hAnsi="Arial" w:cs="Arial"/>
          <w:color w:val="000000"/>
          <w:sz w:val="22"/>
          <w:szCs w:val="22"/>
        </w:rPr>
        <w:t>his in return entails cutting costs by streamlining the supply chain, streamlining store designs, and introducing new technologies to influence their inventory management and cut waste practices. Irrespective of these, Sainsbury's plan also includes a commitment to sustainability. The corporation has set lofty goals to reduce food waste, packaging made of plastic, and its carbon footprint. Sainsbury's is dedicated to being a pioneer in this field as the corporation understands that consumers are placing a greater emphasis on sustainability</w:t>
      </w:r>
      <w:r w:rsidR="00C7303F" w:rsidRPr="005372D0">
        <w:rPr>
          <w:rFonts w:ascii="Arial" w:hAnsi="Arial" w:cs="Arial"/>
          <w:color w:val="000000"/>
          <w:sz w:val="22"/>
          <w:szCs w:val="22"/>
        </w:rPr>
        <w:t xml:space="preserve"> (</w:t>
      </w:r>
      <w:r w:rsidR="00C7303F" w:rsidRPr="005372D0">
        <w:rPr>
          <w:rFonts w:ascii="Arial" w:hAnsi="Arial" w:cs="Arial"/>
          <w:color w:val="222222"/>
          <w:sz w:val="22"/>
          <w:szCs w:val="22"/>
          <w:shd w:val="clear" w:color="auto" w:fill="FFFFFF"/>
        </w:rPr>
        <w:t>Terry and Mur, 2021)</w:t>
      </w:r>
      <w:r w:rsidRPr="005372D0">
        <w:rPr>
          <w:rFonts w:ascii="Arial" w:hAnsi="Arial" w:cs="Arial"/>
          <w:color w:val="000000"/>
          <w:sz w:val="22"/>
          <w:szCs w:val="22"/>
        </w:rPr>
        <w:t>.</w:t>
      </w:r>
    </w:p>
    <w:p w:rsidR="003D2F92" w:rsidRPr="005372D0" w:rsidRDefault="00C23A2A" w:rsidP="005372D0">
      <w:pPr>
        <w:pStyle w:val="Heading2"/>
      </w:pPr>
      <w:bookmarkStart w:id="14" w:name="_Toc132397986"/>
      <w:bookmarkStart w:id="15" w:name="_Toc132476783"/>
      <w:r w:rsidRPr="005372D0">
        <w:t>Balanced Scorecards of Sainsbury</w:t>
      </w:r>
      <w:bookmarkEnd w:id="14"/>
      <w:bookmarkEnd w:id="15"/>
    </w:p>
    <w:p w:rsidR="00853F2F" w:rsidRPr="005372D0" w:rsidRDefault="00C23A2A" w:rsidP="005372D0">
      <w:pPr>
        <w:spacing w:line="360" w:lineRule="auto"/>
        <w:jc w:val="both"/>
        <w:rPr>
          <w:rFonts w:ascii="Arial" w:hAnsi="Arial" w:cs="Arial"/>
          <w:lang w:val="en-US"/>
        </w:rPr>
      </w:pPr>
      <w:r w:rsidRPr="005372D0">
        <w:rPr>
          <w:rFonts w:ascii="Arial" w:hAnsi="Arial" w:cs="Arial"/>
          <w:lang w:val="en-US"/>
        </w:rPr>
        <w:t>A strategic management framework called the Balanced Scorecard (BSC) aids firms in matching their goals with their overarching strategy.</w:t>
      </w:r>
      <w:r w:rsidR="00264219" w:rsidRPr="005372D0">
        <w:rPr>
          <w:rFonts w:ascii="Arial" w:hAnsi="Arial" w:cs="Arial"/>
          <w:lang w:val="en-US"/>
        </w:rPr>
        <w:t xml:space="preserve"> As presented by </w:t>
      </w:r>
      <w:r w:rsidR="00264219" w:rsidRPr="005372D0">
        <w:rPr>
          <w:rFonts w:ascii="Arial" w:hAnsi="Arial" w:cs="Arial"/>
          <w:color w:val="222222"/>
          <w:shd w:val="clear" w:color="auto" w:fill="FFFFFF"/>
        </w:rPr>
        <w:t xml:space="preserve">Krylov (2019), </w:t>
      </w:r>
      <w:r w:rsidR="00264219" w:rsidRPr="005372D0">
        <w:rPr>
          <w:rFonts w:ascii="Arial" w:hAnsi="Arial" w:cs="Arial"/>
          <w:lang w:val="en-US"/>
        </w:rPr>
        <w:t>f</w:t>
      </w:r>
      <w:r w:rsidRPr="005372D0">
        <w:rPr>
          <w:rFonts w:ascii="Arial" w:hAnsi="Arial" w:cs="Arial"/>
          <w:lang w:val="en-US"/>
        </w:rPr>
        <w:t>inancial, customer, internal process, and learning and growth are the four viewpoints that make up this system. For each aspect of the B</w:t>
      </w:r>
      <w:r w:rsidR="00122913" w:rsidRPr="005372D0">
        <w:rPr>
          <w:rFonts w:ascii="Arial" w:hAnsi="Arial" w:cs="Arial"/>
          <w:lang w:val="en-US"/>
        </w:rPr>
        <w:t xml:space="preserve">alanced Scorecard, the below-provided table lists </w:t>
      </w:r>
      <w:r w:rsidRPr="005372D0">
        <w:rPr>
          <w:rFonts w:ascii="Arial" w:hAnsi="Arial" w:cs="Arial"/>
          <w:lang w:val="en-US"/>
        </w:rPr>
        <w:t>a set of objectives, targets, indicators, and activities for a well-known UK grocery chain</w:t>
      </w:r>
      <w:r w:rsidR="00122913" w:rsidRPr="005372D0">
        <w:rPr>
          <w:rFonts w:ascii="Arial" w:hAnsi="Arial" w:cs="Arial"/>
          <w:lang w:val="en-US"/>
        </w:rPr>
        <w:t xml:space="preserve"> namely Sainsbury Plc</w:t>
      </w:r>
      <w:r w:rsidRPr="005372D0">
        <w:rPr>
          <w:rFonts w:ascii="Arial" w:hAnsi="Arial" w:cs="Arial"/>
          <w:lang w:val="en-US"/>
        </w:rPr>
        <w:t>.</w:t>
      </w:r>
    </w:p>
    <w:tbl>
      <w:tblPr>
        <w:tblStyle w:val="TableGrid"/>
        <w:tblW w:w="0" w:type="auto"/>
        <w:tblLook w:val="04A0" w:firstRow="1" w:lastRow="0" w:firstColumn="1" w:lastColumn="0" w:noHBand="0" w:noVBand="1"/>
      </w:tblPr>
      <w:tblGrid>
        <w:gridCol w:w="1289"/>
        <w:gridCol w:w="2048"/>
        <w:gridCol w:w="1890"/>
        <w:gridCol w:w="1890"/>
        <w:gridCol w:w="1943"/>
      </w:tblGrid>
      <w:tr w:rsidR="000B0578" w:rsidTr="00D440D6">
        <w:tc>
          <w:tcPr>
            <w:tcW w:w="1944" w:type="dxa"/>
          </w:tcPr>
          <w:p w:rsidR="00D440D6" w:rsidRPr="005372D0" w:rsidRDefault="00C23A2A" w:rsidP="005372D0">
            <w:pPr>
              <w:spacing w:line="360" w:lineRule="auto"/>
              <w:jc w:val="both"/>
              <w:rPr>
                <w:rFonts w:ascii="Arial" w:hAnsi="Arial" w:cs="Arial"/>
                <w:b/>
                <w:lang w:val="en-US"/>
              </w:rPr>
            </w:pPr>
            <w:r w:rsidRPr="005372D0">
              <w:rPr>
                <w:rFonts w:ascii="Arial" w:hAnsi="Arial" w:cs="Arial"/>
                <w:b/>
                <w:lang w:val="en-US"/>
              </w:rPr>
              <w:t>Dimensions of BSC</w:t>
            </w:r>
          </w:p>
        </w:tc>
        <w:tc>
          <w:tcPr>
            <w:tcW w:w="1903" w:type="dxa"/>
          </w:tcPr>
          <w:p w:rsidR="00D440D6" w:rsidRPr="005372D0" w:rsidRDefault="00C23A2A" w:rsidP="005372D0">
            <w:pPr>
              <w:spacing w:line="360" w:lineRule="auto"/>
              <w:jc w:val="both"/>
              <w:rPr>
                <w:rFonts w:ascii="Arial" w:hAnsi="Arial" w:cs="Arial"/>
                <w:b/>
                <w:lang w:val="en-US"/>
              </w:rPr>
            </w:pPr>
            <w:r w:rsidRPr="005372D0">
              <w:rPr>
                <w:rFonts w:ascii="Arial" w:hAnsi="Arial" w:cs="Arial"/>
                <w:b/>
                <w:lang w:val="en-US"/>
              </w:rPr>
              <w:t>Objectives</w:t>
            </w:r>
          </w:p>
        </w:tc>
        <w:tc>
          <w:tcPr>
            <w:tcW w:w="1745" w:type="dxa"/>
          </w:tcPr>
          <w:p w:rsidR="00D440D6" w:rsidRPr="005372D0" w:rsidRDefault="00C23A2A" w:rsidP="005372D0">
            <w:pPr>
              <w:spacing w:line="360" w:lineRule="auto"/>
              <w:jc w:val="both"/>
              <w:rPr>
                <w:rFonts w:ascii="Arial" w:hAnsi="Arial" w:cs="Arial"/>
                <w:b/>
                <w:lang w:val="en-US"/>
              </w:rPr>
            </w:pPr>
            <w:r w:rsidRPr="005372D0">
              <w:rPr>
                <w:rFonts w:ascii="Arial" w:hAnsi="Arial" w:cs="Arial"/>
                <w:b/>
                <w:lang w:val="en-US"/>
              </w:rPr>
              <w:t>Goals</w:t>
            </w:r>
          </w:p>
        </w:tc>
        <w:tc>
          <w:tcPr>
            <w:tcW w:w="1877" w:type="dxa"/>
          </w:tcPr>
          <w:p w:rsidR="00D440D6" w:rsidRPr="005372D0" w:rsidRDefault="00C23A2A" w:rsidP="005372D0">
            <w:pPr>
              <w:spacing w:line="360" w:lineRule="auto"/>
              <w:jc w:val="both"/>
              <w:rPr>
                <w:rFonts w:ascii="Arial" w:hAnsi="Arial" w:cs="Arial"/>
                <w:b/>
                <w:lang w:val="en-US"/>
              </w:rPr>
            </w:pPr>
            <w:r w:rsidRPr="005372D0">
              <w:rPr>
                <w:rFonts w:ascii="Arial" w:hAnsi="Arial" w:cs="Arial"/>
                <w:b/>
                <w:lang w:val="en-US"/>
              </w:rPr>
              <w:t>Indicators</w:t>
            </w:r>
          </w:p>
        </w:tc>
        <w:tc>
          <w:tcPr>
            <w:tcW w:w="1547" w:type="dxa"/>
          </w:tcPr>
          <w:p w:rsidR="00D440D6" w:rsidRPr="005372D0" w:rsidRDefault="00C23A2A" w:rsidP="005372D0">
            <w:pPr>
              <w:spacing w:line="360" w:lineRule="auto"/>
              <w:jc w:val="both"/>
              <w:rPr>
                <w:rFonts w:ascii="Arial" w:hAnsi="Arial" w:cs="Arial"/>
                <w:b/>
                <w:lang w:val="en-US"/>
              </w:rPr>
            </w:pPr>
            <w:r w:rsidRPr="005372D0">
              <w:rPr>
                <w:rFonts w:ascii="Arial" w:hAnsi="Arial" w:cs="Arial"/>
                <w:b/>
                <w:lang w:val="en-US"/>
              </w:rPr>
              <w:t>Initiatives</w:t>
            </w:r>
          </w:p>
        </w:tc>
      </w:tr>
      <w:tr w:rsidR="000B0578" w:rsidTr="00D440D6">
        <w:tc>
          <w:tcPr>
            <w:tcW w:w="1944" w:type="dxa"/>
          </w:tcPr>
          <w:p w:rsidR="00D440D6" w:rsidRPr="005372D0" w:rsidRDefault="00C23A2A" w:rsidP="005372D0">
            <w:pPr>
              <w:spacing w:line="360" w:lineRule="auto"/>
              <w:jc w:val="both"/>
              <w:rPr>
                <w:rFonts w:ascii="Arial" w:hAnsi="Arial" w:cs="Arial"/>
                <w:lang w:val="en-US"/>
              </w:rPr>
            </w:pPr>
            <w:r w:rsidRPr="005372D0">
              <w:rPr>
                <w:rFonts w:ascii="Arial" w:hAnsi="Arial" w:cs="Arial"/>
                <w:lang w:val="en-US"/>
              </w:rPr>
              <w:lastRenderedPageBreak/>
              <w:t>Financial perspectives</w:t>
            </w:r>
          </w:p>
        </w:tc>
        <w:tc>
          <w:tcPr>
            <w:tcW w:w="1903" w:type="dxa"/>
          </w:tcPr>
          <w:p w:rsidR="00FF4E1F" w:rsidRPr="005372D0" w:rsidRDefault="00C23A2A" w:rsidP="005372D0">
            <w:pPr>
              <w:pStyle w:val="ListParagraph"/>
              <w:numPr>
                <w:ilvl w:val="0"/>
                <w:numId w:val="1"/>
              </w:numPr>
              <w:spacing w:line="360" w:lineRule="auto"/>
              <w:jc w:val="both"/>
              <w:rPr>
                <w:rFonts w:ascii="Arial" w:hAnsi="Arial" w:cs="Arial"/>
                <w:lang w:val="en-US"/>
              </w:rPr>
            </w:pPr>
            <w:r w:rsidRPr="005372D0">
              <w:rPr>
                <w:rFonts w:ascii="Arial" w:hAnsi="Arial" w:cs="Arial"/>
                <w:lang w:val="en-US"/>
              </w:rPr>
              <w:t>Increase revenue</w:t>
            </w:r>
          </w:p>
          <w:p w:rsidR="00FF4E1F" w:rsidRPr="005372D0" w:rsidRDefault="00C23A2A" w:rsidP="005372D0">
            <w:pPr>
              <w:pStyle w:val="ListParagraph"/>
              <w:numPr>
                <w:ilvl w:val="0"/>
                <w:numId w:val="1"/>
              </w:numPr>
              <w:spacing w:line="360" w:lineRule="auto"/>
              <w:jc w:val="both"/>
              <w:rPr>
                <w:rFonts w:ascii="Arial" w:hAnsi="Arial" w:cs="Arial"/>
                <w:lang w:val="en-US"/>
              </w:rPr>
            </w:pPr>
            <w:r w:rsidRPr="005372D0">
              <w:rPr>
                <w:rFonts w:ascii="Arial" w:hAnsi="Arial" w:cs="Arial"/>
                <w:lang w:val="en-US"/>
              </w:rPr>
              <w:t>Increase profitability</w:t>
            </w:r>
          </w:p>
          <w:p w:rsidR="00FF4E1F" w:rsidRPr="005372D0" w:rsidRDefault="00C23A2A" w:rsidP="005372D0">
            <w:pPr>
              <w:pStyle w:val="ListParagraph"/>
              <w:numPr>
                <w:ilvl w:val="0"/>
                <w:numId w:val="1"/>
              </w:numPr>
              <w:spacing w:line="360" w:lineRule="auto"/>
              <w:jc w:val="both"/>
              <w:rPr>
                <w:rFonts w:ascii="Arial" w:hAnsi="Arial" w:cs="Arial"/>
                <w:lang w:val="en-US"/>
              </w:rPr>
            </w:pPr>
            <w:r w:rsidRPr="005372D0">
              <w:rPr>
                <w:rFonts w:ascii="Arial" w:hAnsi="Arial" w:cs="Arial"/>
                <w:lang w:val="en-US"/>
              </w:rPr>
              <w:t>Manage costs efficiently</w:t>
            </w:r>
          </w:p>
          <w:p w:rsidR="00FF4E1F" w:rsidRPr="005372D0" w:rsidRDefault="00C23A2A" w:rsidP="005372D0">
            <w:pPr>
              <w:pStyle w:val="ListParagraph"/>
              <w:numPr>
                <w:ilvl w:val="0"/>
                <w:numId w:val="1"/>
              </w:numPr>
              <w:spacing w:line="360" w:lineRule="auto"/>
              <w:jc w:val="both"/>
              <w:rPr>
                <w:rFonts w:ascii="Arial" w:hAnsi="Arial" w:cs="Arial"/>
                <w:lang w:val="en-US"/>
              </w:rPr>
            </w:pPr>
            <w:r w:rsidRPr="005372D0">
              <w:rPr>
                <w:rFonts w:ascii="Arial" w:hAnsi="Arial" w:cs="Arial"/>
                <w:lang w:val="en-US"/>
              </w:rPr>
              <w:t>Enhance cash flow</w:t>
            </w:r>
          </w:p>
          <w:p w:rsidR="00D440D6" w:rsidRPr="005372D0" w:rsidRDefault="00D440D6" w:rsidP="005372D0">
            <w:pPr>
              <w:spacing w:line="360" w:lineRule="auto"/>
              <w:jc w:val="both"/>
              <w:rPr>
                <w:rFonts w:ascii="Arial" w:hAnsi="Arial" w:cs="Arial"/>
                <w:lang w:val="en-US"/>
              </w:rPr>
            </w:pPr>
          </w:p>
        </w:tc>
        <w:tc>
          <w:tcPr>
            <w:tcW w:w="1745" w:type="dxa"/>
          </w:tcPr>
          <w:p w:rsidR="00FF4E1F" w:rsidRPr="005372D0" w:rsidRDefault="00C23A2A" w:rsidP="005372D0">
            <w:pPr>
              <w:pStyle w:val="ListParagraph"/>
              <w:numPr>
                <w:ilvl w:val="0"/>
                <w:numId w:val="1"/>
              </w:numPr>
              <w:spacing w:line="360" w:lineRule="auto"/>
              <w:jc w:val="both"/>
              <w:rPr>
                <w:rFonts w:ascii="Arial" w:hAnsi="Arial" w:cs="Arial"/>
                <w:lang w:val="en-US"/>
              </w:rPr>
            </w:pPr>
            <w:r w:rsidRPr="005372D0">
              <w:rPr>
                <w:rFonts w:ascii="Arial" w:hAnsi="Arial" w:cs="Arial"/>
                <w:lang w:val="en-US"/>
              </w:rPr>
              <w:t>Achieve a 5% increase in revenue</w:t>
            </w:r>
          </w:p>
          <w:p w:rsidR="00FF4E1F" w:rsidRPr="005372D0" w:rsidRDefault="00C23A2A" w:rsidP="005372D0">
            <w:pPr>
              <w:pStyle w:val="ListParagraph"/>
              <w:numPr>
                <w:ilvl w:val="0"/>
                <w:numId w:val="1"/>
              </w:numPr>
              <w:spacing w:line="360" w:lineRule="auto"/>
              <w:jc w:val="both"/>
              <w:rPr>
                <w:rFonts w:ascii="Arial" w:hAnsi="Arial" w:cs="Arial"/>
                <w:lang w:val="en-US"/>
              </w:rPr>
            </w:pPr>
            <w:r w:rsidRPr="005372D0">
              <w:rPr>
                <w:rFonts w:ascii="Arial" w:hAnsi="Arial" w:cs="Arial"/>
                <w:lang w:val="en-US"/>
              </w:rPr>
              <w:t>Increase net profit margin to 3.5%</w:t>
            </w:r>
          </w:p>
          <w:p w:rsidR="00FF4E1F" w:rsidRPr="005372D0" w:rsidRDefault="00C23A2A" w:rsidP="005372D0">
            <w:pPr>
              <w:pStyle w:val="ListParagraph"/>
              <w:numPr>
                <w:ilvl w:val="0"/>
                <w:numId w:val="1"/>
              </w:numPr>
              <w:spacing w:line="360" w:lineRule="auto"/>
              <w:jc w:val="both"/>
              <w:rPr>
                <w:rFonts w:ascii="Arial" w:hAnsi="Arial" w:cs="Arial"/>
                <w:lang w:val="en-US"/>
              </w:rPr>
            </w:pPr>
            <w:r w:rsidRPr="005372D0">
              <w:rPr>
                <w:rFonts w:ascii="Arial" w:hAnsi="Arial" w:cs="Arial"/>
                <w:lang w:val="en-US"/>
              </w:rPr>
              <w:t>Reduce operating costs by 2%</w:t>
            </w:r>
          </w:p>
          <w:p w:rsidR="00FF4E1F" w:rsidRPr="005372D0" w:rsidRDefault="00C23A2A" w:rsidP="005372D0">
            <w:pPr>
              <w:pStyle w:val="ListParagraph"/>
              <w:numPr>
                <w:ilvl w:val="0"/>
                <w:numId w:val="1"/>
              </w:numPr>
              <w:spacing w:line="360" w:lineRule="auto"/>
              <w:jc w:val="both"/>
              <w:rPr>
                <w:rFonts w:ascii="Arial" w:hAnsi="Arial" w:cs="Arial"/>
                <w:lang w:val="en-US"/>
              </w:rPr>
            </w:pPr>
            <w:r w:rsidRPr="005372D0">
              <w:rPr>
                <w:rFonts w:ascii="Arial" w:hAnsi="Arial" w:cs="Arial"/>
                <w:lang w:val="en-US"/>
              </w:rPr>
              <w:t>Enhance working capital by 10%</w:t>
            </w:r>
          </w:p>
          <w:p w:rsidR="00D440D6" w:rsidRPr="005372D0" w:rsidRDefault="00D440D6" w:rsidP="005372D0">
            <w:pPr>
              <w:spacing w:line="360" w:lineRule="auto"/>
              <w:jc w:val="both"/>
              <w:rPr>
                <w:rFonts w:ascii="Arial" w:hAnsi="Arial" w:cs="Arial"/>
                <w:lang w:val="en-US"/>
              </w:rPr>
            </w:pPr>
          </w:p>
        </w:tc>
        <w:tc>
          <w:tcPr>
            <w:tcW w:w="1877" w:type="dxa"/>
          </w:tcPr>
          <w:p w:rsidR="00FF4E1F" w:rsidRPr="005372D0" w:rsidRDefault="00C23A2A" w:rsidP="005372D0">
            <w:pPr>
              <w:pStyle w:val="ListParagraph"/>
              <w:numPr>
                <w:ilvl w:val="0"/>
                <w:numId w:val="3"/>
              </w:numPr>
              <w:spacing w:line="360" w:lineRule="auto"/>
              <w:jc w:val="both"/>
              <w:rPr>
                <w:rFonts w:ascii="Arial" w:hAnsi="Arial" w:cs="Arial"/>
                <w:lang w:val="en-US"/>
              </w:rPr>
            </w:pPr>
            <w:r w:rsidRPr="005372D0">
              <w:rPr>
                <w:rFonts w:ascii="Arial" w:hAnsi="Arial" w:cs="Arial"/>
                <w:lang w:val="en-US"/>
              </w:rPr>
              <w:t>Revenue growth rate</w:t>
            </w:r>
          </w:p>
          <w:p w:rsidR="00FF4E1F" w:rsidRPr="005372D0" w:rsidRDefault="00C23A2A" w:rsidP="005372D0">
            <w:pPr>
              <w:pStyle w:val="ListParagraph"/>
              <w:numPr>
                <w:ilvl w:val="0"/>
                <w:numId w:val="3"/>
              </w:numPr>
              <w:spacing w:line="360" w:lineRule="auto"/>
              <w:jc w:val="both"/>
              <w:rPr>
                <w:rFonts w:ascii="Arial" w:hAnsi="Arial" w:cs="Arial"/>
                <w:lang w:val="en-US"/>
              </w:rPr>
            </w:pPr>
            <w:r w:rsidRPr="005372D0">
              <w:rPr>
                <w:rFonts w:ascii="Arial" w:hAnsi="Arial" w:cs="Arial"/>
                <w:lang w:val="en-US"/>
              </w:rPr>
              <w:t>Net profit margin</w:t>
            </w:r>
          </w:p>
          <w:p w:rsidR="00FF4E1F" w:rsidRPr="005372D0" w:rsidRDefault="00C23A2A" w:rsidP="005372D0">
            <w:pPr>
              <w:pStyle w:val="ListParagraph"/>
              <w:numPr>
                <w:ilvl w:val="0"/>
                <w:numId w:val="3"/>
              </w:numPr>
              <w:spacing w:line="360" w:lineRule="auto"/>
              <w:jc w:val="both"/>
              <w:rPr>
                <w:rFonts w:ascii="Arial" w:hAnsi="Arial" w:cs="Arial"/>
                <w:lang w:val="en-US"/>
              </w:rPr>
            </w:pPr>
            <w:r w:rsidRPr="005372D0">
              <w:rPr>
                <w:rFonts w:ascii="Arial" w:hAnsi="Arial" w:cs="Arial"/>
                <w:lang w:val="en-US"/>
              </w:rPr>
              <w:t>Operating expenses to revenue ratio</w:t>
            </w:r>
          </w:p>
          <w:p w:rsidR="00FF4E1F" w:rsidRPr="005372D0" w:rsidRDefault="00C23A2A" w:rsidP="005372D0">
            <w:pPr>
              <w:pStyle w:val="ListParagraph"/>
              <w:numPr>
                <w:ilvl w:val="0"/>
                <w:numId w:val="3"/>
              </w:numPr>
              <w:spacing w:line="360" w:lineRule="auto"/>
              <w:jc w:val="both"/>
              <w:rPr>
                <w:rFonts w:ascii="Arial" w:hAnsi="Arial" w:cs="Arial"/>
                <w:lang w:val="en-US"/>
              </w:rPr>
            </w:pPr>
            <w:r w:rsidRPr="005372D0">
              <w:rPr>
                <w:rFonts w:ascii="Arial" w:hAnsi="Arial" w:cs="Arial"/>
                <w:lang w:val="en-US"/>
              </w:rPr>
              <w:t>Working capital ratio</w:t>
            </w:r>
          </w:p>
          <w:p w:rsidR="00D440D6" w:rsidRPr="005372D0" w:rsidRDefault="00D440D6" w:rsidP="005372D0">
            <w:pPr>
              <w:spacing w:line="360" w:lineRule="auto"/>
              <w:jc w:val="both"/>
              <w:rPr>
                <w:rFonts w:ascii="Arial" w:hAnsi="Arial" w:cs="Arial"/>
                <w:lang w:val="en-US"/>
              </w:rPr>
            </w:pPr>
          </w:p>
        </w:tc>
        <w:tc>
          <w:tcPr>
            <w:tcW w:w="1547" w:type="dxa"/>
          </w:tcPr>
          <w:p w:rsidR="00FF4E1F" w:rsidRPr="005372D0" w:rsidRDefault="00C23A2A" w:rsidP="005372D0">
            <w:pPr>
              <w:pStyle w:val="ListParagraph"/>
              <w:numPr>
                <w:ilvl w:val="0"/>
                <w:numId w:val="3"/>
              </w:numPr>
              <w:spacing w:line="360" w:lineRule="auto"/>
              <w:jc w:val="both"/>
              <w:rPr>
                <w:rFonts w:ascii="Arial" w:hAnsi="Arial" w:cs="Arial"/>
                <w:lang w:val="en-US"/>
              </w:rPr>
            </w:pPr>
            <w:r w:rsidRPr="005372D0">
              <w:rPr>
                <w:rFonts w:ascii="Arial" w:hAnsi="Arial" w:cs="Arial"/>
                <w:lang w:val="en-US"/>
              </w:rPr>
              <w:t>Introduce new products and services to increase revenue</w:t>
            </w:r>
          </w:p>
          <w:p w:rsidR="00FF4E1F" w:rsidRPr="005372D0" w:rsidRDefault="00C23A2A" w:rsidP="005372D0">
            <w:pPr>
              <w:pStyle w:val="ListParagraph"/>
              <w:numPr>
                <w:ilvl w:val="0"/>
                <w:numId w:val="3"/>
              </w:numPr>
              <w:spacing w:line="360" w:lineRule="auto"/>
              <w:jc w:val="both"/>
              <w:rPr>
                <w:rFonts w:ascii="Arial" w:hAnsi="Arial" w:cs="Arial"/>
                <w:lang w:val="en-US"/>
              </w:rPr>
            </w:pPr>
            <w:r w:rsidRPr="005372D0">
              <w:rPr>
                <w:rFonts w:ascii="Arial" w:hAnsi="Arial" w:cs="Arial"/>
                <w:lang w:val="en-US"/>
              </w:rPr>
              <w:t>Focus on cost optimisation and process improvement to increase profitability</w:t>
            </w:r>
          </w:p>
          <w:p w:rsidR="00FF4E1F" w:rsidRPr="005372D0" w:rsidRDefault="00C23A2A" w:rsidP="005372D0">
            <w:pPr>
              <w:pStyle w:val="ListParagraph"/>
              <w:numPr>
                <w:ilvl w:val="0"/>
                <w:numId w:val="3"/>
              </w:numPr>
              <w:spacing w:line="360" w:lineRule="auto"/>
              <w:jc w:val="both"/>
              <w:rPr>
                <w:rFonts w:ascii="Arial" w:hAnsi="Arial" w:cs="Arial"/>
                <w:lang w:val="en-US"/>
              </w:rPr>
            </w:pPr>
            <w:r w:rsidRPr="005372D0">
              <w:rPr>
                <w:rFonts w:ascii="Arial" w:hAnsi="Arial" w:cs="Arial"/>
                <w:lang w:val="en-US"/>
              </w:rPr>
              <w:t xml:space="preserve">Enhance supply </w:t>
            </w:r>
            <w:r w:rsidR="009C1F03" w:rsidRPr="005372D0">
              <w:rPr>
                <w:rFonts w:ascii="Arial" w:hAnsi="Arial" w:cs="Arial"/>
                <w:lang w:val="en-US"/>
              </w:rPr>
              <w:t xml:space="preserve">chain management to deteriorate </w:t>
            </w:r>
            <w:r w:rsidRPr="005372D0">
              <w:rPr>
                <w:rFonts w:ascii="Arial" w:hAnsi="Arial" w:cs="Arial"/>
                <w:lang w:val="en-US"/>
              </w:rPr>
              <w:t xml:space="preserve">operating </w:t>
            </w:r>
            <w:r w:rsidR="005F3C73" w:rsidRPr="005372D0">
              <w:rPr>
                <w:rFonts w:ascii="Arial" w:hAnsi="Arial" w:cs="Arial"/>
                <w:lang w:val="en-US"/>
              </w:rPr>
              <w:t>costs</w:t>
            </w:r>
          </w:p>
          <w:p w:rsidR="00FF4E1F" w:rsidRPr="005372D0" w:rsidRDefault="00C23A2A" w:rsidP="005372D0">
            <w:pPr>
              <w:pStyle w:val="ListParagraph"/>
              <w:numPr>
                <w:ilvl w:val="0"/>
                <w:numId w:val="3"/>
              </w:numPr>
              <w:spacing w:line="360" w:lineRule="auto"/>
              <w:jc w:val="both"/>
              <w:rPr>
                <w:rFonts w:ascii="Arial" w:hAnsi="Arial" w:cs="Arial"/>
                <w:lang w:val="en-US"/>
              </w:rPr>
            </w:pPr>
            <w:r w:rsidRPr="005372D0">
              <w:rPr>
                <w:rFonts w:ascii="Arial" w:hAnsi="Arial" w:cs="Arial"/>
                <w:lang w:val="en-US"/>
              </w:rPr>
              <w:t>Impleme</w:t>
            </w:r>
            <w:r w:rsidR="009C1F03" w:rsidRPr="005372D0">
              <w:rPr>
                <w:rFonts w:ascii="Arial" w:hAnsi="Arial" w:cs="Arial"/>
                <w:lang w:val="en-US"/>
              </w:rPr>
              <w:t>nt cash flow management measure</w:t>
            </w:r>
            <w:r w:rsidRPr="005372D0">
              <w:rPr>
                <w:rFonts w:ascii="Arial" w:hAnsi="Arial" w:cs="Arial"/>
                <w:lang w:val="en-US"/>
              </w:rPr>
              <w:t xml:space="preserve">s to </w:t>
            </w:r>
            <w:r w:rsidR="009C1F03" w:rsidRPr="005372D0">
              <w:rPr>
                <w:rFonts w:ascii="Arial" w:hAnsi="Arial" w:cs="Arial"/>
                <w:lang w:val="en-US"/>
              </w:rPr>
              <w:t>influence</w:t>
            </w:r>
            <w:r w:rsidR="00054A33" w:rsidRPr="005372D0">
              <w:rPr>
                <w:rFonts w:ascii="Arial" w:hAnsi="Arial" w:cs="Arial"/>
                <w:lang w:val="en-US"/>
              </w:rPr>
              <w:t xml:space="preserve"> </w:t>
            </w:r>
            <w:r w:rsidRPr="005372D0">
              <w:rPr>
                <w:rFonts w:ascii="Arial" w:hAnsi="Arial" w:cs="Arial"/>
                <w:lang w:val="en-US"/>
              </w:rPr>
              <w:lastRenderedPageBreak/>
              <w:t>working capital</w:t>
            </w:r>
          </w:p>
          <w:p w:rsidR="00D440D6" w:rsidRPr="005372D0" w:rsidRDefault="00D440D6" w:rsidP="005372D0">
            <w:pPr>
              <w:spacing w:line="360" w:lineRule="auto"/>
              <w:jc w:val="both"/>
              <w:rPr>
                <w:rFonts w:ascii="Arial" w:hAnsi="Arial" w:cs="Arial"/>
                <w:lang w:val="en-US"/>
              </w:rPr>
            </w:pPr>
          </w:p>
        </w:tc>
      </w:tr>
      <w:tr w:rsidR="000B0578" w:rsidTr="00D440D6">
        <w:tc>
          <w:tcPr>
            <w:tcW w:w="1944" w:type="dxa"/>
          </w:tcPr>
          <w:p w:rsidR="00D440D6" w:rsidRPr="005372D0" w:rsidRDefault="00C23A2A" w:rsidP="005372D0">
            <w:pPr>
              <w:spacing w:line="360" w:lineRule="auto"/>
              <w:jc w:val="both"/>
              <w:rPr>
                <w:rFonts w:ascii="Arial" w:hAnsi="Arial" w:cs="Arial"/>
                <w:lang w:val="en-US"/>
              </w:rPr>
            </w:pPr>
            <w:r w:rsidRPr="005372D0">
              <w:rPr>
                <w:rFonts w:ascii="Arial" w:hAnsi="Arial" w:cs="Arial"/>
                <w:lang w:val="en-US"/>
              </w:rPr>
              <w:lastRenderedPageBreak/>
              <w:t xml:space="preserve">Customer perspectives </w:t>
            </w:r>
          </w:p>
        </w:tc>
        <w:tc>
          <w:tcPr>
            <w:tcW w:w="1903" w:type="dxa"/>
          </w:tcPr>
          <w:p w:rsidR="00FF4E1F"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Influence customer satisfaction</w:t>
            </w:r>
          </w:p>
          <w:p w:rsidR="00FF4E1F"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Increase customer loyalty</w:t>
            </w:r>
          </w:p>
          <w:p w:rsidR="00FF4E1F"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Improve customer retention</w:t>
            </w:r>
          </w:p>
          <w:p w:rsidR="00D440D6"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Expand customer base</w:t>
            </w:r>
          </w:p>
        </w:tc>
        <w:tc>
          <w:tcPr>
            <w:tcW w:w="1745" w:type="dxa"/>
          </w:tcPr>
          <w:p w:rsidR="00FF4E1F"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Acquire a customer satisfaction rating of 90%</w:t>
            </w:r>
          </w:p>
          <w:p w:rsidR="00FF4E1F"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Improve customer retention rate by 5%</w:t>
            </w:r>
          </w:p>
          <w:p w:rsidR="00FF4E1F"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Improve customer loyalty by 10%</w:t>
            </w:r>
          </w:p>
          <w:p w:rsidR="00D440D6"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Expand customer base by 2%</w:t>
            </w:r>
          </w:p>
        </w:tc>
        <w:tc>
          <w:tcPr>
            <w:tcW w:w="1877" w:type="dxa"/>
          </w:tcPr>
          <w:p w:rsidR="00FF4E1F"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Customer satisfaction rate</w:t>
            </w:r>
          </w:p>
          <w:p w:rsidR="00FF4E1F"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Customer retention rate</w:t>
            </w:r>
          </w:p>
          <w:p w:rsidR="00FF4E1F"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Customer loyalty rate</w:t>
            </w:r>
          </w:p>
          <w:p w:rsidR="00FF4E1F"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Customer acquisition rate</w:t>
            </w:r>
          </w:p>
          <w:p w:rsidR="00D440D6" w:rsidRPr="005372D0" w:rsidRDefault="00D440D6" w:rsidP="005372D0">
            <w:pPr>
              <w:spacing w:line="360" w:lineRule="auto"/>
              <w:jc w:val="both"/>
              <w:rPr>
                <w:rFonts w:ascii="Arial" w:hAnsi="Arial" w:cs="Arial"/>
                <w:lang w:val="en-US"/>
              </w:rPr>
            </w:pPr>
          </w:p>
        </w:tc>
        <w:tc>
          <w:tcPr>
            <w:tcW w:w="1547" w:type="dxa"/>
          </w:tcPr>
          <w:p w:rsidR="00FF4E1F"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Influence customer experience by enhancing store layout and customer service</w:t>
            </w:r>
          </w:p>
          <w:p w:rsidR="00FF4E1F"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Offer personalised prom</w:t>
            </w:r>
            <w:r w:rsidR="0049569D" w:rsidRPr="005372D0">
              <w:rPr>
                <w:rFonts w:ascii="Arial" w:hAnsi="Arial" w:cs="Arial"/>
                <w:lang w:val="en-US"/>
              </w:rPr>
              <w:t xml:space="preserve">otions and discounts to improve </w:t>
            </w:r>
            <w:r w:rsidRPr="005372D0">
              <w:rPr>
                <w:rFonts w:ascii="Arial" w:hAnsi="Arial" w:cs="Arial"/>
                <w:lang w:val="en-US"/>
              </w:rPr>
              <w:t>customer loyalty</w:t>
            </w:r>
          </w:p>
          <w:p w:rsidR="00FF4E1F"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Implement custome</w:t>
            </w:r>
            <w:r w:rsidR="00E57792" w:rsidRPr="005372D0">
              <w:rPr>
                <w:rFonts w:ascii="Arial" w:hAnsi="Arial" w:cs="Arial"/>
                <w:lang w:val="en-US"/>
              </w:rPr>
              <w:t xml:space="preserve">r retention programs to enhance </w:t>
            </w:r>
            <w:r w:rsidRPr="005372D0">
              <w:rPr>
                <w:rFonts w:ascii="Arial" w:hAnsi="Arial" w:cs="Arial"/>
                <w:lang w:val="en-US"/>
              </w:rPr>
              <w:t>customer retention</w:t>
            </w:r>
          </w:p>
          <w:p w:rsidR="00D440D6"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 xml:space="preserve">Increase advertising and marketing efforts to </w:t>
            </w:r>
            <w:r w:rsidRPr="005372D0">
              <w:rPr>
                <w:rFonts w:ascii="Arial" w:hAnsi="Arial" w:cs="Arial"/>
                <w:lang w:val="en-US"/>
              </w:rPr>
              <w:lastRenderedPageBreak/>
              <w:t>expand the customer base</w:t>
            </w:r>
          </w:p>
        </w:tc>
      </w:tr>
      <w:tr w:rsidR="000B0578" w:rsidTr="00D440D6">
        <w:tc>
          <w:tcPr>
            <w:tcW w:w="1944" w:type="dxa"/>
          </w:tcPr>
          <w:p w:rsidR="00D440D6" w:rsidRPr="005372D0" w:rsidRDefault="00C23A2A" w:rsidP="005372D0">
            <w:pPr>
              <w:spacing w:line="360" w:lineRule="auto"/>
              <w:jc w:val="both"/>
              <w:rPr>
                <w:rFonts w:ascii="Arial" w:hAnsi="Arial" w:cs="Arial"/>
                <w:lang w:val="en-US"/>
              </w:rPr>
            </w:pPr>
            <w:r w:rsidRPr="005372D0">
              <w:rPr>
                <w:rFonts w:ascii="Arial" w:hAnsi="Arial" w:cs="Arial"/>
                <w:lang w:val="en-US"/>
              </w:rPr>
              <w:lastRenderedPageBreak/>
              <w:t xml:space="preserve">Internal process perspectives </w:t>
            </w:r>
          </w:p>
        </w:tc>
        <w:tc>
          <w:tcPr>
            <w:tcW w:w="1903" w:type="dxa"/>
          </w:tcPr>
          <w:p w:rsidR="00FF4E1F"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Streamline operations</w:t>
            </w:r>
          </w:p>
          <w:p w:rsidR="00FF4E1F"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Enhance supply chain management</w:t>
            </w:r>
          </w:p>
          <w:p w:rsidR="00FF4E1F"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Improve product quality</w:t>
            </w:r>
          </w:p>
          <w:p w:rsidR="00D440D6"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Enhance</w:t>
            </w:r>
            <w:r w:rsidR="00F21553" w:rsidRPr="005372D0">
              <w:rPr>
                <w:rFonts w:ascii="Arial" w:hAnsi="Arial" w:cs="Arial"/>
                <w:lang w:val="en-US"/>
              </w:rPr>
              <w:t xml:space="preserve"> </w:t>
            </w:r>
            <w:r w:rsidR="00FF4E1F" w:rsidRPr="005372D0">
              <w:rPr>
                <w:rFonts w:ascii="Arial" w:hAnsi="Arial" w:cs="Arial"/>
                <w:lang w:val="en-US"/>
              </w:rPr>
              <w:t>employee productivity</w:t>
            </w:r>
          </w:p>
        </w:tc>
        <w:tc>
          <w:tcPr>
            <w:tcW w:w="1745" w:type="dxa"/>
          </w:tcPr>
          <w:p w:rsidR="00FF4E1F"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Reduce lead time by 20%</w:t>
            </w:r>
          </w:p>
          <w:p w:rsidR="00FF4E1F"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Acquire a 95% on-time delivery rate</w:t>
            </w:r>
          </w:p>
          <w:p w:rsidR="00FF4E1F"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Enhance product quality by 2%</w:t>
            </w:r>
          </w:p>
          <w:p w:rsidR="00D440D6"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Improve</w:t>
            </w:r>
            <w:r w:rsidR="00FF4E1F" w:rsidRPr="005372D0">
              <w:rPr>
                <w:rFonts w:ascii="Arial" w:hAnsi="Arial" w:cs="Arial"/>
                <w:lang w:val="en-US"/>
              </w:rPr>
              <w:t xml:space="preserve"> employee productivity by 5%</w:t>
            </w:r>
          </w:p>
        </w:tc>
        <w:tc>
          <w:tcPr>
            <w:tcW w:w="1877" w:type="dxa"/>
          </w:tcPr>
          <w:p w:rsidR="001F2304"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Lead time</w:t>
            </w:r>
          </w:p>
          <w:p w:rsidR="001F2304"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On-time delivery rate</w:t>
            </w:r>
          </w:p>
          <w:p w:rsidR="001F2304"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Product defect rate</w:t>
            </w:r>
          </w:p>
          <w:p w:rsidR="001F2304"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Employee productivity rate</w:t>
            </w:r>
            <w:r w:rsidR="006B6D61" w:rsidRPr="005372D0">
              <w:rPr>
                <w:rFonts w:ascii="Arial" w:hAnsi="Arial" w:cs="Arial"/>
                <w:lang w:val="en-US"/>
              </w:rPr>
              <w:t xml:space="preserve"> (</w:t>
            </w:r>
            <w:r w:rsidR="006B6D61" w:rsidRPr="005372D0">
              <w:rPr>
                <w:rFonts w:ascii="Arial" w:hAnsi="Arial" w:cs="Arial"/>
                <w:color w:val="222222"/>
                <w:shd w:val="clear" w:color="auto" w:fill="FFFFFF"/>
              </w:rPr>
              <w:t>Camilleri, 2021).</w:t>
            </w:r>
          </w:p>
          <w:p w:rsidR="00D440D6" w:rsidRPr="005372D0" w:rsidRDefault="00D440D6" w:rsidP="005372D0">
            <w:pPr>
              <w:spacing w:line="360" w:lineRule="auto"/>
              <w:jc w:val="both"/>
              <w:rPr>
                <w:rFonts w:ascii="Arial" w:hAnsi="Arial" w:cs="Arial"/>
                <w:lang w:val="en-US"/>
              </w:rPr>
            </w:pPr>
          </w:p>
        </w:tc>
        <w:tc>
          <w:tcPr>
            <w:tcW w:w="1547" w:type="dxa"/>
          </w:tcPr>
          <w:p w:rsidR="001F2304"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Automate manual processes to streamline operations</w:t>
            </w:r>
          </w:p>
          <w:p w:rsidR="001F2304"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Enhance</w:t>
            </w:r>
            <w:r w:rsidR="00C86BD7" w:rsidRPr="005372D0">
              <w:rPr>
                <w:rFonts w:ascii="Arial" w:hAnsi="Arial" w:cs="Arial"/>
                <w:lang w:val="en-US"/>
              </w:rPr>
              <w:t xml:space="preserve"> </w:t>
            </w:r>
            <w:r w:rsidRPr="005372D0">
              <w:rPr>
                <w:rFonts w:ascii="Arial" w:hAnsi="Arial" w:cs="Arial"/>
                <w:lang w:val="en-US"/>
              </w:rPr>
              <w:t>s</w:t>
            </w:r>
            <w:r w:rsidR="00480473" w:rsidRPr="005372D0">
              <w:rPr>
                <w:rFonts w:ascii="Arial" w:hAnsi="Arial" w:cs="Arial"/>
                <w:lang w:val="en-US"/>
              </w:rPr>
              <w:t>upplier relationships to improve</w:t>
            </w:r>
            <w:r w:rsidRPr="005372D0">
              <w:rPr>
                <w:rFonts w:ascii="Arial" w:hAnsi="Arial" w:cs="Arial"/>
                <w:lang w:val="en-US"/>
              </w:rPr>
              <w:t xml:space="preserve"> supply chain management</w:t>
            </w:r>
          </w:p>
          <w:p w:rsidR="001F2304"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Implement qua</w:t>
            </w:r>
            <w:r w:rsidR="007A5382" w:rsidRPr="005372D0">
              <w:rPr>
                <w:rFonts w:ascii="Arial" w:hAnsi="Arial" w:cs="Arial"/>
                <w:lang w:val="en-US"/>
              </w:rPr>
              <w:t>lity control measures to enhance</w:t>
            </w:r>
            <w:r w:rsidRPr="005372D0">
              <w:rPr>
                <w:rFonts w:ascii="Arial" w:hAnsi="Arial" w:cs="Arial"/>
                <w:lang w:val="en-US"/>
              </w:rPr>
              <w:t xml:space="preserve"> product quality</w:t>
            </w:r>
          </w:p>
          <w:p w:rsidR="00D440D6"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 xml:space="preserve">Offers </w:t>
            </w:r>
            <w:r w:rsidR="001F2304" w:rsidRPr="005372D0">
              <w:rPr>
                <w:rFonts w:ascii="Arial" w:hAnsi="Arial" w:cs="Arial"/>
                <w:lang w:val="en-US"/>
              </w:rPr>
              <w:t>training and development programs to</w:t>
            </w:r>
            <w:r w:rsidRPr="005372D0">
              <w:rPr>
                <w:rFonts w:ascii="Arial" w:hAnsi="Arial" w:cs="Arial"/>
                <w:lang w:val="en-US"/>
              </w:rPr>
              <w:t xml:space="preserve"> </w:t>
            </w:r>
            <w:r w:rsidRPr="005372D0">
              <w:rPr>
                <w:rFonts w:ascii="Arial" w:hAnsi="Arial" w:cs="Arial"/>
                <w:lang w:val="en-US"/>
              </w:rPr>
              <w:lastRenderedPageBreak/>
              <w:t xml:space="preserve">influence </w:t>
            </w:r>
            <w:r w:rsidR="001F2304" w:rsidRPr="005372D0">
              <w:rPr>
                <w:rFonts w:ascii="Arial" w:hAnsi="Arial" w:cs="Arial"/>
                <w:lang w:val="en-US"/>
              </w:rPr>
              <w:t>employee productivity</w:t>
            </w:r>
          </w:p>
        </w:tc>
      </w:tr>
      <w:tr w:rsidR="000B0578" w:rsidTr="00D440D6">
        <w:tc>
          <w:tcPr>
            <w:tcW w:w="1944" w:type="dxa"/>
          </w:tcPr>
          <w:p w:rsidR="00D440D6" w:rsidRPr="005372D0" w:rsidRDefault="00C23A2A" w:rsidP="005372D0">
            <w:pPr>
              <w:spacing w:line="360" w:lineRule="auto"/>
              <w:jc w:val="both"/>
              <w:rPr>
                <w:rFonts w:ascii="Arial" w:hAnsi="Arial" w:cs="Arial"/>
                <w:lang w:val="en-US"/>
              </w:rPr>
            </w:pPr>
            <w:r w:rsidRPr="005372D0">
              <w:rPr>
                <w:rFonts w:ascii="Arial" w:hAnsi="Arial" w:cs="Arial"/>
                <w:lang w:val="en-US"/>
              </w:rPr>
              <w:lastRenderedPageBreak/>
              <w:t xml:space="preserve">Learning and growth  perspectives </w:t>
            </w:r>
          </w:p>
        </w:tc>
        <w:tc>
          <w:tcPr>
            <w:tcW w:w="1903" w:type="dxa"/>
          </w:tcPr>
          <w:p w:rsidR="001F2304"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Foster a culture of learning and development</w:t>
            </w:r>
          </w:p>
          <w:p w:rsidR="001F2304"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Improve employee engagement</w:t>
            </w:r>
          </w:p>
          <w:p w:rsidR="001F2304"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Embrace digital transformation</w:t>
            </w:r>
          </w:p>
          <w:p w:rsidR="00D440D6"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Drive innovation</w:t>
            </w:r>
            <w:r w:rsidR="00625C13" w:rsidRPr="005372D0">
              <w:rPr>
                <w:rFonts w:ascii="Arial" w:hAnsi="Arial" w:cs="Arial"/>
                <w:lang w:val="en-US"/>
              </w:rPr>
              <w:t xml:space="preserve"> (</w:t>
            </w:r>
            <w:r w:rsidR="00625C13" w:rsidRPr="005372D0">
              <w:rPr>
                <w:rFonts w:ascii="Arial" w:hAnsi="Arial" w:cs="Arial"/>
                <w:color w:val="222222"/>
                <w:shd w:val="clear" w:color="auto" w:fill="FFFFFF"/>
              </w:rPr>
              <w:t xml:space="preserve">Benková </w:t>
            </w:r>
            <w:r w:rsidR="00625C13" w:rsidRPr="005372D0">
              <w:rPr>
                <w:rFonts w:ascii="Arial" w:hAnsi="Arial" w:cs="Arial"/>
                <w:i/>
                <w:color w:val="222222"/>
                <w:shd w:val="clear" w:color="auto" w:fill="FFFFFF"/>
              </w:rPr>
              <w:t>et al.</w:t>
            </w:r>
            <w:r w:rsidR="00625C13" w:rsidRPr="005372D0">
              <w:rPr>
                <w:rFonts w:ascii="Arial" w:hAnsi="Arial" w:cs="Arial"/>
                <w:color w:val="222222"/>
                <w:shd w:val="clear" w:color="auto" w:fill="FFFFFF"/>
              </w:rPr>
              <w:t xml:space="preserve"> 2020).</w:t>
            </w:r>
          </w:p>
        </w:tc>
        <w:tc>
          <w:tcPr>
            <w:tcW w:w="1745" w:type="dxa"/>
          </w:tcPr>
          <w:p w:rsidR="001F2304"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Improve employee engagement by 5%</w:t>
            </w:r>
          </w:p>
          <w:p w:rsidR="001F2304"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Acquire a 90% employee retention rate</w:t>
            </w:r>
          </w:p>
          <w:p w:rsidR="001F2304"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Implement digital solutions in 10% of business processes</w:t>
            </w:r>
          </w:p>
          <w:p w:rsidR="00D440D6"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 xml:space="preserve">To launch </w:t>
            </w:r>
            <w:r w:rsidR="001F2304" w:rsidRPr="005372D0">
              <w:rPr>
                <w:rFonts w:ascii="Arial" w:hAnsi="Arial" w:cs="Arial"/>
                <w:lang w:val="en-US"/>
              </w:rPr>
              <w:t xml:space="preserve"> new innovative products or services</w:t>
            </w:r>
          </w:p>
        </w:tc>
        <w:tc>
          <w:tcPr>
            <w:tcW w:w="1877" w:type="dxa"/>
          </w:tcPr>
          <w:p w:rsidR="001F2304"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Employee engagement score</w:t>
            </w:r>
          </w:p>
          <w:p w:rsidR="001F2304"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Employee retention rate</w:t>
            </w:r>
          </w:p>
          <w:p w:rsidR="001F2304"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Percentage of business processes with digital solutions</w:t>
            </w:r>
          </w:p>
          <w:p w:rsidR="00D440D6"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Number of new innovative products or services launched</w:t>
            </w:r>
          </w:p>
        </w:tc>
        <w:tc>
          <w:tcPr>
            <w:tcW w:w="1547" w:type="dxa"/>
          </w:tcPr>
          <w:p w:rsidR="001F2304"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Offer training and development programs to foster a culture of learning and development</w:t>
            </w:r>
          </w:p>
          <w:p w:rsidR="001F2304"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Provide opportunities for employee feedback and recognition to improve employee engagement</w:t>
            </w:r>
          </w:p>
          <w:p w:rsidR="001F2304"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 xml:space="preserve">Invest in digital solutions to enhance operations and customer </w:t>
            </w:r>
            <w:r w:rsidRPr="005372D0">
              <w:rPr>
                <w:rFonts w:ascii="Arial" w:hAnsi="Arial" w:cs="Arial"/>
                <w:lang w:val="en-US"/>
              </w:rPr>
              <w:lastRenderedPageBreak/>
              <w:t>experience</w:t>
            </w:r>
          </w:p>
          <w:p w:rsidR="00D440D6" w:rsidRPr="005372D0" w:rsidRDefault="00C23A2A" w:rsidP="005372D0">
            <w:pPr>
              <w:pStyle w:val="ListParagraph"/>
              <w:numPr>
                <w:ilvl w:val="0"/>
                <w:numId w:val="2"/>
              </w:numPr>
              <w:spacing w:line="360" w:lineRule="auto"/>
              <w:jc w:val="both"/>
              <w:rPr>
                <w:rFonts w:ascii="Arial" w:hAnsi="Arial" w:cs="Arial"/>
                <w:lang w:val="en-US"/>
              </w:rPr>
            </w:pPr>
            <w:r w:rsidRPr="005372D0">
              <w:rPr>
                <w:rFonts w:ascii="Arial" w:hAnsi="Arial" w:cs="Arial"/>
                <w:lang w:val="en-US"/>
              </w:rPr>
              <w:t>Influence</w:t>
            </w:r>
            <w:r w:rsidR="001F2304" w:rsidRPr="005372D0">
              <w:rPr>
                <w:rFonts w:ascii="Arial" w:hAnsi="Arial" w:cs="Arial"/>
                <w:lang w:val="en-US"/>
              </w:rPr>
              <w:t xml:space="preserve"> creativity and co</w:t>
            </w:r>
            <w:r w:rsidRPr="005372D0">
              <w:rPr>
                <w:rFonts w:ascii="Arial" w:hAnsi="Arial" w:cs="Arial"/>
                <w:lang w:val="en-US"/>
              </w:rPr>
              <w:t xml:space="preserve">llaboration to ensure </w:t>
            </w:r>
            <w:r w:rsidR="008E4553" w:rsidRPr="005372D0">
              <w:rPr>
                <w:rFonts w:ascii="Arial" w:hAnsi="Arial" w:cs="Arial"/>
                <w:lang w:val="en-US"/>
              </w:rPr>
              <w:t>innovation</w:t>
            </w:r>
          </w:p>
        </w:tc>
      </w:tr>
    </w:tbl>
    <w:p w:rsidR="00853F2F" w:rsidRPr="005372D0" w:rsidRDefault="00C23A2A" w:rsidP="005372D0">
      <w:pPr>
        <w:spacing w:line="360" w:lineRule="auto"/>
        <w:jc w:val="center"/>
        <w:rPr>
          <w:rFonts w:ascii="Arial" w:hAnsi="Arial" w:cs="Arial"/>
          <w:b/>
          <w:lang w:val="en-US"/>
        </w:rPr>
      </w:pPr>
      <w:r w:rsidRPr="005372D0">
        <w:rPr>
          <w:rFonts w:ascii="Arial" w:hAnsi="Arial" w:cs="Arial"/>
          <w:b/>
          <w:lang w:val="en-US"/>
        </w:rPr>
        <w:lastRenderedPageBreak/>
        <w:t>Table 1: Balanced Scorecard for Sainsbury Plc</w:t>
      </w:r>
    </w:p>
    <w:p w:rsidR="000E00BC" w:rsidRPr="005372D0" w:rsidRDefault="00C23A2A" w:rsidP="005372D0">
      <w:pPr>
        <w:spacing w:line="360" w:lineRule="auto"/>
        <w:jc w:val="center"/>
        <w:rPr>
          <w:rFonts w:ascii="Arial" w:hAnsi="Arial" w:cs="Arial"/>
          <w:lang w:val="en-US"/>
        </w:rPr>
      </w:pPr>
      <w:r w:rsidRPr="005372D0">
        <w:rPr>
          <w:rFonts w:ascii="Arial" w:hAnsi="Arial" w:cs="Arial"/>
          <w:lang w:val="en-US"/>
        </w:rPr>
        <w:t>(Source: Self-created)</w:t>
      </w:r>
    </w:p>
    <w:p w:rsidR="000E00BC" w:rsidRPr="005372D0" w:rsidRDefault="000E00BC" w:rsidP="005372D0">
      <w:pPr>
        <w:spacing w:line="360" w:lineRule="auto"/>
        <w:jc w:val="both"/>
        <w:rPr>
          <w:rFonts w:ascii="Arial" w:hAnsi="Arial" w:cs="Arial"/>
          <w:b/>
          <w:i/>
          <w:lang w:val="en-US"/>
        </w:rPr>
      </w:pPr>
    </w:p>
    <w:p w:rsidR="00853F2F" w:rsidRPr="005372D0" w:rsidRDefault="00C23A2A" w:rsidP="005372D0">
      <w:pPr>
        <w:spacing w:line="360" w:lineRule="auto"/>
        <w:jc w:val="both"/>
        <w:rPr>
          <w:rFonts w:ascii="Arial" w:hAnsi="Arial" w:cs="Arial"/>
          <w:b/>
          <w:i/>
          <w:lang w:val="en-US"/>
        </w:rPr>
      </w:pPr>
      <w:r w:rsidRPr="005372D0">
        <w:rPr>
          <w:rFonts w:ascii="Arial" w:hAnsi="Arial" w:cs="Arial"/>
          <w:b/>
          <w:i/>
          <w:lang w:val="en-US"/>
        </w:rPr>
        <w:t>Justification:</w:t>
      </w:r>
    </w:p>
    <w:p w:rsidR="00273999" w:rsidRPr="005372D0" w:rsidRDefault="00C23A2A" w:rsidP="005372D0">
      <w:pPr>
        <w:spacing w:line="360" w:lineRule="auto"/>
        <w:jc w:val="both"/>
        <w:rPr>
          <w:rFonts w:ascii="Arial" w:hAnsi="Arial" w:cs="Arial"/>
          <w:lang w:val="en-US"/>
        </w:rPr>
      </w:pPr>
      <w:r w:rsidRPr="005372D0">
        <w:rPr>
          <w:rFonts w:ascii="Arial" w:hAnsi="Arial" w:cs="Arial"/>
          <w:lang w:val="en-US"/>
        </w:rPr>
        <w:t>The Balanced Scorecard's fin</w:t>
      </w:r>
      <w:r w:rsidR="00260340" w:rsidRPr="005372D0">
        <w:rPr>
          <w:rFonts w:ascii="Arial" w:hAnsi="Arial" w:cs="Arial"/>
          <w:lang w:val="en-US"/>
        </w:rPr>
        <w:t>ancial viewpoint assists organis</w:t>
      </w:r>
      <w:r w:rsidRPr="005372D0">
        <w:rPr>
          <w:rFonts w:ascii="Arial" w:hAnsi="Arial" w:cs="Arial"/>
          <w:lang w:val="en-US"/>
        </w:rPr>
        <w:t>ations in achieving their financial goals and adding value for shareholders. For Sainsbury's, boosting revenue, profitability, cost management effectiveness, and cash flow are crucial goals that will fuel the org</w:t>
      </w:r>
      <w:r w:rsidR="004C1EDA" w:rsidRPr="005372D0">
        <w:rPr>
          <w:rFonts w:ascii="Arial" w:hAnsi="Arial" w:cs="Arial"/>
          <w:lang w:val="en-US"/>
        </w:rPr>
        <w:t>anis</w:t>
      </w:r>
      <w:r w:rsidRPr="005372D0">
        <w:rPr>
          <w:rFonts w:ascii="Arial" w:hAnsi="Arial" w:cs="Arial"/>
          <w:lang w:val="en-US"/>
        </w:rPr>
        <w:t xml:space="preserve">ation's expansion and profitability. </w:t>
      </w:r>
      <w:r w:rsidR="004C1EDA" w:rsidRPr="005372D0">
        <w:rPr>
          <w:rFonts w:ascii="Arial" w:hAnsi="Arial" w:cs="Arial"/>
          <w:lang w:val="en-US"/>
        </w:rPr>
        <w:t xml:space="preserve">Moreover, </w:t>
      </w:r>
      <w:r w:rsidRPr="005372D0">
        <w:rPr>
          <w:rFonts w:ascii="Arial" w:hAnsi="Arial" w:cs="Arial"/>
          <w:lang w:val="en-US"/>
        </w:rPr>
        <w:t>Sainsbury's will be able to meet its financial targets with the support of the stated goals, indicators, and activities.</w:t>
      </w:r>
      <w:r w:rsidR="005A595A" w:rsidRPr="005372D0">
        <w:rPr>
          <w:rFonts w:ascii="Arial" w:hAnsi="Arial" w:cs="Arial"/>
          <w:lang w:val="en-US"/>
        </w:rPr>
        <w:t xml:space="preserve"> </w:t>
      </w:r>
      <w:r w:rsidRPr="005372D0">
        <w:rPr>
          <w:rFonts w:ascii="Arial" w:hAnsi="Arial" w:cs="Arial"/>
          <w:lang w:val="en-US"/>
        </w:rPr>
        <w:t>The Balanced Scorecard's customer perspective focuses on customer pleasure, loyalty, and retention, all of which are essential for Sainsbury's to keep its edge in the fiercely competitive retail sector</w:t>
      </w:r>
      <w:r w:rsidR="00C540E6" w:rsidRPr="005372D0">
        <w:rPr>
          <w:rFonts w:ascii="Arial" w:hAnsi="Arial" w:cs="Arial"/>
          <w:lang w:val="en-US"/>
        </w:rPr>
        <w:t xml:space="preserve"> (</w:t>
      </w:r>
      <w:r w:rsidR="00C540E6" w:rsidRPr="005372D0">
        <w:rPr>
          <w:rFonts w:ascii="Arial" w:hAnsi="Arial" w:cs="Arial"/>
          <w:color w:val="222222"/>
          <w:shd w:val="clear" w:color="auto" w:fill="FFFFFF"/>
        </w:rPr>
        <w:t>Camilleri, 2021)</w:t>
      </w:r>
      <w:r w:rsidRPr="005372D0">
        <w:rPr>
          <w:rFonts w:ascii="Arial" w:hAnsi="Arial" w:cs="Arial"/>
          <w:lang w:val="en-US"/>
        </w:rPr>
        <w:t xml:space="preserve">. The set of objectives, metrics, and actions outlined will assist Sainsbury's in improving customer happiness and experience, which </w:t>
      </w:r>
      <w:r w:rsidR="00A277CC" w:rsidRPr="005372D0">
        <w:rPr>
          <w:rFonts w:ascii="Arial" w:hAnsi="Arial" w:cs="Arial"/>
          <w:lang w:val="en-US"/>
        </w:rPr>
        <w:t xml:space="preserve">in return </w:t>
      </w:r>
      <w:r w:rsidRPr="005372D0">
        <w:rPr>
          <w:rFonts w:ascii="Arial" w:hAnsi="Arial" w:cs="Arial"/>
          <w:lang w:val="en-US"/>
        </w:rPr>
        <w:t xml:space="preserve">will </w:t>
      </w:r>
      <w:r w:rsidR="00A277CC" w:rsidRPr="005372D0">
        <w:rPr>
          <w:rFonts w:ascii="Arial" w:hAnsi="Arial" w:cs="Arial"/>
          <w:lang w:val="en-US"/>
        </w:rPr>
        <w:t xml:space="preserve">lead to </w:t>
      </w:r>
      <w:r w:rsidRPr="005372D0">
        <w:rPr>
          <w:rFonts w:ascii="Arial" w:hAnsi="Arial" w:cs="Arial"/>
          <w:lang w:val="en-US"/>
        </w:rPr>
        <w:t>increased customer loyalty and retention.</w:t>
      </w:r>
    </w:p>
    <w:p w:rsidR="007772F3" w:rsidRPr="005372D0" w:rsidRDefault="00C23A2A" w:rsidP="005372D0">
      <w:pPr>
        <w:spacing w:line="360" w:lineRule="auto"/>
        <w:jc w:val="both"/>
        <w:rPr>
          <w:rFonts w:ascii="Arial" w:hAnsi="Arial" w:cs="Arial"/>
          <w:lang w:val="en-US"/>
        </w:rPr>
      </w:pPr>
      <w:r w:rsidRPr="005372D0">
        <w:rPr>
          <w:rFonts w:ascii="Arial" w:hAnsi="Arial" w:cs="Arial"/>
          <w:lang w:val="en-US"/>
        </w:rPr>
        <w:t>The Balanced Scorecard's internal process perspective is concerned with enhancing operational effectiveness and efficiency. Sainsbury's must streamline operations, enhance product quality, enhance supply chain management, and boost employee productivity to improve operational performance and generate profitability</w:t>
      </w:r>
      <w:r w:rsidR="00BE18BC" w:rsidRPr="005372D0">
        <w:rPr>
          <w:rFonts w:ascii="Arial" w:hAnsi="Arial" w:cs="Arial"/>
          <w:lang w:val="en-US"/>
        </w:rPr>
        <w:t xml:space="preserve"> (</w:t>
      </w:r>
      <w:r w:rsidR="00BE18BC" w:rsidRPr="005372D0">
        <w:rPr>
          <w:rFonts w:ascii="Arial" w:hAnsi="Arial" w:cs="Arial"/>
          <w:color w:val="222222"/>
          <w:shd w:val="clear" w:color="auto" w:fill="FFFFFF"/>
        </w:rPr>
        <w:t xml:space="preserve">Benková </w:t>
      </w:r>
      <w:r w:rsidR="00BE18BC" w:rsidRPr="005372D0">
        <w:rPr>
          <w:rFonts w:ascii="Arial" w:hAnsi="Arial" w:cs="Arial"/>
          <w:i/>
          <w:color w:val="222222"/>
          <w:shd w:val="clear" w:color="auto" w:fill="FFFFFF"/>
        </w:rPr>
        <w:t>et al.</w:t>
      </w:r>
      <w:r w:rsidR="00BE18BC" w:rsidRPr="005372D0">
        <w:rPr>
          <w:rFonts w:ascii="Arial" w:hAnsi="Arial" w:cs="Arial"/>
          <w:color w:val="222222"/>
          <w:shd w:val="clear" w:color="auto" w:fill="FFFFFF"/>
        </w:rPr>
        <w:t xml:space="preserve"> 2020)</w:t>
      </w:r>
      <w:r w:rsidRPr="005372D0">
        <w:rPr>
          <w:rFonts w:ascii="Arial" w:hAnsi="Arial" w:cs="Arial"/>
          <w:lang w:val="en-US"/>
        </w:rPr>
        <w:t>. Sainsbury's will be able to enhance its inter</w:t>
      </w:r>
      <w:r w:rsidR="00A277CC" w:rsidRPr="005372D0">
        <w:rPr>
          <w:rFonts w:ascii="Arial" w:hAnsi="Arial" w:cs="Arial"/>
          <w:lang w:val="en-US"/>
        </w:rPr>
        <w:t xml:space="preserve">nal procedures and provide a valuation to its customers in association </w:t>
      </w:r>
      <w:r w:rsidRPr="005372D0">
        <w:rPr>
          <w:rFonts w:ascii="Arial" w:hAnsi="Arial" w:cs="Arial"/>
          <w:lang w:val="en-US"/>
        </w:rPr>
        <w:t>with the goals, KPIs, and projects that have been defined.</w:t>
      </w:r>
      <w:r w:rsidR="005A595A" w:rsidRPr="005372D0">
        <w:rPr>
          <w:rFonts w:ascii="Arial" w:hAnsi="Arial" w:cs="Arial"/>
          <w:lang w:val="en-US"/>
        </w:rPr>
        <w:t xml:space="preserve"> </w:t>
      </w:r>
      <w:r w:rsidRPr="005372D0">
        <w:rPr>
          <w:rFonts w:ascii="Arial" w:hAnsi="Arial" w:cs="Arial"/>
          <w:lang w:val="en-US"/>
        </w:rPr>
        <w:t xml:space="preserve">The Balanced Scorecard's learning and growth viewpoint is centered on helping employees grow and using technology to spur innovation. </w:t>
      </w:r>
      <w:r w:rsidR="00264219" w:rsidRPr="005372D0">
        <w:rPr>
          <w:rFonts w:ascii="Arial" w:hAnsi="Arial" w:cs="Arial"/>
          <w:lang w:val="en-US"/>
        </w:rPr>
        <w:t>As understood by</w:t>
      </w:r>
      <w:r w:rsidR="00F17A0F" w:rsidRPr="005372D0">
        <w:rPr>
          <w:rFonts w:ascii="Arial" w:hAnsi="Arial" w:cs="Arial"/>
          <w:color w:val="222222"/>
          <w:shd w:val="clear" w:color="auto" w:fill="FFFFFF"/>
        </w:rPr>
        <w:t xml:space="preserve"> Krylov (2019</w:t>
      </w:r>
      <w:r w:rsidR="00264219" w:rsidRPr="005372D0">
        <w:rPr>
          <w:rFonts w:ascii="Arial" w:hAnsi="Arial" w:cs="Arial"/>
          <w:color w:val="222222"/>
          <w:shd w:val="clear" w:color="auto" w:fill="FFFFFF"/>
        </w:rPr>
        <w:t xml:space="preserve">), </w:t>
      </w:r>
      <w:r w:rsidR="00264219" w:rsidRPr="005372D0">
        <w:rPr>
          <w:rFonts w:ascii="Arial" w:hAnsi="Arial" w:cs="Arial"/>
          <w:lang w:val="en-US"/>
        </w:rPr>
        <w:t>t</w:t>
      </w:r>
      <w:r w:rsidRPr="005372D0">
        <w:rPr>
          <w:rFonts w:ascii="Arial" w:hAnsi="Arial" w:cs="Arial"/>
          <w:lang w:val="en-US"/>
        </w:rPr>
        <w:t xml:space="preserve">he success of Sainsbury's depends heavily on its staff, who must be engaged and retained by making significant investments in their learning and development. The set of objectives, metrics, and </w:t>
      </w:r>
      <w:r w:rsidR="000B2A87" w:rsidRPr="005372D0">
        <w:rPr>
          <w:rFonts w:ascii="Arial" w:hAnsi="Arial" w:cs="Arial"/>
          <w:lang w:val="en-US"/>
        </w:rPr>
        <w:t xml:space="preserve">activities outlined entitle to ensure </w:t>
      </w:r>
      <w:r w:rsidRPr="005372D0">
        <w:rPr>
          <w:rFonts w:ascii="Arial" w:hAnsi="Arial" w:cs="Arial"/>
          <w:lang w:val="en-US"/>
        </w:rPr>
        <w:t>Sainsbury's in f</w:t>
      </w:r>
      <w:r w:rsidR="000B2A87" w:rsidRPr="005372D0">
        <w:rPr>
          <w:rFonts w:ascii="Arial" w:hAnsi="Arial" w:cs="Arial"/>
          <w:lang w:val="en-US"/>
        </w:rPr>
        <w:t>ostering employee growth, utilis</w:t>
      </w:r>
      <w:r w:rsidRPr="005372D0">
        <w:rPr>
          <w:rFonts w:ascii="Arial" w:hAnsi="Arial" w:cs="Arial"/>
          <w:lang w:val="en-US"/>
        </w:rPr>
        <w:t>ing technology to spur innovation and maintaining industry competitiveness.</w:t>
      </w:r>
    </w:p>
    <w:p w:rsidR="009B3C2D" w:rsidRPr="005372D0" w:rsidRDefault="00C23A2A" w:rsidP="005372D0">
      <w:pPr>
        <w:pStyle w:val="Heading1"/>
      </w:pPr>
      <w:bookmarkStart w:id="16" w:name="_Toc132397987"/>
      <w:bookmarkStart w:id="17" w:name="_Toc132476784"/>
      <w:r w:rsidRPr="005372D0">
        <w:lastRenderedPageBreak/>
        <w:t xml:space="preserve">4. Coronavirus pandemic impact on </w:t>
      </w:r>
      <w:r w:rsidR="001C29FC" w:rsidRPr="005372D0">
        <w:t xml:space="preserve">company’s </w:t>
      </w:r>
      <w:r w:rsidRPr="005372D0">
        <w:t>f</w:t>
      </w:r>
      <w:r w:rsidR="001C29FC" w:rsidRPr="005372D0">
        <w:t>inancial performance</w:t>
      </w:r>
      <w:bookmarkEnd w:id="16"/>
      <w:bookmarkEnd w:id="17"/>
      <w:r w:rsidR="001C29FC" w:rsidRPr="005372D0">
        <w:t xml:space="preserve"> </w:t>
      </w:r>
    </w:p>
    <w:p w:rsidR="003D2F92" w:rsidRPr="005372D0" w:rsidRDefault="00C23A2A" w:rsidP="005372D0">
      <w:pPr>
        <w:pStyle w:val="Heading2"/>
      </w:pPr>
      <w:bookmarkStart w:id="18" w:name="_Toc132397988"/>
      <w:bookmarkStart w:id="19" w:name="_Toc132476785"/>
      <w:r w:rsidRPr="005372D0">
        <w:t>Covid-19 pandemic impact on Sainsbury’s financial performance</w:t>
      </w:r>
      <w:bookmarkEnd w:id="18"/>
      <w:bookmarkEnd w:id="19"/>
    </w:p>
    <w:p w:rsidR="00DE76EE" w:rsidRPr="005372D0" w:rsidRDefault="00C23A2A" w:rsidP="005372D0">
      <w:pPr>
        <w:pStyle w:val="NormalWeb"/>
        <w:spacing w:before="240" w:beforeAutospacing="0" w:after="240" w:afterAutospacing="0" w:line="360" w:lineRule="auto"/>
        <w:jc w:val="both"/>
        <w:rPr>
          <w:rFonts w:ascii="Arial" w:hAnsi="Arial" w:cs="Arial"/>
          <w:sz w:val="22"/>
          <w:szCs w:val="22"/>
        </w:rPr>
      </w:pPr>
      <w:r w:rsidRPr="005372D0">
        <w:rPr>
          <w:rFonts w:ascii="Arial" w:hAnsi="Arial" w:cs="Arial"/>
          <w:color w:val="000000"/>
          <w:sz w:val="22"/>
          <w:szCs w:val="22"/>
        </w:rPr>
        <w:t>The Covid-19 pandemic poses a major implication on the financial performance of the leading supermarkets of the United Kingdom (UK) namely Sainsbury Plc. Moreover, the financial consequence of Sainsbury's concern with the severe pandemic situation comprises a significant impact on the company's profit, revenue, and supply chain costs and subsequently on the aggregate financial structure as illustrated here.</w:t>
      </w:r>
    </w:p>
    <w:p w:rsidR="00DE76EE" w:rsidRPr="005372D0" w:rsidRDefault="00C23A2A" w:rsidP="005372D0">
      <w:pPr>
        <w:pStyle w:val="NormalWeb"/>
        <w:spacing w:before="240" w:beforeAutospacing="0" w:after="240" w:afterAutospacing="0" w:line="360" w:lineRule="auto"/>
        <w:jc w:val="both"/>
        <w:rPr>
          <w:rFonts w:ascii="Arial" w:hAnsi="Arial" w:cs="Arial"/>
          <w:sz w:val="22"/>
          <w:szCs w:val="22"/>
        </w:rPr>
      </w:pPr>
      <w:r w:rsidRPr="005372D0">
        <w:rPr>
          <w:rFonts w:ascii="Arial" w:hAnsi="Arial" w:cs="Arial"/>
          <w:b/>
          <w:bCs/>
          <w:i/>
          <w:iCs/>
          <w:color w:val="000000"/>
          <w:sz w:val="22"/>
          <w:szCs w:val="22"/>
        </w:rPr>
        <w:t xml:space="preserve">Supply chain costs: </w:t>
      </w:r>
      <w:r w:rsidRPr="005372D0">
        <w:rPr>
          <w:rFonts w:ascii="Arial" w:hAnsi="Arial" w:cs="Arial"/>
          <w:color w:val="000000"/>
          <w:sz w:val="22"/>
          <w:szCs w:val="22"/>
        </w:rPr>
        <w:t>Due to delays brought on by international lockdowns and travel restrictions, the Covid -19 pandemic has resulted in a large rise in supply chain costs. Moreover, due to the increased demand for home delivery services, Sainsbury's had to contend with supply chain disruptions, including shortages of particular products and greater transportation costs</w:t>
      </w:r>
      <w:r w:rsidR="002D2CF7">
        <w:rPr>
          <w:rFonts w:ascii="Arial" w:hAnsi="Arial" w:cs="Arial"/>
          <w:color w:val="000000"/>
          <w:sz w:val="22"/>
          <w:szCs w:val="22"/>
        </w:rPr>
        <w:t xml:space="preserve"> (</w:t>
      </w:r>
      <w:r w:rsidR="002D2CF7">
        <w:rPr>
          <w:rFonts w:ascii="Arial" w:hAnsi="Arial" w:cs="Arial"/>
          <w:color w:val="222222"/>
          <w:sz w:val="22"/>
          <w:szCs w:val="22"/>
          <w:shd w:val="clear" w:color="auto" w:fill="FFFFFF"/>
        </w:rPr>
        <w:t xml:space="preserve">Borland, </w:t>
      </w:r>
      <w:r w:rsidR="002D2CF7" w:rsidRPr="00EE6B78">
        <w:rPr>
          <w:rFonts w:ascii="Arial" w:hAnsi="Arial" w:cs="Arial"/>
          <w:color w:val="222222"/>
          <w:sz w:val="22"/>
          <w:szCs w:val="22"/>
          <w:shd w:val="clear" w:color="auto" w:fill="FFFFFF"/>
        </w:rPr>
        <w:t>2023</w:t>
      </w:r>
      <w:r w:rsidR="002D2CF7">
        <w:rPr>
          <w:rFonts w:ascii="Arial" w:hAnsi="Arial" w:cs="Arial"/>
          <w:color w:val="222222"/>
          <w:shd w:val="clear" w:color="auto" w:fill="FFFFFF"/>
        </w:rPr>
        <w:t>)</w:t>
      </w:r>
      <w:r w:rsidRPr="005372D0">
        <w:rPr>
          <w:rFonts w:ascii="Arial" w:hAnsi="Arial" w:cs="Arial"/>
          <w:color w:val="000000"/>
          <w:sz w:val="22"/>
          <w:szCs w:val="22"/>
        </w:rPr>
        <w:t>. The expense of putting steps in place to guarantee the security of its supply chain, like lowering the number of employees on the job site and taking social isolation measures, was also increased for the company.</w:t>
      </w:r>
    </w:p>
    <w:p w:rsidR="00DE76EE" w:rsidRPr="005372D0" w:rsidRDefault="00C23A2A" w:rsidP="005372D0">
      <w:pPr>
        <w:pStyle w:val="NormalWeb"/>
        <w:spacing w:before="240" w:beforeAutospacing="0" w:after="240" w:afterAutospacing="0" w:line="360" w:lineRule="auto"/>
        <w:jc w:val="both"/>
        <w:rPr>
          <w:rFonts w:ascii="Arial" w:hAnsi="Arial" w:cs="Arial"/>
          <w:sz w:val="22"/>
          <w:szCs w:val="22"/>
        </w:rPr>
      </w:pPr>
      <w:r w:rsidRPr="005372D0">
        <w:rPr>
          <w:rFonts w:ascii="Arial" w:hAnsi="Arial" w:cs="Arial"/>
          <w:b/>
          <w:bCs/>
          <w:i/>
          <w:iCs/>
          <w:color w:val="000000"/>
          <w:sz w:val="22"/>
          <w:szCs w:val="22"/>
        </w:rPr>
        <w:t>Revenue:</w:t>
      </w:r>
      <w:r w:rsidRPr="005372D0">
        <w:rPr>
          <w:rFonts w:ascii="Arial" w:hAnsi="Arial" w:cs="Arial"/>
          <w:color w:val="000000"/>
          <w:sz w:val="22"/>
          <w:szCs w:val="22"/>
        </w:rPr>
        <w:t xml:space="preserve"> The pandemic's effects on Sainsbury's income were conflicting. Early on in the epidemic, panic shopping caused a jump in the demand for groceries leading to the increased revenue structure of Sainsbury. However, when the virus spread and lockdowns were implemented, customer traffic to stores declined and they began to shop online</w:t>
      </w:r>
      <w:r w:rsidR="002D2CF7">
        <w:rPr>
          <w:rFonts w:ascii="Arial" w:hAnsi="Arial" w:cs="Arial"/>
          <w:color w:val="000000"/>
          <w:sz w:val="22"/>
          <w:szCs w:val="22"/>
        </w:rPr>
        <w:t xml:space="preserve"> (</w:t>
      </w:r>
      <w:r w:rsidR="002D2CF7">
        <w:rPr>
          <w:rFonts w:ascii="Arial" w:hAnsi="Arial" w:cs="Arial"/>
          <w:color w:val="222222"/>
          <w:sz w:val="22"/>
          <w:szCs w:val="22"/>
          <w:shd w:val="clear" w:color="auto" w:fill="FFFFFF"/>
        </w:rPr>
        <w:t xml:space="preserve">Baxter </w:t>
      </w:r>
      <w:r w:rsidR="002D2CF7" w:rsidRPr="002D2CF7">
        <w:rPr>
          <w:rFonts w:ascii="Arial" w:hAnsi="Arial" w:cs="Arial"/>
          <w:i/>
          <w:color w:val="222222"/>
          <w:sz w:val="22"/>
          <w:szCs w:val="22"/>
          <w:shd w:val="clear" w:color="auto" w:fill="FFFFFF"/>
        </w:rPr>
        <w:t>et al.</w:t>
      </w:r>
      <w:r w:rsidR="002D2CF7">
        <w:rPr>
          <w:rFonts w:ascii="Arial" w:hAnsi="Arial" w:cs="Arial"/>
          <w:color w:val="222222"/>
          <w:sz w:val="22"/>
          <w:szCs w:val="22"/>
          <w:shd w:val="clear" w:color="auto" w:fill="FFFFFF"/>
        </w:rPr>
        <w:t xml:space="preserve"> </w:t>
      </w:r>
      <w:r w:rsidR="002D2CF7" w:rsidRPr="00EE6B78">
        <w:rPr>
          <w:rFonts w:ascii="Arial" w:hAnsi="Arial" w:cs="Arial"/>
          <w:color w:val="222222"/>
          <w:sz w:val="22"/>
          <w:szCs w:val="22"/>
          <w:shd w:val="clear" w:color="auto" w:fill="FFFFFF"/>
        </w:rPr>
        <w:t>2021</w:t>
      </w:r>
      <w:r w:rsidR="002D2CF7">
        <w:rPr>
          <w:rFonts w:ascii="Arial" w:hAnsi="Arial" w:cs="Arial"/>
          <w:color w:val="222222"/>
          <w:shd w:val="clear" w:color="auto" w:fill="FFFFFF"/>
        </w:rPr>
        <w:t>)</w:t>
      </w:r>
      <w:r w:rsidRPr="005372D0">
        <w:rPr>
          <w:rFonts w:ascii="Arial" w:hAnsi="Arial" w:cs="Arial"/>
          <w:color w:val="000000"/>
          <w:sz w:val="22"/>
          <w:szCs w:val="22"/>
        </w:rPr>
        <w:t>. Because Sainsbury's had to make significant investments to strengthen its online delivery capabilities, the company's costs grew as a result of the transition to online shopping. However, the business saw a huge boost in its online sales, which rose by 117% in the first half of the fiscal year 2020–21</w:t>
      </w:r>
      <w:r w:rsidR="002954FD">
        <w:rPr>
          <w:rFonts w:ascii="Arial" w:hAnsi="Arial" w:cs="Arial"/>
          <w:color w:val="000000"/>
          <w:sz w:val="22"/>
          <w:szCs w:val="22"/>
        </w:rPr>
        <w:t xml:space="preserve"> </w:t>
      </w:r>
      <w:r w:rsidR="002954FD">
        <w:rPr>
          <w:rFonts w:ascii="Arial" w:hAnsi="Arial" w:cs="Arial"/>
          <w:color w:val="000000"/>
          <w:sz w:val="22"/>
          <w:szCs w:val="22"/>
        </w:rPr>
        <w:t>(</w:t>
      </w:r>
      <w:r w:rsidR="002954FD" w:rsidRPr="00EE6B78">
        <w:rPr>
          <w:rFonts w:ascii="Arial" w:hAnsi="Arial" w:cs="Arial"/>
          <w:iCs/>
          <w:sz w:val="22"/>
          <w:szCs w:val="22"/>
        </w:rPr>
        <w:t>Sainsbury Plc | Annual Report</w:t>
      </w:r>
      <w:r w:rsidR="002954FD">
        <w:rPr>
          <w:rFonts w:ascii="Arial" w:hAnsi="Arial" w:cs="Arial"/>
          <w:sz w:val="22"/>
          <w:szCs w:val="22"/>
        </w:rPr>
        <w:t xml:space="preserve">, </w:t>
      </w:r>
      <w:r w:rsidR="002954FD" w:rsidRPr="00EE6B78">
        <w:rPr>
          <w:rFonts w:ascii="Arial" w:hAnsi="Arial" w:cs="Arial"/>
          <w:sz w:val="22"/>
          <w:szCs w:val="22"/>
        </w:rPr>
        <w:t>2023)</w:t>
      </w:r>
      <w:r w:rsidRPr="005372D0">
        <w:rPr>
          <w:rFonts w:ascii="Arial" w:hAnsi="Arial" w:cs="Arial"/>
          <w:color w:val="000000"/>
          <w:sz w:val="22"/>
          <w:szCs w:val="22"/>
        </w:rPr>
        <w:t>.</w:t>
      </w:r>
    </w:p>
    <w:p w:rsidR="00DE76EE" w:rsidRPr="005372D0" w:rsidRDefault="00C23A2A" w:rsidP="005372D0">
      <w:pPr>
        <w:pStyle w:val="NormalWeb"/>
        <w:spacing w:before="240" w:beforeAutospacing="0" w:after="240" w:afterAutospacing="0" w:line="360" w:lineRule="auto"/>
        <w:jc w:val="both"/>
        <w:rPr>
          <w:rFonts w:ascii="Arial" w:hAnsi="Arial" w:cs="Arial"/>
          <w:sz w:val="22"/>
          <w:szCs w:val="22"/>
        </w:rPr>
      </w:pPr>
      <w:r w:rsidRPr="005372D0">
        <w:rPr>
          <w:rFonts w:ascii="Arial" w:hAnsi="Arial" w:cs="Arial"/>
          <w:b/>
          <w:bCs/>
          <w:i/>
          <w:iCs/>
          <w:color w:val="000000"/>
          <w:sz w:val="22"/>
          <w:szCs w:val="22"/>
        </w:rPr>
        <w:t xml:space="preserve">Profit: </w:t>
      </w:r>
      <w:r w:rsidRPr="005372D0">
        <w:rPr>
          <w:rFonts w:ascii="Arial" w:hAnsi="Arial" w:cs="Arial"/>
          <w:color w:val="000000"/>
          <w:sz w:val="22"/>
          <w:szCs w:val="22"/>
        </w:rPr>
        <w:t>The epidemic adversely affected Sainsbury's profit in several ways. Sales increased as a result of the increased demand for foodstuffs during the early stages of the epidemic, but profit margins were impacted by the costs of supplying this demand, including overtime pay and additional staff</w:t>
      </w:r>
      <w:r w:rsidR="002D2CF7">
        <w:rPr>
          <w:rFonts w:ascii="Arial" w:hAnsi="Arial" w:cs="Arial"/>
          <w:color w:val="000000"/>
          <w:sz w:val="22"/>
          <w:szCs w:val="22"/>
        </w:rPr>
        <w:t xml:space="preserve"> (</w:t>
      </w:r>
      <w:r w:rsidR="002D2CF7">
        <w:rPr>
          <w:rFonts w:ascii="Arial" w:hAnsi="Arial" w:cs="Arial"/>
          <w:color w:val="222222"/>
          <w:sz w:val="22"/>
          <w:szCs w:val="22"/>
          <w:shd w:val="clear" w:color="auto" w:fill="FFFFFF"/>
        </w:rPr>
        <w:t xml:space="preserve">Xiao </w:t>
      </w:r>
      <w:r w:rsidR="002D2CF7" w:rsidRPr="002D2CF7">
        <w:rPr>
          <w:rFonts w:ascii="Arial" w:hAnsi="Arial" w:cs="Arial"/>
          <w:i/>
          <w:color w:val="222222"/>
          <w:sz w:val="22"/>
          <w:szCs w:val="22"/>
          <w:shd w:val="clear" w:color="auto" w:fill="FFFFFF"/>
        </w:rPr>
        <w:t>et al.</w:t>
      </w:r>
      <w:r w:rsidR="002D2CF7">
        <w:rPr>
          <w:rFonts w:ascii="Arial" w:hAnsi="Arial" w:cs="Arial"/>
          <w:color w:val="222222"/>
          <w:sz w:val="22"/>
          <w:szCs w:val="22"/>
          <w:shd w:val="clear" w:color="auto" w:fill="FFFFFF"/>
        </w:rPr>
        <w:t xml:space="preserve"> </w:t>
      </w:r>
      <w:r w:rsidR="002D2CF7" w:rsidRPr="00EE6B78">
        <w:rPr>
          <w:rFonts w:ascii="Arial" w:hAnsi="Arial" w:cs="Arial"/>
          <w:color w:val="222222"/>
          <w:sz w:val="22"/>
          <w:szCs w:val="22"/>
          <w:shd w:val="clear" w:color="auto" w:fill="FFFFFF"/>
        </w:rPr>
        <w:t>2021</w:t>
      </w:r>
      <w:r w:rsidR="002D2CF7">
        <w:rPr>
          <w:rFonts w:ascii="Arial" w:hAnsi="Arial" w:cs="Arial"/>
          <w:color w:val="222222"/>
          <w:sz w:val="22"/>
          <w:szCs w:val="22"/>
          <w:shd w:val="clear" w:color="auto" w:fill="FFFFFF"/>
        </w:rPr>
        <w:t>)</w:t>
      </w:r>
      <w:r w:rsidRPr="005372D0">
        <w:rPr>
          <w:rFonts w:ascii="Arial" w:hAnsi="Arial" w:cs="Arial"/>
          <w:color w:val="000000"/>
          <w:sz w:val="22"/>
          <w:szCs w:val="22"/>
        </w:rPr>
        <w:t>. To protect its employees and clients, the business also had to make significant investments in personal protective equipment (PPE) and other safety precautions. Sainsbury's profit margins were impacted negatively by this expenditure and rising internet delivery prices.</w:t>
      </w:r>
    </w:p>
    <w:p w:rsidR="00DE76EE" w:rsidRPr="005372D0" w:rsidRDefault="00C23A2A" w:rsidP="005372D0">
      <w:pPr>
        <w:pStyle w:val="NormalWeb"/>
        <w:spacing w:before="240" w:beforeAutospacing="0" w:after="240" w:afterAutospacing="0" w:line="360" w:lineRule="auto"/>
        <w:jc w:val="both"/>
        <w:rPr>
          <w:rFonts w:ascii="Arial" w:hAnsi="Arial" w:cs="Arial"/>
          <w:sz w:val="22"/>
          <w:szCs w:val="22"/>
        </w:rPr>
      </w:pPr>
      <w:r w:rsidRPr="005372D0">
        <w:rPr>
          <w:rFonts w:ascii="Arial" w:hAnsi="Arial" w:cs="Arial"/>
          <w:b/>
          <w:bCs/>
          <w:i/>
          <w:iCs/>
          <w:color w:val="000000"/>
          <w:sz w:val="22"/>
          <w:szCs w:val="22"/>
        </w:rPr>
        <w:t xml:space="preserve">Overall financial structure: </w:t>
      </w:r>
      <w:r w:rsidRPr="005372D0">
        <w:rPr>
          <w:rFonts w:ascii="Arial" w:hAnsi="Arial" w:cs="Arial"/>
          <w:color w:val="000000"/>
          <w:sz w:val="22"/>
          <w:szCs w:val="22"/>
        </w:rPr>
        <w:t>Despite the difficulties the pandemic has brought forth, Sainsbury's has been able to keep its financial situation largely stable. The company's underlying profit before tax increased to £301 million in the first half of the 2020–21 fiscal period from £238 million in the same time the year before, leading to a 6.9% increase in sales</w:t>
      </w:r>
      <w:r w:rsidR="002954FD">
        <w:rPr>
          <w:rFonts w:ascii="Arial" w:hAnsi="Arial" w:cs="Arial"/>
          <w:color w:val="000000"/>
          <w:sz w:val="22"/>
          <w:szCs w:val="22"/>
        </w:rPr>
        <w:t xml:space="preserve"> (</w:t>
      </w:r>
      <w:r w:rsidR="002954FD" w:rsidRPr="00EE6B78">
        <w:rPr>
          <w:rFonts w:ascii="Arial" w:hAnsi="Arial" w:cs="Arial"/>
          <w:iCs/>
          <w:sz w:val="22"/>
          <w:szCs w:val="22"/>
        </w:rPr>
        <w:t>Sainsbury Plc | Annual Report</w:t>
      </w:r>
      <w:r w:rsidR="002954FD">
        <w:rPr>
          <w:rFonts w:ascii="Arial" w:hAnsi="Arial" w:cs="Arial"/>
          <w:sz w:val="22"/>
          <w:szCs w:val="22"/>
        </w:rPr>
        <w:t xml:space="preserve">, </w:t>
      </w:r>
      <w:r w:rsidR="002954FD" w:rsidRPr="00EE6B78">
        <w:rPr>
          <w:rFonts w:ascii="Arial" w:hAnsi="Arial" w:cs="Arial"/>
          <w:sz w:val="22"/>
          <w:szCs w:val="22"/>
        </w:rPr>
        <w:t>2023)</w:t>
      </w:r>
      <w:r w:rsidRPr="005372D0">
        <w:rPr>
          <w:rFonts w:ascii="Arial" w:hAnsi="Arial" w:cs="Arial"/>
          <w:color w:val="000000"/>
          <w:sz w:val="22"/>
          <w:szCs w:val="22"/>
        </w:rPr>
        <w:t xml:space="preserve">. Additionally, the business's net debt dropped, and its </w:t>
      </w:r>
      <w:r w:rsidRPr="005372D0">
        <w:rPr>
          <w:rFonts w:ascii="Arial" w:hAnsi="Arial" w:cs="Arial"/>
          <w:color w:val="000000"/>
          <w:sz w:val="22"/>
          <w:szCs w:val="22"/>
        </w:rPr>
        <w:lastRenderedPageBreak/>
        <w:t>liquidity situation remained solid. Furthermore, the pandemic had a substantial effect on Sainsbury's balance sheet as well. Stockpiling of foodstuffs as a result of panic buying raised the company's inventory levels, which had a detrimental effect on cash flow. However, the business was able to efficiently control its inventory levels and prevent any substantial supply chain disruptions</w:t>
      </w:r>
      <w:r w:rsidR="002D2CF7">
        <w:rPr>
          <w:rFonts w:ascii="Arial" w:hAnsi="Arial" w:cs="Arial"/>
          <w:color w:val="000000"/>
          <w:sz w:val="22"/>
          <w:szCs w:val="22"/>
        </w:rPr>
        <w:t xml:space="preserve"> (</w:t>
      </w:r>
      <w:r w:rsidR="002D2CF7">
        <w:rPr>
          <w:rFonts w:ascii="Arial" w:hAnsi="Arial" w:cs="Arial"/>
          <w:color w:val="222222"/>
          <w:sz w:val="22"/>
          <w:szCs w:val="22"/>
          <w:shd w:val="clear" w:color="auto" w:fill="FFFFFF"/>
        </w:rPr>
        <w:t xml:space="preserve">Brewer and Patrick, </w:t>
      </w:r>
      <w:r w:rsidR="002D2CF7" w:rsidRPr="00EE6B78">
        <w:rPr>
          <w:rFonts w:ascii="Arial" w:hAnsi="Arial" w:cs="Arial"/>
          <w:color w:val="222222"/>
          <w:sz w:val="22"/>
          <w:szCs w:val="22"/>
          <w:shd w:val="clear" w:color="auto" w:fill="FFFFFF"/>
        </w:rPr>
        <w:t>2021</w:t>
      </w:r>
      <w:r w:rsidR="002D2CF7">
        <w:rPr>
          <w:rFonts w:ascii="Arial" w:hAnsi="Arial" w:cs="Arial"/>
          <w:color w:val="222222"/>
          <w:shd w:val="clear" w:color="auto" w:fill="FFFFFF"/>
        </w:rPr>
        <w:t>)</w:t>
      </w:r>
      <w:r w:rsidRPr="005372D0">
        <w:rPr>
          <w:rFonts w:ascii="Arial" w:hAnsi="Arial" w:cs="Arial"/>
          <w:color w:val="000000"/>
          <w:sz w:val="22"/>
          <w:szCs w:val="22"/>
        </w:rPr>
        <w:t>. Moreover, Sainsbury's implemented several protective steps for both its employees and customers in the wake of the epidemic, such as installing Perspex screens at checkouts and providing their employees with PPE. Besides, the business added a priority delivery service for vulnerable customers and increased its online delivery capabilities.</w:t>
      </w:r>
    </w:p>
    <w:p w:rsidR="005D335B" w:rsidRPr="005372D0" w:rsidRDefault="00C23A2A" w:rsidP="005372D0">
      <w:pPr>
        <w:pStyle w:val="NormalWeb"/>
        <w:spacing w:before="240" w:beforeAutospacing="0" w:after="240" w:afterAutospacing="0" w:line="360" w:lineRule="auto"/>
        <w:jc w:val="both"/>
        <w:rPr>
          <w:rFonts w:ascii="Arial" w:hAnsi="Arial" w:cs="Arial"/>
          <w:sz w:val="22"/>
          <w:szCs w:val="22"/>
        </w:rPr>
      </w:pPr>
      <w:r w:rsidRPr="005372D0">
        <w:rPr>
          <w:rFonts w:ascii="Arial" w:hAnsi="Arial" w:cs="Arial"/>
          <w:color w:val="000000"/>
          <w:sz w:val="22"/>
          <w:szCs w:val="22"/>
        </w:rPr>
        <w:t>Therefore, the financial performance of Sainsbury has been affected by the Covid-19 pandemic in a variety of ways. Even while the business has seen a rise in the demand for groceries and online sales, this has been countered by higher costs related to servicing this demand and making safe investments. However, the business has been able to keep its financial situation largely constant, and its reaction to the epidemic has received plaudits for its success in safeguarding both employees and clients.</w:t>
      </w:r>
      <w:bookmarkStart w:id="20" w:name="_Toc132397989"/>
    </w:p>
    <w:p w:rsidR="003D2F92" w:rsidRPr="005372D0" w:rsidRDefault="00C23A2A" w:rsidP="005372D0">
      <w:pPr>
        <w:pStyle w:val="Heading2"/>
      </w:pPr>
      <w:bookmarkStart w:id="21" w:name="_Toc132476786"/>
      <w:r w:rsidRPr="005372D0">
        <w:t>Covid-19 pandemic impact on Sainsbury’s non-financial performance</w:t>
      </w:r>
      <w:bookmarkEnd w:id="20"/>
      <w:bookmarkEnd w:id="21"/>
    </w:p>
    <w:p w:rsidR="001A6AD5" w:rsidRPr="005372D0" w:rsidRDefault="00C23A2A" w:rsidP="005372D0">
      <w:pPr>
        <w:spacing w:line="360" w:lineRule="auto"/>
        <w:jc w:val="both"/>
        <w:rPr>
          <w:rFonts w:ascii="Arial" w:hAnsi="Arial" w:cs="Arial"/>
          <w:lang w:val="en-US"/>
        </w:rPr>
      </w:pPr>
      <w:r w:rsidRPr="005372D0">
        <w:rPr>
          <w:rFonts w:ascii="Arial" w:hAnsi="Arial" w:cs="Arial"/>
          <w:lang w:val="en-US"/>
        </w:rPr>
        <w:t>The Covid-19 pandemic has had a significant impact on the non-financial performance of Sainsbury's, one of the largest supermarket chains in the UK. However, some of the major impacts of the severe Covid-19 pandemic on Sainsbury's non-financial performance are illustrated below.</w:t>
      </w:r>
    </w:p>
    <w:p w:rsidR="00E50169" w:rsidRPr="005372D0" w:rsidRDefault="00C23A2A" w:rsidP="005372D0">
      <w:pPr>
        <w:spacing w:line="360" w:lineRule="auto"/>
        <w:jc w:val="both"/>
        <w:rPr>
          <w:rFonts w:ascii="Arial" w:hAnsi="Arial" w:cs="Arial"/>
          <w:lang w:val="en-US"/>
        </w:rPr>
      </w:pPr>
      <w:r w:rsidRPr="005372D0">
        <w:rPr>
          <w:rFonts w:ascii="Arial" w:hAnsi="Arial" w:cs="Arial"/>
          <w:b/>
          <w:i/>
          <w:lang w:val="en-US"/>
        </w:rPr>
        <w:t xml:space="preserve">Employee Health and Safety: </w:t>
      </w:r>
      <w:r w:rsidRPr="005372D0">
        <w:rPr>
          <w:rFonts w:ascii="Arial" w:hAnsi="Arial" w:cs="Arial"/>
          <w:lang w:val="en-US"/>
        </w:rPr>
        <w:t xml:space="preserve">The epidemic significantly affected the workers' health and safety at Sainsbury's. </w:t>
      </w:r>
      <w:r w:rsidR="00002F6E" w:rsidRPr="005372D0">
        <w:rPr>
          <w:rFonts w:ascii="Arial" w:hAnsi="Arial" w:cs="Arial"/>
          <w:lang w:val="en-US"/>
        </w:rPr>
        <w:t xml:space="preserve">As considered by </w:t>
      </w:r>
      <w:r w:rsidR="00002F6E" w:rsidRPr="005372D0">
        <w:rPr>
          <w:rFonts w:ascii="Arial" w:hAnsi="Arial" w:cs="Arial"/>
          <w:color w:val="222222"/>
          <w:shd w:val="clear" w:color="auto" w:fill="FFFFFF"/>
        </w:rPr>
        <w:t xml:space="preserve">Razzak </w:t>
      </w:r>
      <w:r w:rsidR="00002F6E" w:rsidRPr="005372D0">
        <w:rPr>
          <w:rFonts w:ascii="Arial" w:hAnsi="Arial" w:cs="Arial"/>
          <w:i/>
          <w:color w:val="222222"/>
          <w:shd w:val="clear" w:color="auto" w:fill="FFFFFF"/>
        </w:rPr>
        <w:t>et al.</w:t>
      </w:r>
      <w:r w:rsidR="00002F6E" w:rsidRPr="005372D0">
        <w:rPr>
          <w:rFonts w:ascii="Arial" w:hAnsi="Arial" w:cs="Arial"/>
          <w:color w:val="222222"/>
          <w:shd w:val="clear" w:color="auto" w:fill="FFFFFF"/>
        </w:rPr>
        <w:t xml:space="preserve"> (2022), </w:t>
      </w:r>
      <w:r w:rsidR="00002F6E" w:rsidRPr="005372D0">
        <w:rPr>
          <w:rFonts w:ascii="Arial" w:hAnsi="Arial" w:cs="Arial"/>
          <w:lang w:val="en-US"/>
        </w:rPr>
        <w:t>t</w:t>
      </w:r>
      <w:r w:rsidRPr="005372D0">
        <w:rPr>
          <w:rFonts w:ascii="Arial" w:hAnsi="Arial" w:cs="Arial"/>
          <w:lang w:val="en-US"/>
        </w:rPr>
        <w:t>he business had to put safeguards in place to shield its clients and workers from the virus. Personal protective equipment (PPE), greater cleaning and hygiene precautions, and social distancing measures were some of these measures. To assist staff during the epidemic, Sainsbury's also implemented a variety of new rules, such as sick pay for those who needed to isolate themselves and specific provisions for vulnerable workers.</w:t>
      </w:r>
    </w:p>
    <w:p w:rsidR="000B2A87" w:rsidRPr="005372D0" w:rsidRDefault="00C23A2A" w:rsidP="005372D0">
      <w:pPr>
        <w:spacing w:line="360" w:lineRule="auto"/>
        <w:jc w:val="both"/>
        <w:rPr>
          <w:rFonts w:ascii="Arial" w:hAnsi="Arial" w:cs="Arial"/>
          <w:lang w:val="en-US"/>
        </w:rPr>
      </w:pPr>
      <w:r w:rsidRPr="005372D0">
        <w:rPr>
          <w:rFonts w:ascii="Arial" w:hAnsi="Arial" w:cs="Arial"/>
          <w:b/>
          <w:i/>
          <w:lang w:val="en-US"/>
        </w:rPr>
        <w:t xml:space="preserve">Supply Chain Disruption: </w:t>
      </w:r>
      <w:r w:rsidRPr="005372D0">
        <w:rPr>
          <w:rFonts w:ascii="Arial" w:hAnsi="Arial" w:cs="Arial"/>
          <w:lang w:val="en-US"/>
        </w:rPr>
        <w:t xml:space="preserve">Sainsbury's supply chain experienced substantial interruptions as a result of the epidemic. </w:t>
      </w:r>
      <w:r w:rsidR="00062D18" w:rsidRPr="005372D0">
        <w:rPr>
          <w:rFonts w:ascii="Arial" w:hAnsi="Arial" w:cs="Arial"/>
          <w:lang w:val="en-US"/>
        </w:rPr>
        <w:t xml:space="preserve">As mentioned by </w:t>
      </w:r>
      <w:r w:rsidR="00062D18" w:rsidRPr="005372D0">
        <w:rPr>
          <w:rFonts w:ascii="Arial" w:hAnsi="Arial" w:cs="Arial"/>
          <w:color w:val="222222"/>
          <w:shd w:val="clear" w:color="auto" w:fill="FFFFFF"/>
        </w:rPr>
        <w:t xml:space="preserve">Maharaj (2021), </w:t>
      </w:r>
      <w:r w:rsidR="00062D18" w:rsidRPr="005372D0">
        <w:rPr>
          <w:rFonts w:ascii="Arial" w:hAnsi="Arial" w:cs="Arial"/>
          <w:lang w:val="en-US"/>
        </w:rPr>
        <w:t>k</w:t>
      </w:r>
      <w:r w:rsidRPr="005372D0">
        <w:rPr>
          <w:rFonts w:ascii="Arial" w:hAnsi="Arial" w:cs="Arial"/>
          <w:lang w:val="en-US"/>
        </w:rPr>
        <w:t>ey items li</w:t>
      </w:r>
      <w:r w:rsidR="009607D9" w:rsidRPr="005372D0">
        <w:rPr>
          <w:rFonts w:ascii="Arial" w:hAnsi="Arial" w:cs="Arial"/>
          <w:lang w:val="en-US"/>
        </w:rPr>
        <w:t>ke toilet paper and hand sanitis</w:t>
      </w:r>
      <w:r w:rsidRPr="005372D0">
        <w:rPr>
          <w:rFonts w:ascii="Arial" w:hAnsi="Arial" w:cs="Arial"/>
          <w:lang w:val="en-US"/>
        </w:rPr>
        <w:t>er were in short supply, so the business had to engage with suppliers to acquire adequate stock to meet demand. Additionally, Sainsbury's had to adjust to consumer behavior changes, such as an increase in online shopping demand, which put additional strain on its supply chain.</w:t>
      </w:r>
    </w:p>
    <w:p w:rsidR="0082483E" w:rsidRPr="005372D0" w:rsidRDefault="00C23A2A" w:rsidP="005372D0">
      <w:pPr>
        <w:pStyle w:val="NormalWeb"/>
        <w:spacing w:before="240" w:beforeAutospacing="0" w:after="240" w:afterAutospacing="0" w:line="360" w:lineRule="auto"/>
        <w:jc w:val="both"/>
        <w:rPr>
          <w:rFonts w:ascii="Arial" w:hAnsi="Arial" w:cs="Arial"/>
          <w:sz w:val="22"/>
          <w:szCs w:val="22"/>
        </w:rPr>
      </w:pPr>
      <w:bookmarkStart w:id="22" w:name="_Toc132397990"/>
      <w:r w:rsidRPr="005372D0">
        <w:rPr>
          <w:rFonts w:ascii="Arial" w:hAnsi="Arial" w:cs="Arial"/>
          <w:b/>
          <w:bCs/>
          <w:i/>
          <w:iCs/>
          <w:color w:val="000000"/>
          <w:sz w:val="22"/>
          <w:szCs w:val="22"/>
        </w:rPr>
        <w:lastRenderedPageBreak/>
        <w:t xml:space="preserve">Community Engagement: </w:t>
      </w:r>
      <w:r w:rsidRPr="005372D0">
        <w:rPr>
          <w:rFonts w:ascii="Arial" w:hAnsi="Arial" w:cs="Arial"/>
          <w:color w:val="000000"/>
          <w:sz w:val="22"/>
          <w:szCs w:val="22"/>
        </w:rPr>
        <w:t>The epidemic made the value of community involvement clear, and Sainsbury's was instrumental in assisting regional communities. The business established programs to support healthcare staff and other important workers while also collaborating with local government and charity to offer food and other necessities to those in need.</w:t>
      </w:r>
    </w:p>
    <w:p w:rsidR="0082483E" w:rsidRPr="005372D0" w:rsidRDefault="00C23A2A" w:rsidP="005372D0">
      <w:pPr>
        <w:pStyle w:val="NormalWeb"/>
        <w:spacing w:before="240" w:beforeAutospacing="0" w:after="240" w:afterAutospacing="0" w:line="360" w:lineRule="auto"/>
        <w:jc w:val="both"/>
        <w:rPr>
          <w:rFonts w:ascii="Arial" w:hAnsi="Arial" w:cs="Arial"/>
          <w:sz w:val="22"/>
          <w:szCs w:val="22"/>
        </w:rPr>
      </w:pPr>
      <w:r w:rsidRPr="005372D0">
        <w:rPr>
          <w:rFonts w:ascii="Arial" w:hAnsi="Arial" w:cs="Arial"/>
          <w:b/>
          <w:bCs/>
          <w:i/>
          <w:iCs/>
          <w:color w:val="000000"/>
          <w:sz w:val="22"/>
          <w:szCs w:val="22"/>
        </w:rPr>
        <w:t xml:space="preserve">Environmental Impact: </w:t>
      </w:r>
      <w:r w:rsidRPr="005372D0">
        <w:rPr>
          <w:rFonts w:ascii="Arial" w:hAnsi="Arial" w:cs="Arial"/>
          <w:color w:val="000000"/>
          <w:sz w:val="22"/>
          <w:szCs w:val="22"/>
        </w:rPr>
        <w:t>The pandemic had a major effect on Sainsbury's environmental performance as well. The corporation had to struggle to discover sustainable methods to handle this as a result of the rise in demand for online shopping, which caused a boom in packaging waste. Along with creating new policies to maintain the security and hygiene of its stores and products, Sainsbury's also had to modify its operations to use less energy.</w:t>
      </w:r>
    </w:p>
    <w:p w:rsidR="009B3C2D" w:rsidRPr="005372D0" w:rsidRDefault="00C23A2A" w:rsidP="005372D0">
      <w:pPr>
        <w:pStyle w:val="Heading1"/>
      </w:pPr>
      <w:bookmarkStart w:id="23" w:name="_Toc132476787"/>
      <w:r w:rsidRPr="005372D0">
        <w:t>5. Conclusions</w:t>
      </w:r>
      <w:bookmarkEnd w:id="22"/>
      <w:bookmarkEnd w:id="23"/>
      <w:r w:rsidRPr="005372D0">
        <w:t xml:space="preserve"> </w:t>
      </w:r>
    </w:p>
    <w:p w:rsidR="005372D0" w:rsidRPr="005372D0" w:rsidRDefault="00C23A2A" w:rsidP="005372D0">
      <w:pPr>
        <w:spacing w:before="240" w:after="240" w:line="360" w:lineRule="auto"/>
        <w:jc w:val="both"/>
        <w:rPr>
          <w:rFonts w:ascii="Arial" w:eastAsia="Times New Roman" w:hAnsi="Arial" w:cs="Arial"/>
          <w:color w:val="000000"/>
          <w:lang w:eastAsia="en-IN"/>
        </w:rPr>
      </w:pPr>
      <w:bookmarkStart w:id="24" w:name="_Toc132397991"/>
      <w:r w:rsidRPr="00941A94">
        <w:rPr>
          <w:rFonts w:ascii="Arial" w:eastAsia="Times New Roman" w:hAnsi="Arial" w:cs="Arial"/>
          <w:color w:val="000000"/>
          <w:lang w:eastAsia="en-IN"/>
        </w:rPr>
        <w:t>Based on the illustrated analysis and discussion, it can be stated that J Sainsbury Plc has grown to be a significant p</w:t>
      </w:r>
      <w:r w:rsidRPr="005372D0">
        <w:rPr>
          <w:rFonts w:ascii="Arial" w:eastAsia="Times New Roman" w:hAnsi="Arial" w:cs="Arial"/>
          <w:color w:val="000000"/>
          <w:lang w:eastAsia="en-IN"/>
        </w:rPr>
        <w:t>layer in the UK’s retail market. Moreover,</w:t>
      </w:r>
      <w:r w:rsidRPr="00941A94">
        <w:rPr>
          <w:rFonts w:ascii="Arial" w:eastAsia="Times New Roman" w:hAnsi="Arial" w:cs="Arial"/>
          <w:color w:val="000000"/>
          <w:lang w:eastAsia="en-IN"/>
        </w:rPr>
        <w:t xml:space="preserve"> the current pandemic </w:t>
      </w:r>
      <w:r w:rsidRPr="005372D0">
        <w:rPr>
          <w:rFonts w:ascii="Arial" w:eastAsia="Times New Roman" w:hAnsi="Arial" w:cs="Arial"/>
          <w:color w:val="000000"/>
          <w:lang w:eastAsia="en-IN"/>
        </w:rPr>
        <w:t>poses a significant impact on the company's</w:t>
      </w:r>
      <w:r w:rsidRPr="00941A94">
        <w:rPr>
          <w:rFonts w:ascii="Arial" w:eastAsia="Times New Roman" w:hAnsi="Arial" w:cs="Arial"/>
          <w:color w:val="000000"/>
          <w:lang w:eastAsia="en-IN"/>
        </w:rPr>
        <w:t xml:space="preserve"> annual performance by decreasing both its underlying operating profit and subsequently ultimate income structure. The provided assignment has underlined how J Sainsbury Plc's financial and non-financial performance has been impacted by the abrupt Covid-19 pandemic outbreak. For instance, by reducing profitability, the increasing shift in consumer demand has created an imbalance between market demand and revenue. Administrative limitations have also reduced the size of the local emerging markets, and overall performance has fallen in terms of EPS values. On the other side, a drop in the brand's value and acceptance within the target market has also had an impact on non-financial performance. </w:t>
      </w:r>
    </w:p>
    <w:p w:rsidR="00941A94" w:rsidRPr="00941A94" w:rsidRDefault="00C23A2A" w:rsidP="005372D0">
      <w:pPr>
        <w:spacing w:before="240" w:after="240" w:line="360" w:lineRule="auto"/>
        <w:jc w:val="both"/>
        <w:rPr>
          <w:rFonts w:ascii="Arial" w:eastAsia="Times New Roman" w:hAnsi="Arial" w:cs="Arial"/>
          <w:lang w:eastAsia="en-IN"/>
        </w:rPr>
      </w:pPr>
      <w:r w:rsidRPr="00941A94">
        <w:rPr>
          <w:rFonts w:ascii="Arial" w:eastAsia="Times New Roman" w:hAnsi="Arial" w:cs="Arial"/>
          <w:color w:val="000000"/>
          <w:lang w:eastAsia="en-IN"/>
        </w:rPr>
        <w:t>Additionally, the lack of flexibility in the workplace has hampered the company's staff retention strategies and decreased overall productivity. To achieve both profitability and sustainability</w:t>
      </w:r>
      <w:r w:rsidR="005372D0" w:rsidRPr="005372D0">
        <w:rPr>
          <w:rFonts w:ascii="Arial" w:eastAsia="Times New Roman" w:hAnsi="Arial" w:cs="Arial"/>
          <w:color w:val="000000"/>
          <w:lang w:eastAsia="en-IN"/>
        </w:rPr>
        <w:t xml:space="preserve"> implications</w:t>
      </w:r>
      <w:r w:rsidRPr="00941A94">
        <w:rPr>
          <w:rFonts w:ascii="Arial" w:eastAsia="Times New Roman" w:hAnsi="Arial" w:cs="Arial"/>
          <w:color w:val="000000"/>
          <w:lang w:eastAsia="en-IN"/>
        </w:rPr>
        <w:t xml:space="preserve">, the paper illustrated the case analysis that J Sainsbury Plc must now incorporate targets for growing operating profit, diversifying its product offerings, and growing its customer base in its balanced scorecard. In addition, a comparison of the previous two financial statements of Tesco Plc and J Sainsbury Plc shows that to acquire a competitive edge, it is crucial to achieve profitability by cutting operational expenses and increasing product innovation. </w:t>
      </w:r>
    </w:p>
    <w:p w:rsidR="00941A94" w:rsidRPr="00941A94" w:rsidRDefault="00941A94" w:rsidP="005372D0">
      <w:pPr>
        <w:spacing w:before="240" w:after="240" w:line="360" w:lineRule="auto"/>
        <w:jc w:val="both"/>
        <w:rPr>
          <w:rFonts w:ascii="Arial" w:eastAsia="Times New Roman" w:hAnsi="Arial" w:cs="Arial"/>
          <w:lang w:eastAsia="en-IN"/>
        </w:rPr>
      </w:pPr>
    </w:p>
    <w:p w:rsidR="00941A94" w:rsidRPr="00941A94" w:rsidRDefault="00941A94" w:rsidP="005372D0">
      <w:pPr>
        <w:spacing w:before="240" w:after="240" w:line="360" w:lineRule="auto"/>
        <w:jc w:val="both"/>
        <w:rPr>
          <w:rFonts w:ascii="Arial" w:eastAsia="Times New Roman" w:hAnsi="Arial" w:cs="Arial"/>
          <w:lang w:eastAsia="en-IN"/>
        </w:rPr>
      </w:pPr>
    </w:p>
    <w:p w:rsidR="005372D0" w:rsidRDefault="00C23A2A">
      <w:pPr>
        <w:rPr>
          <w:rFonts w:ascii="Arial" w:eastAsiaTheme="majorEastAsia" w:hAnsi="Arial" w:cs="Arial"/>
          <w:b/>
          <w:lang w:val="en-US"/>
        </w:rPr>
      </w:pPr>
      <w:r>
        <w:rPr>
          <w:rFonts w:cs="Arial"/>
          <w:lang w:val="en-US"/>
        </w:rPr>
        <w:br w:type="page"/>
      </w:r>
      <w:bookmarkStart w:id="25" w:name="_GoBack"/>
      <w:bookmarkEnd w:id="25"/>
    </w:p>
    <w:p w:rsidR="003D2F92" w:rsidRPr="005372D0" w:rsidRDefault="00C23A2A" w:rsidP="005372D0">
      <w:pPr>
        <w:pStyle w:val="Heading1"/>
      </w:pPr>
      <w:bookmarkStart w:id="26" w:name="_Toc132476788"/>
      <w:r w:rsidRPr="005372D0">
        <w:lastRenderedPageBreak/>
        <w:t>Reference List</w:t>
      </w:r>
      <w:bookmarkEnd w:id="24"/>
      <w:bookmarkEnd w:id="26"/>
      <w:r w:rsidRPr="005372D0">
        <w:t xml:space="preserve"> </w:t>
      </w:r>
    </w:p>
    <w:p w:rsidR="002954FD" w:rsidRPr="002954FD" w:rsidRDefault="002954FD" w:rsidP="002954FD">
      <w:pPr>
        <w:spacing w:line="360" w:lineRule="auto"/>
        <w:jc w:val="both"/>
        <w:rPr>
          <w:rFonts w:ascii="Arial" w:hAnsi="Arial" w:cs="Arial"/>
          <w:color w:val="222222"/>
          <w:shd w:val="clear" w:color="auto" w:fill="FFFFFF"/>
        </w:rPr>
      </w:pPr>
      <w:r w:rsidRPr="002954FD">
        <w:rPr>
          <w:rFonts w:ascii="Arial" w:hAnsi="Arial" w:cs="Arial"/>
          <w:color w:val="222222"/>
          <w:shd w:val="clear" w:color="auto" w:fill="FFFFFF"/>
        </w:rPr>
        <w:t>Anastasiu, L., Gavriş, O. and Maier, D., (2020). Is human capital ready for change? A strategic approach adapting Porter’s five forces to human resources. </w:t>
      </w:r>
      <w:r w:rsidRPr="002954FD">
        <w:rPr>
          <w:rFonts w:ascii="Arial" w:hAnsi="Arial" w:cs="Arial"/>
          <w:i/>
          <w:iCs/>
          <w:color w:val="222222"/>
          <w:shd w:val="clear" w:color="auto" w:fill="FFFFFF"/>
        </w:rPr>
        <w:t>Sustainability</w:t>
      </w:r>
      <w:r w:rsidRPr="002954FD">
        <w:rPr>
          <w:rFonts w:ascii="Arial" w:hAnsi="Arial" w:cs="Arial"/>
          <w:color w:val="222222"/>
          <w:shd w:val="clear" w:color="auto" w:fill="FFFFFF"/>
        </w:rPr>
        <w:t>, </w:t>
      </w:r>
      <w:r w:rsidRPr="002954FD">
        <w:rPr>
          <w:rFonts w:ascii="Arial" w:hAnsi="Arial" w:cs="Arial"/>
          <w:i/>
          <w:iCs/>
          <w:color w:val="222222"/>
          <w:shd w:val="clear" w:color="auto" w:fill="FFFFFF"/>
        </w:rPr>
        <w:t>12</w:t>
      </w:r>
      <w:r w:rsidRPr="002954FD">
        <w:rPr>
          <w:rFonts w:ascii="Arial" w:hAnsi="Arial" w:cs="Arial"/>
          <w:color w:val="222222"/>
          <w:shd w:val="clear" w:color="auto" w:fill="FFFFFF"/>
        </w:rPr>
        <w:t>(6), p.2300.</w:t>
      </w:r>
    </w:p>
    <w:p w:rsidR="002954FD" w:rsidRPr="002954FD" w:rsidRDefault="002954FD" w:rsidP="002954FD">
      <w:pPr>
        <w:spacing w:line="360" w:lineRule="auto"/>
        <w:jc w:val="both"/>
        <w:rPr>
          <w:rFonts w:ascii="Arial" w:hAnsi="Arial" w:cs="Arial"/>
          <w:color w:val="222222"/>
          <w:shd w:val="clear" w:color="auto" w:fill="FFFFFF"/>
        </w:rPr>
      </w:pPr>
      <w:r w:rsidRPr="002954FD">
        <w:rPr>
          <w:rFonts w:ascii="Arial" w:hAnsi="Arial" w:cs="Arial"/>
          <w:color w:val="222222"/>
          <w:shd w:val="clear" w:color="auto" w:fill="FFFFFF"/>
        </w:rPr>
        <w:t>Baxter, J., Cobb</w:t>
      </w:r>
      <w:r w:rsidRPr="002954FD">
        <w:rPr>
          <w:rFonts w:ascii="Cambria Math" w:hAnsi="Cambria Math" w:cs="Cambria Math"/>
          <w:color w:val="222222"/>
          <w:shd w:val="clear" w:color="auto" w:fill="FFFFFF"/>
        </w:rPr>
        <w:t>‐</w:t>
      </w:r>
      <w:r w:rsidRPr="002954FD">
        <w:rPr>
          <w:rFonts w:ascii="Arial" w:hAnsi="Arial" w:cs="Arial"/>
          <w:color w:val="222222"/>
          <w:shd w:val="clear" w:color="auto" w:fill="FFFFFF"/>
        </w:rPr>
        <w:t xml:space="preserve">Clark, D., Cornish, A., Ho, T., Kalb, G., Mazerolle, L., Parsell, C., Pawson, H., Thorpe, K., De Silva, L. and Zubrick, S.R., </w:t>
      </w:r>
      <w:r w:rsidRPr="002954FD">
        <w:rPr>
          <w:rFonts w:ascii="Arial" w:hAnsi="Arial" w:cs="Arial"/>
          <w:color w:val="222222"/>
          <w:shd w:val="clear" w:color="auto" w:fill="FFFFFF"/>
        </w:rPr>
        <w:t>(</w:t>
      </w:r>
      <w:r w:rsidRPr="002954FD">
        <w:rPr>
          <w:rFonts w:ascii="Arial" w:hAnsi="Arial" w:cs="Arial"/>
          <w:color w:val="222222"/>
          <w:shd w:val="clear" w:color="auto" w:fill="FFFFFF"/>
        </w:rPr>
        <w:t>2021</w:t>
      </w:r>
      <w:r w:rsidRPr="002954FD">
        <w:rPr>
          <w:rFonts w:ascii="Arial" w:hAnsi="Arial" w:cs="Arial"/>
          <w:color w:val="222222"/>
          <w:shd w:val="clear" w:color="auto" w:fill="FFFFFF"/>
        </w:rPr>
        <w:t>)</w:t>
      </w:r>
      <w:r w:rsidRPr="002954FD">
        <w:rPr>
          <w:rFonts w:ascii="Arial" w:hAnsi="Arial" w:cs="Arial"/>
          <w:color w:val="222222"/>
          <w:shd w:val="clear" w:color="auto" w:fill="FFFFFF"/>
        </w:rPr>
        <w:t>. Never let a crisis go to waste: opportunities to reduce social disadvantage from COVID</w:t>
      </w:r>
      <w:r w:rsidRPr="002954FD">
        <w:rPr>
          <w:rFonts w:ascii="Cambria Math" w:hAnsi="Cambria Math" w:cs="Cambria Math"/>
          <w:color w:val="222222"/>
          <w:shd w:val="clear" w:color="auto" w:fill="FFFFFF"/>
        </w:rPr>
        <w:t>‐</w:t>
      </w:r>
      <w:r w:rsidRPr="002954FD">
        <w:rPr>
          <w:rFonts w:ascii="Arial" w:hAnsi="Arial" w:cs="Arial"/>
          <w:color w:val="222222"/>
          <w:shd w:val="clear" w:color="auto" w:fill="FFFFFF"/>
        </w:rPr>
        <w:t>19. </w:t>
      </w:r>
      <w:r w:rsidRPr="002954FD">
        <w:rPr>
          <w:rFonts w:ascii="Arial" w:hAnsi="Arial" w:cs="Arial"/>
          <w:i/>
          <w:iCs/>
          <w:color w:val="222222"/>
          <w:shd w:val="clear" w:color="auto" w:fill="FFFFFF"/>
        </w:rPr>
        <w:t>Australian Economic Review</w:t>
      </w:r>
      <w:r w:rsidRPr="002954FD">
        <w:rPr>
          <w:rFonts w:ascii="Arial" w:hAnsi="Arial" w:cs="Arial"/>
          <w:color w:val="222222"/>
          <w:shd w:val="clear" w:color="auto" w:fill="FFFFFF"/>
        </w:rPr>
        <w:t>, </w:t>
      </w:r>
      <w:r w:rsidRPr="002954FD">
        <w:rPr>
          <w:rFonts w:ascii="Arial" w:hAnsi="Arial" w:cs="Arial"/>
          <w:i/>
          <w:iCs/>
          <w:color w:val="222222"/>
          <w:shd w:val="clear" w:color="auto" w:fill="FFFFFF"/>
        </w:rPr>
        <w:t>54</w:t>
      </w:r>
      <w:r w:rsidRPr="002954FD">
        <w:rPr>
          <w:rFonts w:ascii="Arial" w:hAnsi="Arial" w:cs="Arial"/>
          <w:color w:val="222222"/>
          <w:shd w:val="clear" w:color="auto" w:fill="FFFFFF"/>
        </w:rPr>
        <w:t>(3), pp.343-358.</w:t>
      </w:r>
    </w:p>
    <w:p w:rsidR="002954FD" w:rsidRPr="002954FD" w:rsidRDefault="002954FD" w:rsidP="002954FD">
      <w:pPr>
        <w:pStyle w:val="NormalWeb"/>
        <w:spacing w:before="240" w:beforeAutospacing="0" w:after="240" w:afterAutospacing="0" w:line="360" w:lineRule="auto"/>
        <w:jc w:val="both"/>
        <w:rPr>
          <w:rFonts w:ascii="Arial" w:hAnsi="Arial" w:cs="Arial"/>
          <w:sz w:val="22"/>
          <w:szCs w:val="22"/>
        </w:rPr>
      </w:pPr>
      <w:r w:rsidRPr="002954FD">
        <w:rPr>
          <w:rFonts w:ascii="Arial" w:hAnsi="Arial" w:cs="Arial"/>
          <w:color w:val="222222"/>
          <w:sz w:val="22"/>
          <w:szCs w:val="22"/>
          <w:shd w:val="clear" w:color="auto" w:fill="FFFFFF"/>
        </w:rPr>
        <w:t>Benghezal, D. and Izadi, J., (2022). Exploring the impact of CSR strategy in food retail sector firms.</w:t>
      </w:r>
    </w:p>
    <w:p w:rsidR="002954FD" w:rsidRPr="002954FD" w:rsidRDefault="002954FD" w:rsidP="002954FD">
      <w:pPr>
        <w:pStyle w:val="NormalWeb"/>
        <w:spacing w:before="240" w:beforeAutospacing="0" w:after="240" w:afterAutospacing="0" w:line="360" w:lineRule="auto"/>
        <w:jc w:val="both"/>
        <w:rPr>
          <w:rFonts w:ascii="Arial" w:hAnsi="Arial" w:cs="Arial"/>
          <w:sz w:val="22"/>
          <w:szCs w:val="22"/>
        </w:rPr>
      </w:pPr>
      <w:r w:rsidRPr="002954FD">
        <w:rPr>
          <w:rFonts w:ascii="Arial" w:hAnsi="Arial" w:cs="Arial"/>
          <w:color w:val="222222"/>
          <w:sz w:val="22"/>
          <w:szCs w:val="22"/>
          <w:shd w:val="clear" w:color="auto" w:fill="FFFFFF"/>
        </w:rPr>
        <w:t xml:space="preserve">Benková, E., Gallo, P., Balogová, B. and Nemec, J., (2020). Factors affecting the use of balanced scorecard in measuring company performance. </w:t>
      </w:r>
      <w:r w:rsidRPr="002954FD">
        <w:rPr>
          <w:rFonts w:ascii="Arial" w:hAnsi="Arial" w:cs="Arial"/>
          <w:i/>
          <w:iCs/>
          <w:color w:val="222222"/>
          <w:sz w:val="22"/>
          <w:szCs w:val="22"/>
          <w:shd w:val="clear" w:color="auto" w:fill="FFFFFF"/>
        </w:rPr>
        <w:t>Sustainability</w:t>
      </w:r>
      <w:r w:rsidRPr="002954FD">
        <w:rPr>
          <w:rFonts w:ascii="Arial" w:hAnsi="Arial" w:cs="Arial"/>
          <w:color w:val="222222"/>
          <w:sz w:val="22"/>
          <w:szCs w:val="22"/>
          <w:shd w:val="clear" w:color="auto" w:fill="FFFFFF"/>
        </w:rPr>
        <w:t xml:space="preserve">, </w:t>
      </w:r>
      <w:r w:rsidRPr="002954FD">
        <w:rPr>
          <w:rFonts w:ascii="Arial" w:hAnsi="Arial" w:cs="Arial"/>
          <w:i/>
          <w:iCs/>
          <w:color w:val="222222"/>
          <w:sz w:val="22"/>
          <w:szCs w:val="22"/>
          <w:shd w:val="clear" w:color="auto" w:fill="FFFFFF"/>
        </w:rPr>
        <w:t>12</w:t>
      </w:r>
      <w:r w:rsidRPr="002954FD">
        <w:rPr>
          <w:rFonts w:ascii="Arial" w:hAnsi="Arial" w:cs="Arial"/>
          <w:color w:val="222222"/>
          <w:sz w:val="22"/>
          <w:szCs w:val="22"/>
          <w:shd w:val="clear" w:color="auto" w:fill="FFFFFF"/>
        </w:rPr>
        <w:t>(3), p.1178.</w:t>
      </w:r>
    </w:p>
    <w:p w:rsidR="002954FD" w:rsidRPr="002954FD" w:rsidRDefault="002954FD" w:rsidP="002954FD">
      <w:pPr>
        <w:pStyle w:val="NormalWeb"/>
        <w:spacing w:before="240" w:beforeAutospacing="0" w:after="240" w:afterAutospacing="0" w:line="360" w:lineRule="auto"/>
        <w:jc w:val="both"/>
        <w:rPr>
          <w:rFonts w:ascii="Arial" w:hAnsi="Arial" w:cs="Arial"/>
          <w:sz w:val="22"/>
          <w:szCs w:val="22"/>
        </w:rPr>
      </w:pPr>
      <w:r w:rsidRPr="002954FD">
        <w:rPr>
          <w:rFonts w:ascii="Arial" w:hAnsi="Arial" w:cs="Arial"/>
          <w:color w:val="222222"/>
          <w:sz w:val="22"/>
          <w:szCs w:val="22"/>
          <w:shd w:val="clear" w:color="auto" w:fill="FFFFFF"/>
        </w:rPr>
        <w:t xml:space="preserve">Blackburn, R. and Saridakis, G., (2022). Employees' working life and performance of UK ethnic minority restaurants: a qualitative approach. </w:t>
      </w:r>
      <w:r w:rsidRPr="002954FD">
        <w:rPr>
          <w:rFonts w:ascii="Arial" w:hAnsi="Arial" w:cs="Arial"/>
          <w:i/>
          <w:iCs/>
          <w:color w:val="222222"/>
          <w:sz w:val="22"/>
          <w:szCs w:val="22"/>
          <w:shd w:val="clear" w:color="auto" w:fill="FFFFFF"/>
        </w:rPr>
        <w:t>Benchmarking: An International Journal</w:t>
      </w:r>
      <w:r w:rsidRPr="002954FD">
        <w:rPr>
          <w:rFonts w:ascii="Arial" w:hAnsi="Arial" w:cs="Arial"/>
          <w:color w:val="222222"/>
          <w:sz w:val="22"/>
          <w:szCs w:val="22"/>
          <w:shd w:val="clear" w:color="auto" w:fill="FFFFFF"/>
        </w:rPr>
        <w:t xml:space="preserve">, </w:t>
      </w:r>
      <w:r w:rsidRPr="002954FD">
        <w:rPr>
          <w:rFonts w:ascii="Arial" w:hAnsi="Arial" w:cs="Arial"/>
          <w:i/>
          <w:iCs/>
          <w:color w:val="222222"/>
          <w:sz w:val="22"/>
          <w:szCs w:val="22"/>
          <w:shd w:val="clear" w:color="auto" w:fill="FFFFFF"/>
        </w:rPr>
        <w:t>29</w:t>
      </w:r>
      <w:r w:rsidRPr="002954FD">
        <w:rPr>
          <w:rFonts w:ascii="Arial" w:hAnsi="Arial" w:cs="Arial"/>
          <w:color w:val="222222"/>
          <w:sz w:val="22"/>
          <w:szCs w:val="22"/>
          <w:shd w:val="clear" w:color="auto" w:fill="FFFFFF"/>
        </w:rPr>
        <w:t>(1), pp.47-67.</w:t>
      </w:r>
    </w:p>
    <w:p w:rsidR="002954FD" w:rsidRPr="002954FD" w:rsidRDefault="002954FD" w:rsidP="002954FD">
      <w:pPr>
        <w:spacing w:line="360" w:lineRule="auto"/>
        <w:jc w:val="both"/>
        <w:rPr>
          <w:rFonts w:ascii="Arial" w:hAnsi="Arial" w:cs="Arial"/>
          <w:color w:val="222222"/>
          <w:shd w:val="clear" w:color="auto" w:fill="FFFFFF"/>
        </w:rPr>
      </w:pPr>
      <w:r w:rsidRPr="002954FD">
        <w:rPr>
          <w:rFonts w:ascii="Arial" w:hAnsi="Arial" w:cs="Arial"/>
          <w:color w:val="222222"/>
          <w:shd w:val="clear" w:color="auto" w:fill="FFFFFF"/>
        </w:rPr>
        <w:t>Borland, J., (2023). Fiscal Policy for COVID</w:t>
      </w:r>
      <w:r w:rsidRPr="002954FD">
        <w:rPr>
          <w:rFonts w:ascii="Cambria Math" w:hAnsi="Cambria Math" w:cs="Cambria Math"/>
          <w:color w:val="222222"/>
          <w:shd w:val="clear" w:color="auto" w:fill="FFFFFF"/>
        </w:rPr>
        <w:t>‐</w:t>
      </w:r>
      <w:r w:rsidRPr="002954FD">
        <w:rPr>
          <w:rFonts w:ascii="Arial" w:hAnsi="Arial" w:cs="Arial"/>
          <w:color w:val="222222"/>
          <w:shd w:val="clear" w:color="auto" w:fill="FFFFFF"/>
        </w:rPr>
        <w:t>19: An Assessment. </w:t>
      </w:r>
      <w:r w:rsidRPr="002954FD">
        <w:rPr>
          <w:rFonts w:ascii="Arial" w:hAnsi="Arial" w:cs="Arial"/>
          <w:i/>
          <w:iCs/>
          <w:color w:val="222222"/>
          <w:shd w:val="clear" w:color="auto" w:fill="FFFFFF"/>
        </w:rPr>
        <w:t>Australian Economic Review</w:t>
      </w:r>
      <w:r w:rsidRPr="002954FD">
        <w:rPr>
          <w:rFonts w:ascii="Arial" w:hAnsi="Arial" w:cs="Arial"/>
          <w:color w:val="222222"/>
          <w:shd w:val="clear" w:color="auto" w:fill="FFFFFF"/>
        </w:rPr>
        <w:t>.</w:t>
      </w:r>
    </w:p>
    <w:p w:rsidR="002954FD" w:rsidRPr="002954FD" w:rsidRDefault="002954FD" w:rsidP="002954FD">
      <w:pPr>
        <w:spacing w:line="360" w:lineRule="auto"/>
        <w:jc w:val="both"/>
        <w:rPr>
          <w:rFonts w:ascii="Arial" w:hAnsi="Arial" w:cs="Arial"/>
          <w:color w:val="222222"/>
          <w:shd w:val="clear" w:color="auto" w:fill="FFFFFF"/>
        </w:rPr>
      </w:pPr>
      <w:r w:rsidRPr="002954FD">
        <w:rPr>
          <w:rFonts w:ascii="Arial" w:hAnsi="Arial" w:cs="Arial"/>
          <w:color w:val="222222"/>
          <w:shd w:val="clear" w:color="auto" w:fill="FFFFFF"/>
        </w:rPr>
        <w:t xml:space="preserve">Brewer, M. and Patrick, R., </w:t>
      </w:r>
      <w:r w:rsidRPr="002954FD">
        <w:rPr>
          <w:rFonts w:ascii="Arial" w:hAnsi="Arial" w:cs="Arial"/>
          <w:color w:val="222222"/>
          <w:shd w:val="clear" w:color="auto" w:fill="FFFFFF"/>
        </w:rPr>
        <w:t>(</w:t>
      </w:r>
      <w:r w:rsidRPr="002954FD">
        <w:rPr>
          <w:rFonts w:ascii="Arial" w:hAnsi="Arial" w:cs="Arial"/>
          <w:color w:val="222222"/>
          <w:shd w:val="clear" w:color="auto" w:fill="FFFFFF"/>
        </w:rPr>
        <w:t>2021</w:t>
      </w:r>
      <w:r w:rsidRPr="002954FD">
        <w:rPr>
          <w:rFonts w:ascii="Arial" w:hAnsi="Arial" w:cs="Arial"/>
          <w:color w:val="222222"/>
          <w:shd w:val="clear" w:color="auto" w:fill="FFFFFF"/>
        </w:rPr>
        <w:t>)</w:t>
      </w:r>
      <w:r w:rsidRPr="002954FD">
        <w:rPr>
          <w:rFonts w:ascii="Arial" w:hAnsi="Arial" w:cs="Arial"/>
          <w:color w:val="222222"/>
          <w:shd w:val="clear" w:color="auto" w:fill="FFFFFF"/>
        </w:rPr>
        <w:t>. Pandemic pressures. </w:t>
      </w:r>
      <w:r w:rsidRPr="002954FD">
        <w:rPr>
          <w:rFonts w:ascii="Arial" w:hAnsi="Arial" w:cs="Arial"/>
          <w:i/>
          <w:iCs/>
          <w:color w:val="222222"/>
          <w:shd w:val="clear" w:color="auto" w:fill="FFFFFF"/>
        </w:rPr>
        <w:t>Resolution Foundation Briefing Note, https://www. resolutionfoundation. org/publications/pandemic-pressures</w:t>
      </w:r>
      <w:r w:rsidRPr="002954FD">
        <w:rPr>
          <w:rFonts w:ascii="Arial" w:hAnsi="Arial" w:cs="Arial"/>
          <w:color w:val="222222"/>
          <w:shd w:val="clear" w:color="auto" w:fill="FFFFFF"/>
        </w:rPr>
        <w:t>.</w:t>
      </w:r>
    </w:p>
    <w:p w:rsidR="002954FD" w:rsidRPr="002954FD" w:rsidRDefault="002954FD" w:rsidP="002954FD">
      <w:pPr>
        <w:pStyle w:val="NormalWeb"/>
        <w:spacing w:before="240" w:beforeAutospacing="0" w:after="240" w:afterAutospacing="0" w:line="360" w:lineRule="auto"/>
        <w:jc w:val="both"/>
        <w:rPr>
          <w:rFonts w:ascii="Arial" w:hAnsi="Arial" w:cs="Arial"/>
          <w:sz w:val="22"/>
          <w:szCs w:val="22"/>
        </w:rPr>
      </w:pPr>
      <w:r w:rsidRPr="002954FD">
        <w:rPr>
          <w:rFonts w:ascii="Arial" w:hAnsi="Arial" w:cs="Arial"/>
          <w:color w:val="222222"/>
          <w:sz w:val="22"/>
          <w:szCs w:val="22"/>
          <w:shd w:val="clear" w:color="auto" w:fill="FFFFFF"/>
        </w:rPr>
        <w:t xml:space="preserve">Camilleri, M.A., (2021). Using the balanced scorecard as a performance management tool in higher education. </w:t>
      </w:r>
      <w:r w:rsidRPr="002954FD">
        <w:rPr>
          <w:rFonts w:ascii="Arial" w:hAnsi="Arial" w:cs="Arial"/>
          <w:i/>
          <w:iCs/>
          <w:color w:val="222222"/>
          <w:sz w:val="22"/>
          <w:szCs w:val="22"/>
          <w:shd w:val="clear" w:color="auto" w:fill="FFFFFF"/>
        </w:rPr>
        <w:t>Management in Education</w:t>
      </w:r>
      <w:r w:rsidRPr="002954FD">
        <w:rPr>
          <w:rFonts w:ascii="Arial" w:hAnsi="Arial" w:cs="Arial"/>
          <w:color w:val="222222"/>
          <w:sz w:val="22"/>
          <w:szCs w:val="22"/>
          <w:shd w:val="clear" w:color="auto" w:fill="FFFFFF"/>
        </w:rPr>
        <w:t xml:space="preserve">, </w:t>
      </w:r>
      <w:r w:rsidRPr="002954FD">
        <w:rPr>
          <w:rFonts w:ascii="Arial" w:hAnsi="Arial" w:cs="Arial"/>
          <w:i/>
          <w:iCs/>
          <w:color w:val="222222"/>
          <w:sz w:val="22"/>
          <w:szCs w:val="22"/>
          <w:shd w:val="clear" w:color="auto" w:fill="FFFFFF"/>
        </w:rPr>
        <w:t>35</w:t>
      </w:r>
      <w:r w:rsidRPr="002954FD">
        <w:rPr>
          <w:rFonts w:ascii="Arial" w:hAnsi="Arial" w:cs="Arial"/>
          <w:color w:val="222222"/>
          <w:sz w:val="22"/>
          <w:szCs w:val="22"/>
          <w:shd w:val="clear" w:color="auto" w:fill="FFFFFF"/>
        </w:rPr>
        <w:t>(1), pp.10-21.</w:t>
      </w:r>
    </w:p>
    <w:p w:rsidR="002954FD" w:rsidRPr="002954FD" w:rsidRDefault="002954FD" w:rsidP="002954FD">
      <w:pPr>
        <w:spacing w:line="360" w:lineRule="auto"/>
        <w:jc w:val="both"/>
        <w:rPr>
          <w:rFonts w:ascii="Arial" w:hAnsi="Arial" w:cs="Arial"/>
          <w:color w:val="222222"/>
          <w:shd w:val="clear" w:color="auto" w:fill="FFFFFF"/>
        </w:rPr>
      </w:pPr>
      <w:r w:rsidRPr="002954FD">
        <w:rPr>
          <w:rFonts w:ascii="Arial" w:hAnsi="Arial" w:cs="Arial"/>
          <w:color w:val="222222"/>
          <w:shd w:val="clear" w:color="auto" w:fill="FFFFFF"/>
        </w:rPr>
        <w:t>Dirman, A., (2020). Financial distress: the impacts of profitability, liquidity, leverage, firm size, and free cash flow. </w:t>
      </w:r>
      <w:r w:rsidRPr="002954FD">
        <w:rPr>
          <w:rFonts w:ascii="Arial" w:hAnsi="Arial" w:cs="Arial"/>
          <w:i/>
          <w:iCs/>
          <w:color w:val="222222"/>
          <w:shd w:val="clear" w:color="auto" w:fill="FFFFFF"/>
        </w:rPr>
        <w:t>International Journal of Business, Economics and Law</w:t>
      </w:r>
      <w:r w:rsidRPr="002954FD">
        <w:rPr>
          <w:rFonts w:ascii="Arial" w:hAnsi="Arial" w:cs="Arial"/>
          <w:color w:val="222222"/>
          <w:shd w:val="clear" w:color="auto" w:fill="FFFFFF"/>
        </w:rPr>
        <w:t>, </w:t>
      </w:r>
      <w:r w:rsidRPr="002954FD">
        <w:rPr>
          <w:rFonts w:ascii="Arial" w:hAnsi="Arial" w:cs="Arial"/>
          <w:i/>
          <w:iCs/>
          <w:color w:val="222222"/>
          <w:shd w:val="clear" w:color="auto" w:fill="FFFFFF"/>
        </w:rPr>
        <w:t>22</w:t>
      </w:r>
      <w:r w:rsidRPr="002954FD">
        <w:rPr>
          <w:rFonts w:ascii="Arial" w:hAnsi="Arial" w:cs="Arial"/>
          <w:color w:val="222222"/>
          <w:shd w:val="clear" w:color="auto" w:fill="FFFFFF"/>
        </w:rPr>
        <w:t>(1), pp.17-25.</w:t>
      </w:r>
    </w:p>
    <w:p w:rsidR="002954FD" w:rsidRPr="002954FD" w:rsidRDefault="002954FD" w:rsidP="002954FD">
      <w:pPr>
        <w:spacing w:line="360" w:lineRule="auto"/>
        <w:jc w:val="both"/>
        <w:rPr>
          <w:rFonts w:ascii="Arial" w:hAnsi="Arial" w:cs="Arial"/>
          <w:color w:val="222222"/>
          <w:shd w:val="clear" w:color="auto" w:fill="FFFFFF"/>
        </w:rPr>
      </w:pPr>
      <w:r w:rsidRPr="002954FD">
        <w:rPr>
          <w:rFonts w:ascii="Arial" w:hAnsi="Arial" w:cs="Arial"/>
          <w:color w:val="222222"/>
          <w:shd w:val="clear" w:color="auto" w:fill="FFFFFF"/>
        </w:rPr>
        <w:t>Hasanaj, P. and Kuqi, B., (2019). Analysis of financial statements. </w:t>
      </w:r>
      <w:r w:rsidRPr="002954FD">
        <w:rPr>
          <w:rFonts w:ascii="Arial" w:hAnsi="Arial" w:cs="Arial"/>
          <w:i/>
          <w:iCs/>
          <w:color w:val="222222"/>
          <w:shd w:val="clear" w:color="auto" w:fill="FFFFFF"/>
        </w:rPr>
        <w:t>Humanities and Social Science Research</w:t>
      </w:r>
      <w:r w:rsidRPr="002954FD">
        <w:rPr>
          <w:rFonts w:ascii="Arial" w:hAnsi="Arial" w:cs="Arial"/>
          <w:color w:val="222222"/>
          <w:shd w:val="clear" w:color="auto" w:fill="FFFFFF"/>
        </w:rPr>
        <w:t>, </w:t>
      </w:r>
      <w:r w:rsidRPr="002954FD">
        <w:rPr>
          <w:rFonts w:ascii="Arial" w:hAnsi="Arial" w:cs="Arial"/>
          <w:i/>
          <w:iCs/>
          <w:color w:val="222222"/>
          <w:shd w:val="clear" w:color="auto" w:fill="FFFFFF"/>
        </w:rPr>
        <w:t>2</w:t>
      </w:r>
      <w:r w:rsidRPr="002954FD">
        <w:rPr>
          <w:rFonts w:ascii="Arial" w:hAnsi="Arial" w:cs="Arial"/>
          <w:color w:val="222222"/>
          <w:shd w:val="clear" w:color="auto" w:fill="FFFFFF"/>
        </w:rPr>
        <w:t>(2), pp.p17-p17.</w:t>
      </w:r>
    </w:p>
    <w:p w:rsidR="002954FD" w:rsidRPr="002954FD" w:rsidRDefault="002954FD" w:rsidP="002954FD">
      <w:pPr>
        <w:pStyle w:val="NormalWeb"/>
        <w:spacing w:before="240" w:beforeAutospacing="0" w:after="240" w:afterAutospacing="0" w:line="360" w:lineRule="auto"/>
        <w:jc w:val="both"/>
        <w:rPr>
          <w:rFonts w:ascii="Arial" w:hAnsi="Arial" w:cs="Arial"/>
          <w:sz w:val="22"/>
          <w:szCs w:val="22"/>
        </w:rPr>
      </w:pPr>
      <w:r w:rsidRPr="002954FD">
        <w:rPr>
          <w:rFonts w:ascii="Arial" w:hAnsi="Arial" w:cs="Arial"/>
          <w:color w:val="222222"/>
          <w:sz w:val="22"/>
          <w:szCs w:val="22"/>
          <w:shd w:val="clear" w:color="auto" w:fill="FFFFFF"/>
        </w:rPr>
        <w:t xml:space="preserve">Jones, P. and Comfort, D., (2019). An exploratory case study of resilience and the leading retailers in the UK. </w:t>
      </w:r>
      <w:r w:rsidRPr="002954FD">
        <w:rPr>
          <w:rFonts w:ascii="Arial" w:hAnsi="Arial" w:cs="Arial"/>
          <w:i/>
          <w:iCs/>
          <w:color w:val="222222"/>
          <w:sz w:val="22"/>
          <w:szCs w:val="22"/>
          <w:shd w:val="clear" w:color="auto" w:fill="FFFFFF"/>
        </w:rPr>
        <w:t>International Journal of Management Cases</w:t>
      </w:r>
      <w:r w:rsidRPr="002954FD">
        <w:rPr>
          <w:rFonts w:ascii="Arial" w:hAnsi="Arial" w:cs="Arial"/>
          <w:color w:val="222222"/>
          <w:sz w:val="22"/>
          <w:szCs w:val="22"/>
          <w:shd w:val="clear" w:color="auto" w:fill="FFFFFF"/>
        </w:rPr>
        <w:t xml:space="preserve">, </w:t>
      </w:r>
      <w:r w:rsidRPr="002954FD">
        <w:rPr>
          <w:rFonts w:ascii="Arial" w:hAnsi="Arial" w:cs="Arial"/>
          <w:i/>
          <w:iCs/>
          <w:color w:val="222222"/>
          <w:sz w:val="22"/>
          <w:szCs w:val="22"/>
          <w:shd w:val="clear" w:color="auto" w:fill="FFFFFF"/>
        </w:rPr>
        <w:t>21</w:t>
      </w:r>
      <w:r w:rsidRPr="002954FD">
        <w:rPr>
          <w:rFonts w:ascii="Arial" w:hAnsi="Arial" w:cs="Arial"/>
          <w:color w:val="222222"/>
          <w:sz w:val="22"/>
          <w:szCs w:val="22"/>
          <w:shd w:val="clear" w:color="auto" w:fill="FFFFFF"/>
        </w:rPr>
        <w:t>(4), pp.5-18.</w:t>
      </w:r>
    </w:p>
    <w:p w:rsidR="002954FD" w:rsidRPr="002954FD" w:rsidRDefault="002954FD" w:rsidP="002954FD">
      <w:pPr>
        <w:pStyle w:val="NormalWeb"/>
        <w:spacing w:before="240" w:beforeAutospacing="0" w:after="240" w:afterAutospacing="0" w:line="360" w:lineRule="auto"/>
        <w:jc w:val="both"/>
        <w:rPr>
          <w:rFonts w:ascii="Arial" w:hAnsi="Arial" w:cs="Arial"/>
          <w:sz w:val="22"/>
          <w:szCs w:val="22"/>
        </w:rPr>
      </w:pPr>
      <w:r w:rsidRPr="002954FD">
        <w:rPr>
          <w:rFonts w:ascii="Arial" w:hAnsi="Arial" w:cs="Arial"/>
          <w:color w:val="222222"/>
          <w:sz w:val="22"/>
          <w:szCs w:val="22"/>
          <w:shd w:val="clear" w:color="auto" w:fill="FFFFFF"/>
        </w:rPr>
        <w:t xml:space="preserve">Keay, A. and Iqbal, T., (2019). The impact of enlightened shareholder value. </w:t>
      </w:r>
      <w:r w:rsidRPr="002954FD">
        <w:rPr>
          <w:rFonts w:ascii="Arial" w:hAnsi="Arial" w:cs="Arial"/>
          <w:i/>
          <w:iCs/>
          <w:color w:val="222222"/>
          <w:sz w:val="22"/>
          <w:szCs w:val="22"/>
          <w:shd w:val="clear" w:color="auto" w:fill="FFFFFF"/>
        </w:rPr>
        <w:t>Journal of Business Law</w:t>
      </w:r>
      <w:r w:rsidRPr="002954FD">
        <w:rPr>
          <w:rFonts w:ascii="Arial" w:hAnsi="Arial" w:cs="Arial"/>
          <w:color w:val="222222"/>
          <w:sz w:val="22"/>
          <w:szCs w:val="22"/>
          <w:shd w:val="clear" w:color="auto" w:fill="FFFFFF"/>
        </w:rPr>
        <w:t>, (4), pp.304-327.</w:t>
      </w:r>
    </w:p>
    <w:p w:rsidR="002954FD" w:rsidRPr="002954FD" w:rsidRDefault="002954FD" w:rsidP="002954FD">
      <w:pPr>
        <w:spacing w:line="360" w:lineRule="auto"/>
        <w:jc w:val="both"/>
        <w:rPr>
          <w:rFonts w:ascii="Arial" w:hAnsi="Arial" w:cs="Arial"/>
          <w:color w:val="222222"/>
          <w:shd w:val="clear" w:color="auto" w:fill="FFFFFF"/>
        </w:rPr>
      </w:pPr>
      <w:r w:rsidRPr="002954FD">
        <w:rPr>
          <w:rFonts w:ascii="Arial" w:hAnsi="Arial" w:cs="Arial"/>
          <w:color w:val="222222"/>
          <w:shd w:val="clear" w:color="auto" w:fill="FFFFFF"/>
        </w:rPr>
        <w:t>Kim, S.H., Lan, H. and Dobson, P.W., (2021). Identifying price-leadership structures in oligopoly. </w:t>
      </w:r>
      <w:r w:rsidRPr="002954FD">
        <w:rPr>
          <w:rFonts w:ascii="Arial" w:hAnsi="Arial" w:cs="Arial"/>
          <w:i/>
          <w:iCs/>
          <w:color w:val="222222"/>
          <w:shd w:val="clear" w:color="auto" w:fill="FFFFFF"/>
        </w:rPr>
        <w:t>Oxford Economic Papers</w:t>
      </w:r>
      <w:r w:rsidRPr="002954FD">
        <w:rPr>
          <w:rFonts w:ascii="Arial" w:hAnsi="Arial" w:cs="Arial"/>
          <w:color w:val="222222"/>
          <w:shd w:val="clear" w:color="auto" w:fill="FFFFFF"/>
        </w:rPr>
        <w:t>, </w:t>
      </w:r>
      <w:r w:rsidRPr="002954FD">
        <w:rPr>
          <w:rFonts w:ascii="Arial" w:hAnsi="Arial" w:cs="Arial"/>
          <w:i/>
          <w:iCs/>
          <w:color w:val="222222"/>
          <w:shd w:val="clear" w:color="auto" w:fill="FFFFFF"/>
        </w:rPr>
        <w:t>73</w:t>
      </w:r>
      <w:r w:rsidRPr="002954FD">
        <w:rPr>
          <w:rFonts w:ascii="Arial" w:hAnsi="Arial" w:cs="Arial"/>
          <w:color w:val="222222"/>
          <w:shd w:val="clear" w:color="auto" w:fill="FFFFFF"/>
        </w:rPr>
        <w:t>(1), pp.350-370.</w:t>
      </w:r>
    </w:p>
    <w:p w:rsidR="002954FD" w:rsidRPr="002954FD" w:rsidRDefault="002954FD" w:rsidP="002954FD">
      <w:pPr>
        <w:pStyle w:val="NormalWeb"/>
        <w:spacing w:before="240" w:beforeAutospacing="0" w:after="240" w:afterAutospacing="0" w:line="360" w:lineRule="auto"/>
        <w:jc w:val="both"/>
        <w:rPr>
          <w:rFonts w:ascii="Arial" w:hAnsi="Arial" w:cs="Arial"/>
          <w:sz w:val="22"/>
          <w:szCs w:val="22"/>
        </w:rPr>
      </w:pPr>
      <w:r w:rsidRPr="002954FD">
        <w:rPr>
          <w:rFonts w:ascii="Arial" w:hAnsi="Arial" w:cs="Arial"/>
          <w:color w:val="222222"/>
          <w:sz w:val="22"/>
          <w:szCs w:val="22"/>
          <w:shd w:val="clear" w:color="auto" w:fill="FFFFFF"/>
        </w:rPr>
        <w:lastRenderedPageBreak/>
        <w:t xml:space="preserve">Krylov, S., (2019). Strategic customer analysis based on balanced scorecard. </w:t>
      </w:r>
      <w:r w:rsidRPr="002954FD">
        <w:rPr>
          <w:rFonts w:ascii="Arial" w:hAnsi="Arial" w:cs="Arial"/>
          <w:i/>
          <w:iCs/>
          <w:color w:val="222222"/>
          <w:sz w:val="22"/>
          <w:szCs w:val="22"/>
          <w:shd w:val="clear" w:color="auto" w:fill="FFFFFF"/>
        </w:rPr>
        <w:t>Ekonomicko-manazerske spektrum</w:t>
      </w:r>
      <w:r w:rsidRPr="002954FD">
        <w:rPr>
          <w:rFonts w:ascii="Arial" w:hAnsi="Arial" w:cs="Arial"/>
          <w:color w:val="222222"/>
          <w:sz w:val="22"/>
          <w:szCs w:val="22"/>
          <w:shd w:val="clear" w:color="auto" w:fill="FFFFFF"/>
        </w:rPr>
        <w:t xml:space="preserve">, </w:t>
      </w:r>
      <w:r w:rsidRPr="002954FD">
        <w:rPr>
          <w:rFonts w:ascii="Arial" w:hAnsi="Arial" w:cs="Arial"/>
          <w:i/>
          <w:iCs/>
          <w:color w:val="222222"/>
          <w:sz w:val="22"/>
          <w:szCs w:val="22"/>
          <w:shd w:val="clear" w:color="auto" w:fill="FFFFFF"/>
        </w:rPr>
        <w:t>13</w:t>
      </w:r>
      <w:r w:rsidRPr="002954FD">
        <w:rPr>
          <w:rFonts w:ascii="Arial" w:hAnsi="Arial" w:cs="Arial"/>
          <w:color w:val="222222"/>
          <w:sz w:val="22"/>
          <w:szCs w:val="22"/>
          <w:shd w:val="clear" w:color="auto" w:fill="FFFFFF"/>
        </w:rPr>
        <w:t>(1), pp.12-25.</w:t>
      </w:r>
    </w:p>
    <w:p w:rsidR="002954FD" w:rsidRPr="002954FD" w:rsidRDefault="002954FD" w:rsidP="002954FD">
      <w:pPr>
        <w:pStyle w:val="NormalWeb"/>
        <w:spacing w:before="240" w:beforeAutospacing="0" w:after="240" w:afterAutospacing="0" w:line="360" w:lineRule="auto"/>
        <w:jc w:val="both"/>
        <w:rPr>
          <w:rFonts w:ascii="Arial" w:hAnsi="Arial" w:cs="Arial"/>
          <w:sz w:val="22"/>
          <w:szCs w:val="22"/>
        </w:rPr>
      </w:pPr>
      <w:r w:rsidRPr="002954FD">
        <w:rPr>
          <w:rFonts w:ascii="Arial" w:hAnsi="Arial" w:cs="Arial"/>
          <w:color w:val="222222"/>
          <w:sz w:val="22"/>
          <w:szCs w:val="22"/>
          <w:shd w:val="clear" w:color="auto" w:fill="FFFFFF"/>
        </w:rPr>
        <w:t xml:space="preserve">Maharaj, R., (2021). </w:t>
      </w:r>
      <w:r w:rsidRPr="002954FD">
        <w:rPr>
          <w:rFonts w:ascii="Arial" w:hAnsi="Arial" w:cs="Arial"/>
          <w:i/>
          <w:iCs/>
          <w:color w:val="222222"/>
          <w:sz w:val="22"/>
          <w:szCs w:val="22"/>
          <w:shd w:val="clear" w:color="auto" w:fill="FFFFFF"/>
        </w:rPr>
        <w:t>Final Project</w:t>
      </w:r>
      <w:r w:rsidRPr="002954FD">
        <w:rPr>
          <w:rFonts w:ascii="Arial" w:hAnsi="Arial" w:cs="Arial"/>
          <w:color w:val="222222"/>
          <w:sz w:val="22"/>
          <w:szCs w:val="22"/>
          <w:shd w:val="clear" w:color="auto" w:fill="FFFFFF"/>
        </w:rPr>
        <w:t xml:space="preserve"> (Doctoral dissertation, Nagpur University).Razzak, B.M.,</w:t>
      </w:r>
    </w:p>
    <w:p w:rsidR="002954FD" w:rsidRPr="002954FD" w:rsidRDefault="002954FD" w:rsidP="002954FD">
      <w:pPr>
        <w:spacing w:line="360" w:lineRule="auto"/>
        <w:jc w:val="both"/>
        <w:rPr>
          <w:rFonts w:ascii="Arial" w:hAnsi="Arial" w:cs="Arial"/>
          <w:color w:val="222222"/>
          <w:shd w:val="clear" w:color="auto" w:fill="FFFFFF"/>
        </w:rPr>
      </w:pPr>
      <w:r w:rsidRPr="002954FD">
        <w:rPr>
          <w:rFonts w:ascii="Arial" w:hAnsi="Arial" w:cs="Arial"/>
          <w:color w:val="222222"/>
          <w:shd w:val="clear" w:color="auto" w:fill="FFFFFF"/>
        </w:rPr>
        <w:t>Markonah, M., Salim, A. and Franciska, J., (2020). Effect of profitability, leverage, and liquidity to the firm value. </w:t>
      </w:r>
      <w:r w:rsidRPr="002954FD">
        <w:rPr>
          <w:rFonts w:ascii="Arial" w:hAnsi="Arial" w:cs="Arial"/>
          <w:i/>
          <w:iCs/>
          <w:color w:val="222222"/>
          <w:shd w:val="clear" w:color="auto" w:fill="FFFFFF"/>
        </w:rPr>
        <w:t>Dinasti International Journal of Economics, Finance &amp; Accounting</w:t>
      </w:r>
      <w:r w:rsidRPr="002954FD">
        <w:rPr>
          <w:rFonts w:ascii="Arial" w:hAnsi="Arial" w:cs="Arial"/>
          <w:color w:val="222222"/>
          <w:shd w:val="clear" w:color="auto" w:fill="FFFFFF"/>
        </w:rPr>
        <w:t>, </w:t>
      </w:r>
      <w:r w:rsidRPr="002954FD">
        <w:rPr>
          <w:rFonts w:ascii="Arial" w:hAnsi="Arial" w:cs="Arial"/>
          <w:i/>
          <w:iCs/>
          <w:color w:val="222222"/>
          <w:shd w:val="clear" w:color="auto" w:fill="FFFFFF"/>
        </w:rPr>
        <w:t>1</w:t>
      </w:r>
      <w:r w:rsidRPr="002954FD">
        <w:rPr>
          <w:rFonts w:ascii="Arial" w:hAnsi="Arial" w:cs="Arial"/>
          <w:color w:val="222222"/>
          <w:shd w:val="clear" w:color="auto" w:fill="FFFFFF"/>
        </w:rPr>
        <w:t>(1), pp.83-94.</w:t>
      </w:r>
    </w:p>
    <w:p w:rsidR="002954FD" w:rsidRPr="002954FD" w:rsidRDefault="002954FD" w:rsidP="002954FD">
      <w:pPr>
        <w:spacing w:before="100" w:beforeAutospacing="1" w:after="100" w:afterAutospacing="1" w:line="360" w:lineRule="auto"/>
        <w:jc w:val="both"/>
        <w:rPr>
          <w:rFonts w:ascii="Arial" w:eastAsia="Times New Roman" w:hAnsi="Arial" w:cs="Arial"/>
          <w:lang w:eastAsia="en-IN"/>
        </w:rPr>
      </w:pPr>
      <w:r w:rsidRPr="002954FD">
        <w:rPr>
          <w:rFonts w:ascii="Arial" w:eastAsia="Times New Roman" w:hAnsi="Arial" w:cs="Arial"/>
          <w:iCs/>
          <w:lang w:eastAsia="en-IN"/>
        </w:rPr>
        <w:t>Sainsbury | About Us</w:t>
      </w:r>
      <w:r w:rsidRPr="002954FD">
        <w:rPr>
          <w:rFonts w:ascii="Arial" w:eastAsia="Times New Roman" w:hAnsi="Arial" w:cs="Arial"/>
          <w:lang w:eastAsia="en-IN"/>
        </w:rPr>
        <w:t xml:space="preserve"> (2023). Available at: </w:t>
      </w:r>
      <w:hyperlink r:id="rId14" w:history="1">
        <w:r w:rsidRPr="002954FD">
          <w:rPr>
            <w:rStyle w:val="Hyperlink"/>
            <w:rFonts w:ascii="Arial" w:eastAsia="Times New Roman" w:hAnsi="Arial" w:cs="Arial"/>
            <w:lang w:eastAsia="en-IN"/>
          </w:rPr>
          <w:t>https://about.sainsburys.co.uk/about-us</w:t>
        </w:r>
      </w:hyperlink>
      <w:r w:rsidRPr="002954FD">
        <w:rPr>
          <w:rFonts w:ascii="Arial" w:eastAsia="Times New Roman" w:hAnsi="Arial" w:cs="Arial"/>
          <w:lang w:eastAsia="en-IN"/>
        </w:rPr>
        <w:t xml:space="preserve"> (Accessed: April 15, 2023). </w:t>
      </w:r>
    </w:p>
    <w:p w:rsidR="002954FD" w:rsidRPr="002954FD" w:rsidRDefault="002954FD" w:rsidP="002954FD">
      <w:pPr>
        <w:spacing w:before="100" w:beforeAutospacing="1" w:after="100" w:afterAutospacing="1" w:line="360" w:lineRule="auto"/>
        <w:jc w:val="both"/>
        <w:rPr>
          <w:rFonts w:ascii="Arial" w:eastAsia="Times New Roman" w:hAnsi="Arial" w:cs="Arial"/>
          <w:lang w:eastAsia="en-IN"/>
        </w:rPr>
      </w:pPr>
      <w:r w:rsidRPr="002954FD">
        <w:rPr>
          <w:rFonts w:ascii="Arial" w:eastAsia="Times New Roman" w:hAnsi="Arial" w:cs="Arial"/>
          <w:iCs/>
          <w:lang w:eastAsia="en-IN"/>
        </w:rPr>
        <w:t>Sainsbury Plc | Annual Report</w:t>
      </w:r>
      <w:r w:rsidRPr="002954FD">
        <w:rPr>
          <w:rFonts w:ascii="Arial" w:eastAsia="Times New Roman" w:hAnsi="Arial" w:cs="Arial"/>
          <w:lang w:eastAsia="en-IN"/>
        </w:rPr>
        <w:t xml:space="preserve"> (2023). Available at: </w:t>
      </w:r>
      <w:hyperlink r:id="rId15" w:history="1">
        <w:r w:rsidRPr="002954FD">
          <w:rPr>
            <w:rStyle w:val="Hyperlink"/>
            <w:rFonts w:ascii="Arial" w:eastAsia="Times New Roman" w:hAnsi="Arial" w:cs="Arial"/>
            <w:lang w:eastAsia="en-IN"/>
          </w:rPr>
          <w:t>https://www.annualreports.com/HostedData/AnnualReports/PDF/LSE_GB0767628_2022.pdf</w:t>
        </w:r>
      </w:hyperlink>
      <w:r w:rsidRPr="002954FD">
        <w:rPr>
          <w:rFonts w:ascii="Arial" w:eastAsia="Times New Roman" w:hAnsi="Arial" w:cs="Arial"/>
          <w:lang w:eastAsia="en-IN"/>
        </w:rPr>
        <w:t xml:space="preserve"> </w:t>
      </w:r>
      <w:r w:rsidRPr="002954FD">
        <w:rPr>
          <w:rFonts w:ascii="Arial" w:eastAsia="Times New Roman" w:hAnsi="Arial" w:cs="Arial"/>
          <w:lang w:eastAsia="en-IN"/>
        </w:rPr>
        <w:t xml:space="preserve">(Accessed: April 15, 2023). </w:t>
      </w:r>
    </w:p>
    <w:p w:rsidR="002954FD" w:rsidRPr="002954FD" w:rsidRDefault="002954FD" w:rsidP="002954FD">
      <w:pPr>
        <w:spacing w:line="360" w:lineRule="auto"/>
        <w:jc w:val="both"/>
        <w:rPr>
          <w:rFonts w:ascii="Arial" w:hAnsi="Arial" w:cs="Arial"/>
          <w:color w:val="222222"/>
          <w:shd w:val="clear" w:color="auto" w:fill="FFFFFF"/>
        </w:rPr>
      </w:pPr>
      <w:r w:rsidRPr="002954FD">
        <w:rPr>
          <w:rFonts w:ascii="Arial" w:hAnsi="Arial" w:cs="Arial"/>
          <w:color w:val="222222"/>
          <w:shd w:val="clear" w:color="auto" w:fill="FFFFFF"/>
        </w:rPr>
        <w:t>Sari, I.A.G.D.M. and Sedana, I.B.P., (2020). Profitability and liquidity on firm value and capital structure as intervening variable. </w:t>
      </w:r>
      <w:r w:rsidRPr="002954FD">
        <w:rPr>
          <w:rFonts w:ascii="Arial" w:hAnsi="Arial" w:cs="Arial"/>
          <w:i/>
          <w:iCs/>
          <w:color w:val="222222"/>
          <w:shd w:val="clear" w:color="auto" w:fill="FFFFFF"/>
        </w:rPr>
        <w:t>International research journal of management, IT and Social Sciences</w:t>
      </w:r>
      <w:r w:rsidRPr="002954FD">
        <w:rPr>
          <w:rFonts w:ascii="Arial" w:hAnsi="Arial" w:cs="Arial"/>
          <w:color w:val="222222"/>
          <w:shd w:val="clear" w:color="auto" w:fill="FFFFFF"/>
        </w:rPr>
        <w:t>, </w:t>
      </w:r>
      <w:r w:rsidRPr="002954FD">
        <w:rPr>
          <w:rFonts w:ascii="Arial" w:hAnsi="Arial" w:cs="Arial"/>
          <w:i/>
          <w:iCs/>
          <w:color w:val="222222"/>
          <w:shd w:val="clear" w:color="auto" w:fill="FFFFFF"/>
        </w:rPr>
        <w:t>7</w:t>
      </w:r>
      <w:r w:rsidRPr="002954FD">
        <w:rPr>
          <w:rFonts w:ascii="Arial" w:hAnsi="Arial" w:cs="Arial"/>
          <w:color w:val="222222"/>
          <w:shd w:val="clear" w:color="auto" w:fill="FFFFFF"/>
        </w:rPr>
        <w:t>(1), pp.116-127.</w:t>
      </w:r>
    </w:p>
    <w:p w:rsidR="002954FD" w:rsidRPr="002954FD" w:rsidRDefault="002954FD" w:rsidP="002954FD">
      <w:pPr>
        <w:pStyle w:val="NormalWeb"/>
        <w:spacing w:before="240" w:beforeAutospacing="0" w:after="240" w:afterAutospacing="0" w:line="360" w:lineRule="auto"/>
        <w:jc w:val="both"/>
        <w:rPr>
          <w:rFonts w:ascii="Arial" w:hAnsi="Arial" w:cs="Arial"/>
          <w:sz w:val="22"/>
          <w:szCs w:val="22"/>
        </w:rPr>
      </w:pPr>
      <w:r w:rsidRPr="002954FD">
        <w:rPr>
          <w:rFonts w:ascii="Arial" w:hAnsi="Arial" w:cs="Arial"/>
          <w:color w:val="222222"/>
          <w:sz w:val="22"/>
          <w:szCs w:val="22"/>
          <w:shd w:val="clear" w:color="auto" w:fill="FFFFFF"/>
        </w:rPr>
        <w:t>Terry, L.A. and Mur, L., (2021). FoodBioSystems DTP-PhD Project Advertisement.</w:t>
      </w:r>
    </w:p>
    <w:p w:rsidR="002954FD" w:rsidRPr="002954FD" w:rsidRDefault="002954FD" w:rsidP="002954FD">
      <w:pPr>
        <w:spacing w:before="100" w:beforeAutospacing="1" w:after="100" w:afterAutospacing="1" w:line="360" w:lineRule="auto"/>
        <w:jc w:val="both"/>
        <w:rPr>
          <w:rFonts w:ascii="Arial" w:eastAsia="Times New Roman" w:hAnsi="Arial" w:cs="Arial"/>
          <w:lang w:eastAsia="en-IN"/>
        </w:rPr>
      </w:pPr>
      <w:r w:rsidRPr="002954FD">
        <w:rPr>
          <w:rFonts w:ascii="Arial" w:eastAsia="Times New Roman" w:hAnsi="Arial" w:cs="Arial"/>
          <w:iCs/>
          <w:lang w:eastAsia="en-IN"/>
        </w:rPr>
        <w:t>Tesco Plc</w:t>
      </w:r>
      <w:r w:rsidRPr="002954FD">
        <w:rPr>
          <w:rFonts w:ascii="Arial" w:eastAsia="Times New Roman" w:hAnsi="Arial" w:cs="Arial"/>
          <w:iCs/>
          <w:lang w:eastAsia="en-IN"/>
        </w:rPr>
        <w:t xml:space="preserve"> | About Us</w:t>
      </w:r>
      <w:r w:rsidRPr="002954FD">
        <w:rPr>
          <w:rFonts w:ascii="Arial" w:eastAsia="Times New Roman" w:hAnsi="Arial" w:cs="Arial"/>
          <w:lang w:eastAsia="en-IN"/>
        </w:rPr>
        <w:t xml:space="preserve"> (2023). Available at: </w:t>
      </w:r>
      <w:hyperlink r:id="rId16" w:history="1">
        <w:r w:rsidRPr="002954FD">
          <w:rPr>
            <w:rStyle w:val="Hyperlink"/>
            <w:rFonts w:ascii="Arial" w:eastAsia="Times New Roman" w:hAnsi="Arial" w:cs="Arial"/>
            <w:lang w:eastAsia="en-IN"/>
          </w:rPr>
          <w:t>https://www.tescoplc.com/about/</w:t>
        </w:r>
      </w:hyperlink>
      <w:r w:rsidRPr="002954FD">
        <w:rPr>
          <w:rFonts w:ascii="Arial" w:eastAsia="Times New Roman" w:hAnsi="Arial" w:cs="Arial"/>
          <w:lang w:eastAsia="en-IN"/>
        </w:rPr>
        <w:t xml:space="preserve"> </w:t>
      </w:r>
      <w:r w:rsidRPr="002954FD">
        <w:rPr>
          <w:rFonts w:ascii="Arial" w:eastAsia="Times New Roman" w:hAnsi="Arial" w:cs="Arial"/>
          <w:lang w:eastAsia="en-IN"/>
        </w:rPr>
        <w:t xml:space="preserve">(Accessed: April 15, 2023). </w:t>
      </w:r>
    </w:p>
    <w:p w:rsidR="002954FD" w:rsidRPr="002954FD" w:rsidRDefault="002954FD" w:rsidP="002954FD">
      <w:pPr>
        <w:spacing w:before="100" w:beforeAutospacing="1" w:after="100" w:afterAutospacing="1" w:line="360" w:lineRule="auto"/>
        <w:jc w:val="both"/>
        <w:rPr>
          <w:rFonts w:ascii="Arial" w:eastAsia="Times New Roman" w:hAnsi="Arial" w:cs="Arial"/>
          <w:lang w:eastAsia="en-IN"/>
        </w:rPr>
      </w:pPr>
      <w:r w:rsidRPr="002954FD">
        <w:rPr>
          <w:rFonts w:ascii="Arial" w:eastAsia="Times New Roman" w:hAnsi="Arial" w:cs="Arial"/>
          <w:iCs/>
          <w:lang w:eastAsia="en-IN"/>
        </w:rPr>
        <w:t>Tesco Plc | Annual Report</w:t>
      </w:r>
      <w:r w:rsidRPr="002954FD">
        <w:rPr>
          <w:rFonts w:ascii="Arial" w:eastAsia="Times New Roman" w:hAnsi="Arial" w:cs="Arial"/>
          <w:lang w:eastAsia="en-IN"/>
        </w:rPr>
        <w:t xml:space="preserve"> (2023). Available at: </w:t>
      </w:r>
      <w:hyperlink r:id="rId17" w:history="1">
        <w:r w:rsidRPr="002954FD">
          <w:rPr>
            <w:rStyle w:val="Hyperlink"/>
            <w:rFonts w:ascii="Arial" w:eastAsia="Times New Roman" w:hAnsi="Arial" w:cs="Arial"/>
            <w:lang w:eastAsia="en-IN"/>
          </w:rPr>
          <w:t>https://www.tescoplc.com/media/759057/tesco-annual-report-2022.pdf</w:t>
        </w:r>
      </w:hyperlink>
      <w:r w:rsidRPr="002954FD">
        <w:rPr>
          <w:rFonts w:ascii="Arial" w:eastAsia="Times New Roman" w:hAnsi="Arial" w:cs="Arial"/>
          <w:lang w:eastAsia="en-IN"/>
        </w:rPr>
        <w:t xml:space="preserve"> (Accessed: April 15, 2023). </w:t>
      </w:r>
    </w:p>
    <w:p w:rsidR="002954FD" w:rsidRPr="002954FD" w:rsidRDefault="002954FD" w:rsidP="002954FD">
      <w:pPr>
        <w:spacing w:line="360" w:lineRule="auto"/>
        <w:jc w:val="both"/>
        <w:rPr>
          <w:rFonts w:ascii="Arial" w:hAnsi="Arial" w:cs="Arial"/>
          <w:color w:val="222222"/>
          <w:shd w:val="clear" w:color="auto" w:fill="FFFFFF"/>
        </w:rPr>
      </w:pPr>
      <w:r w:rsidRPr="002954FD">
        <w:rPr>
          <w:rFonts w:ascii="Arial" w:hAnsi="Arial" w:cs="Arial"/>
          <w:color w:val="222222"/>
          <w:shd w:val="clear" w:color="auto" w:fill="FFFFFF"/>
        </w:rPr>
        <w:t>Upadhyay, A., Kumar, A. and Akter, S., (2021). An analysis of UK retailers’ initiatives towards circular economy transition and policy-driven directions. </w:t>
      </w:r>
      <w:r w:rsidRPr="002954FD">
        <w:rPr>
          <w:rFonts w:ascii="Arial" w:hAnsi="Arial" w:cs="Arial"/>
          <w:i/>
          <w:iCs/>
          <w:color w:val="222222"/>
          <w:shd w:val="clear" w:color="auto" w:fill="FFFFFF"/>
        </w:rPr>
        <w:t>Clean Technologies and Environmental Policy</w:t>
      </w:r>
      <w:r w:rsidRPr="002954FD">
        <w:rPr>
          <w:rFonts w:ascii="Arial" w:hAnsi="Arial" w:cs="Arial"/>
          <w:color w:val="222222"/>
          <w:shd w:val="clear" w:color="auto" w:fill="FFFFFF"/>
        </w:rPr>
        <w:t>, pp.1-9.</w:t>
      </w:r>
    </w:p>
    <w:p w:rsidR="002954FD" w:rsidRPr="002954FD" w:rsidRDefault="002954FD" w:rsidP="002954FD">
      <w:pPr>
        <w:spacing w:line="360" w:lineRule="auto"/>
        <w:jc w:val="both"/>
        <w:rPr>
          <w:rFonts w:ascii="Arial" w:hAnsi="Arial" w:cs="Arial"/>
          <w:color w:val="222222"/>
          <w:shd w:val="clear" w:color="auto" w:fill="FFFFFF"/>
        </w:rPr>
      </w:pPr>
      <w:r w:rsidRPr="002954FD">
        <w:rPr>
          <w:rFonts w:ascii="Arial" w:hAnsi="Arial" w:cs="Arial"/>
          <w:color w:val="222222"/>
          <w:shd w:val="clear" w:color="auto" w:fill="FFFFFF"/>
        </w:rPr>
        <w:t>Vlados, C. and Chatzinikolaou, D., (2019). Methodological redirections for an evolutionary approach of the external business environment. </w:t>
      </w:r>
      <w:r w:rsidRPr="002954FD">
        <w:rPr>
          <w:rFonts w:ascii="Arial" w:hAnsi="Arial" w:cs="Arial"/>
          <w:i/>
          <w:iCs/>
          <w:color w:val="222222"/>
          <w:shd w:val="clear" w:color="auto" w:fill="FFFFFF"/>
        </w:rPr>
        <w:t>J. Mgmt. &amp; Sustainability</w:t>
      </w:r>
      <w:r w:rsidRPr="002954FD">
        <w:rPr>
          <w:rFonts w:ascii="Arial" w:hAnsi="Arial" w:cs="Arial"/>
          <w:color w:val="222222"/>
          <w:shd w:val="clear" w:color="auto" w:fill="FFFFFF"/>
        </w:rPr>
        <w:t>, </w:t>
      </w:r>
      <w:r w:rsidRPr="002954FD">
        <w:rPr>
          <w:rFonts w:ascii="Arial" w:hAnsi="Arial" w:cs="Arial"/>
          <w:i/>
          <w:iCs/>
          <w:color w:val="222222"/>
          <w:shd w:val="clear" w:color="auto" w:fill="FFFFFF"/>
        </w:rPr>
        <w:t>9</w:t>
      </w:r>
      <w:r w:rsidRPr="002954FD">
        <w:rPr>
          <w:rFonts w:ascii="Arial" w:hAnsi="Arial" w:cs="Arial"/>
          <w:color w:val="222222"/>
          <w:shd w:val="clear" w:color="auto" w:fill="FFFFFF"/>
        </w:rPr>
        <w:t>, p.25.</w:t>
      </w:r>
    </w:p>
    <w:p w:rsidR="002954FD" w:rsidRPr="002954FD" w:rsidRDefault="002954FD" w:rsidP="002954FD">
      <w:pPr>
        <w:spacing w:line="360" w:lineRule="auto"/>
        <w:jc w:val="both"/>
        <w:rPr>
          <w:rFonts w:ascii="Arial" w:hAnsi="Arial" w:cs="Arial"/>
          <w:color w:val="222222"/>
          <w:shd w:val="clear" w:color="auto" w:fill="FFFFFF"/>
        </w:rPr>
      </w:pPr>
      <w:r w:rsidRPr="002954FD">
        <w:rPr>
          <w:rFonts w:ascii="Arial" w:hAnsi="Arial" w:cs="Arial"/>
          <w:color w:val="222222"/>
          <w:shd w:val="clear" w:color="auto" w:fill="FFFFFF"/>
        </w:rPr>
        <w:t xml:space="preserve">Xiao, B., Chen, Q. and Yu, Z., </w:t>
      </w:r>
      <w:r w:rsidRPr="002954FD">
        <w:rPr>
          <w:rFonts w:ascii="Arial" w:hAnsi="Arial" w:cs="Arial"/>
          <w:color w:val="222222"/>
          <w:shd w:val="clear" w:color="auto" w:fill="FFFFFF"/>
        </w:rPr>
        <w:t>(</w:t>
      </w:r>
      <w:r w:rsidRPr="002954FD">
        <w:rPr>
          <w:rFonts w:ascii="Arial" w:hAnsi="Arial" w:cs="Arial"/>
          <w:color w:val="222222"/>
          <w:shd w:val="clear" w:color="auto" w:fill="FFFFFF"/>
        </w:rPr>
        <w:t>2021, April</w:t>
      </w:r>
      <w:r w:rsidRPr="002954FD">
        <w:rPr>
          <w:rFonts w:ascii="Arial" w:hAnsi="Arial" w:cs="Arial"/>
          <w:color w:val="222222"/>
          <w:shd w:val="clear" w:color="auto" w:fill="FFFFFF"/>
        </w:rPr>
        <w:t>)</w:t>
      </w:r>
      <w:r w:rsidRPr="002954FD">
        <w:rPr>
          <w:rFonts w:ascii="Arial" w:hAnsi="Arial" w:cs="Arial"/>
          <w:color w:val="222222"/>
          <w:shd w:val="clear" w:color="auto" w:fill="FFFFFF"/>
        </w:rPr>
        <w:t>. Research on the Investment Value of Sainsbury’s. In </w:t>
      </w:r>
      <w:r w:rsidRPr="002954FD">
        <w:rPr>
          <w:rFonts w:ascii="Arial" w:hAnsi="Arial" w:cs="Arial"/>
          <w:i/>
          <w:iCs/>
          <w:color w:val="222222"/>
          <w:shd w:val="clear" w:color="auto" w:fill="FFFFFF"/>
        </w:rPr>
        <w:t>2021 6th International Conference on Social Sciences and Economic Development (ICSSED 2021)</w:t>
      </w:r>
      <w:r w:rsidRPr="002954FD">
        <w:rPr>
          <w:rFonts w:ascii="Arial" w:hAnsi="Arial" w:cs="Arial"/>
          <w:color w:val="222222"/>
          <w:shd w:val="clear" w:color="auto" w:fill="FFFFFF"/>
        </w:rPr>
        <w:t> (pp. 108-115). Atlantis Press.</w:t>
      </w:r>
    </w:p>
    <w:p w:rsidR="002F65D7" w:rsidRPr="001140D1" w:rsidRDefault="002F65D7" w:rsidP="001140D1">
      <w:pPr>
        <w:rPr>
          <w:rFonts w:ascii="Arial" w:hAnsi="Arial" w:cs="Arial"/>
          <w:color w:val="222222"/>
          <w:sz w:val="20"/>
          <w:szCs w:val="20"/>
          <w:shd w:val="clear" w:color="auto" w:fill="FFFFFF"/>
        </w:rPr>
      </w:pPr>
    </w:p>
    <w:p w:rsidR="00AF5FD5" w:rsidRPr="005372D0" w:rsidRDefault="00C23A2A" w:rsidP="005372D0">
      <w:pPr>
        <w:pStyle w:val="Heading1"/>
      </w:pPr>
      <w:bookmarkStart w:id="27" w:name="_Toc132397992"/>
      <w:bookmarkStart w:id="28" w:name="_Toc132476789"/>
      <w:r w:rsidRPr="005372D0">
        <w:lastRenderedPageBreak/>
        <w:t>Appendi</w:t>
      </w:r>
      <w:bookmarkEnd w:id="27"/>
      <w:r w:rsidR="00B4698F">
        <w:t>ces</w:t>
      </w:r>
      <w:bookmarkEnd w:id="28"/>
    </w:p>
    <w:p w:rsidR="00AF5FD5" w:rsidRDefault="00B4698F" w:rsidP="00B4698F">
      <w:pPr>
        <w:pStyle w:val="Heading2"/>
        <w:rPr>
          <w:lang w:val="en-US"/>
        </w:rPr>
      </w:pPr>
      <w:bookmarkStart w:id="29" w:name="_Toc132476790"/>
      <w:r>
        <w:rPr>
          <w:lang w:val="en-US"/>
        </w:rPr>
        <w:t>Appendix 1: Calculation of financial ratios</w:t>
      </w:r>
      <w:bookmarkEnd w:id="29"/>
      <w:r>
        <w:rPr>
          <w:lang w:val="en-US"/>
        </w:rPr>
        <w:t xml:space="preserve"> </w:t>
      </w:r>
    </w:p>
    <w:tbl>
      <w:tblPr>
        <w:tblpPr w:leftFromText="180" w:rightFromText="180" w:vertAnchor="text" w:horzAnchor="margin" w:tblpXSpec="center" w:tblpY="310"/>
        <w:tblW w:w="6900" w:type="dxa"/>
        <w:tblLook w:val="04A0" w:firstRow="1" w:lastRow="0" w:firstColumn="1" w:lastColumn="0" w:noHBand="0" w:noVBand="1"/>
      </w:tblPr>
      <w:tblGrid>
        <w:gridCol w:w="3448"/>
        <w:gridCol w:w="863"/>
        <w:gridCol w:w="863"/>
        <w:gridCol w:w="863"/>
        <w:gridCol w:w="863"/>
      </w:tblGrid>
      <w:tr w:rsidR="00B4698F" w:rsidRPr="00B4698F" w:rsidTr="00B4698F">
        <w:trPr>
          <w:trHeight w:val="315"/>
        </w:trPr>
        <w:tc>
          <w:tcPr>
            <w:tcW w:w="69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 xml:space="preserve">Profitability Ratios </w:t>
            </w:r>
          </w:p>
        </w:tc>
      </w:tr>
      <w:tr w:rsidR="00B4698F" w:rsidRPr="00B4698F" w:rsidTr="00B4698F">
        <w:trPr>
          <w:trHeight w:val="315"/>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 </w:t>
            </w:r>
          </w:p>
        </w:tc>
        <w:tc>
          <w:tcPr>
            <w:tcW w:w="1726" w:type="dxa"/>
            <w:gridSpan w:val="2"/>
            <w:tcBorders>
              <w:top w:val="single" w:sz="4" w:space="0" w:color="auto"/>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 xml:space="preserve">Sainsbury Plc </w:t>
            </w:r>
          </w:p>
        </w:tc>
        <w:tc>
          <w:tcPr>
            <w:tcW w:w="1726" w:type="dxa"/>
            <w:gridSpan w:val="2"/>
            <w:tcBorders>
              <w:top w:val="single" w:sz="4" w:space="0" w:color="auto"/>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 xml:space="preserve">Tesco Plc </w:t>
            </w:r>
          </w:p>
        </w:tc>
      </w:tr>
      <w:tr w:rsidR="00B4698F" w:rsidRPr="00B4698F" w:rsidTr="00B4698F">
        <w:trPr>
          <w:trHeight w:val="315"/>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 xml:space="preserve">Particulars </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2022</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2021</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2022</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2021</w:t>
            </w:r>
          </w:p>
        </w:tc>
      </w:tr>
      <w:tr w:rsidR="00B4698F" w:rsidRPr="00B4698F" w:rsidTr="00B4698F">
        <w:trPr>
          <w:trHeight w:val="315"/>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xml:space="preserve">Net profit </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677</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-201</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1483</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5958</w:t>
            </w:r>
          </w:p>
        </w:tc>
      </w:tr>
      <w:tr w:rsidR="00B4698F" w:rsidRPr="00B4698F" w:rsidTr="00B4698F">
        <w:trPr>
          <w:trHeight w:val="315"/>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xml:space="preserve">(/): Revenue </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29895</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29048</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61344</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57887</w:t>
            </w:r>
          </w:p>
        </w:tc>
      </w:tr>
      <w:tr w:rsidR="00B4698F" w:rsidRPr="00B4698F" w:rsidTr="00B4698F">
        <w:trPr>
          <w:trHeight w:val="315"/>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 xml:space="preserve">Net profit margin </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2%</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-1%</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2%</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10%</w:t>
            </w:r>
          </w:p>
        </w:tc>
      </w:tr>
      <w:tr w:rsidR="00B4698F" w:rsidRPr="00B4698F" w:rsidTr="00B4698F">
        <w:trPr>
          <w:trHeight w:val="315"/>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r>
      <w:tr w:rsidR="00B4698F" w:rsidRPr="00B4698F" w:rsidTr="00B4698F">
        <w:trPr>
          <w:trHeight w:val="315"/>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Net income</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677</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-201</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1483</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5958</w:t>
            </w:r>
          </w:p>
        </w:tc>
      </w:tr>
      <w:tr w:rsidR="00B4698F" w:rsidRPr="00B4698F" w:rsidTr="00B4698F">
        <w:trPr>
          <w:trHeight w:val="315"/>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xml:space="preserve">(/): Total assets </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26912</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25260</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12189</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10807</w:t>
            </w:r>
          </w:p>
        </w:tc>
      </w:tr>
      <w:tr w:rsidR="00B4698F" w:rsidRPr="00B4698F" w:rsidTr="00B4698F">
        <w:trPr>
          <w:trHeight w:val="315"/>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 xml:space="preserve">Return on assets (ROA) </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0.03</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-0.01</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0.12</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0.55</w:t>
            </w:r>
          </w:p>
        </w:tc>
      </w:tr>
      <w:tr w:rsidR="00B4698F" w:rsidRPr="00B4698F" w:rsidTr="00B4698F">
        <w:trPr>
          <w:trHeight w:val="315"/>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r>
      <w:tr w:rsidR="00B4698F" w:rsidRPr="00B4698F" w:rsidTr="00B4698F">
        <w:trPr>
          <w:trHeight w:val="315"/>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Net income</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677</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-201</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1483</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5958</w:t>
            </w:r>
          </w:p>
        </w:tc>
      </w:tr>
      <w:tr w:rsidR="00B4698F" w:rsidRPr="00B4698F" w:rsidTr="00B4698F">
        <w:trPr>
          <w:trHeight w:val="315"/>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xml:space="preserve">(/): Shareholders' equity </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8423</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6701</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15644</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12059</w:t>
            </w:r>
          </w:p>
        </w:tc>
      </w:tr>
      <w:tr w:rsidR="00B4698F" w:rsidRPr="00B4698F" w:rsidTr="00B4698F">
        <w:trPr>
          <w:trHeight w:val="315"/>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Return on equity (ROE)</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0.08</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-0.03</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0.09</w:t>
            </w:r>
          </w:p>
        </w:tc>
        <w:tc>
          <w:tcPr>
            <w:tcW w:w="863"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0.49</w:t>
            </w:r>
          </w:p>
        </w:tc>
      </w:tr>
    </w:tbl>
    <w:p w:rsidR="00B4698F" w:rsidRPr="00B4698F" w:rsidRDefault="00B4698F" w:rsidP="00B4698F">
      <w:pPr>
        <w:rPr>
          <w:lang w:val="en-US"/>
        </w:rPr>
      </w:pPr>
    </w:p>
    <w:p w:rsidR="00B4698F" w:rsidRDefault="00B4698F" w:rsidP="00B4698F">
      <w:pPr>
        <w:rPr>
          <w:lang w:val="en-US"/>
        </w:rPr>
      </w:pPr>
    </w:p>
    <w:p w:rsidR="00B4698F" w:rsidRDefault="00B4698F" w:rsidP="00B4698F">
      <w:pPr>
        <w:rPr>
          <w:lang w:val="en-US"/>
        </w:rPr>
      </w:pPr>
    </w:p>
    <w:p w:rsidR="00B4698F" w:rsidRDefault="00B4698F" w:rsidP="00B4698F">
      <w:pPr>
        <w:rPr>
          <w:lang w:val="en-US"/>
        </w:rPr>
      </w:pPr>
    </w:p>
    <w:p w:rsidR="00B4698F" w:rsidRDefault="00B4698F" w:rsidP="00B4698F">
      <w:pPr>
        <w:rPr>
          <w:lang w:val="en-US"/>
        </w:rPr>
      </w:pPr>
    </w:p>
    <w:p w:rsidR="00B4698F" w:rsidRDefault="00B4698F" w:rsidP="00B4698F">
      <w:pPr>
        <w:rPr>
          <w:lang w:val="en-US"/>
        </w:rPr>
      </w:pPr>
    </w:p>
    <w:p w:rsidR="00B4698F" w:rsidRDefault="00B4698F" w:rsidP="00B4698F">
      <w:pPr>
        <w:rPr>
          <w:lang w:val="en-US"/>
        </w:rPr>
      </w:pPr>
    </w:p>
    <w:p w:rsidR="00B4698F" w:rsidRDefault="00B4698F" w:rsidP="00B4698F">
      <w:pPr>
        <w:rPr>
          <w:lang w:val="en-US"/>
        </w:rPr>
      </w:pPr>
    </w:p>
    <w:p w:rsidR="00B4698F" w:rsidRDefault="00B4698F" w:rsidP="00B4698F">
      <w:pPr>
        <w:rPr>
          <w:lang w:val="en-US"/>
        </w:rPr>
      </w:pPr>
    </w:p>
    <w:p w:rsidR="00B4698F" w:rsidRDefault="00B4698F" w:rsidP="00B4698F">
      <w:pPr>
        <w:rPr>
          <w:lang w:val="en-US"/>
        </w:rPr>
      </w:pPr>
    </w:p>
    <w:p w:rsidR="00B4698F" w:rsidRDefault="00B4698F" w:rsidP="00B4698F">
      <w:pPr>
        <w:rPr>
          <w:lang w:val="en-US"/>
        </w:rPr>
      </w:pPr>
    </w:p>
    <w:p w:rsidR="00B4698F" w:rsidRDefault="00B4698F" w:rsidP="00B4698F">
      <w:pPr>
        <w:rPr>
          <w:lang w:val="en-US"/>
        </w:rPr>
      </w:pPr>
    </w:p>
    <w:tbl>
      <w:tblPr>
        <w:tblW w:w="6900" w:type="dxa"/>
        <w:tblInd w:w="1075" w:type="dxa"/>
        <w:tblLook w:val="04A0" w:firstRow="1" w:lastRow="0" w:firstColumn="1" w:lastColumn="0" w:noHBand="0" w:noVBand="1"/>
      </w:tblPr>
      <w:tblGrid>
        <w:gridCol w:w="3559"/>
        <w:gridCol w:w="710"/>
        <w:gridCol w:w="877"/>
        <w:gridCol w:w="877"/>
        <w:gridCol w:w="877"/>
      </w:tblGrid>
      <w:tr w:rsidR="00B4698F" w:rsidRPr="00B4698F" w:rsidTr="00B4698F">
        <w:trPr>
          <w:trHeight w:val="315"/>
        </w:trPr>
        <w:tc>
          <w:tcPr>
            <w:tcW w:w="69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 xml:space="preserve">Liquidity  Ratios </w:t>
            </w:r>
          </w:p>
        </w:tc>
      </w:tr>
      <w:tr w:rsidR="00B4698F" w:rsidRPr="00B4698F" w:rsidTr="00B4698F">
        <w:trPr>
          <w:trHeight w:val="315"/>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 </w:t>
            </w:r>
          </w:p>
        </w:tc>
        <w:tc>
          <w:tcPr>
            <w:tcW w:w="1587" w:type="dxa"/>
            <w:gridSpan w:val="2"/>
            <w:tcBorders>
              <w:top w:val="single" w:sz="4" w:space="0" w:color="auto"/>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 xml:space="preserve">Sainsbury Plc </w:t>
            </w:r>
          </w:p>
        </w:tc>
        <w:tc>
          <w:tcPr>
            <w:tcW w:w="1754" w:type="dxa"/>
            <w:gridSpan w:val="2"/>
            <w:tcBorders>
              <w:top w:val="single" w:sz="4" w:space="0" w:color="auto"/>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 xml:space="preserve">Tesco Plc </w:t>
            </w:r>
          </w:p>
        </w:tc>
      </w:tr>
      <w:tr w:rsidR="00B4698F" w:rsidRPr="00B4698F" w:rsidTr="00B4698F">
        <w:trPr>
          <w:trHeight w:val="315"/>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 xml:space="preserve">Particulars </w:t>
            </w:r>
          </w:p>
        </w:tc>
        <w:tc>
          <w:tcPr>
            <w:tcW w:w="710"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2022</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2021</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2022</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2021</w:t>
            </w:r>
          </w:p>
        </w:tc>
      </w:tr>
      <w:tr w:rsidR="00B4698F" w:rsidRPr="00B4698F" w:rsidTr="00B4698F">
        <w:trPr>
          <w:trHeight w:val="315"/>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xml:space="preserve">Current assets </w:t>
            </w:r>
          </w:p>
        </w:tc>
        <w:tc>
          <w:tcPr>
            <w:tcW w:w="710"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6742</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7147</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11821</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10202</w:t>
            </w:r>
          </w:p>
        </w:tc>
      </w:tr>
      <w:tr w:rsidR="00B4698F" w:rsidRPr="00B4698F" w:rsidTr="00B4698F">
        <w:trPr>
          <w:trHeight w:val="315"/>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xml:space="preserve">(/): Current liabilities </w:t>
            </w:r>
          </w:p>
        </w:tc>
        <w:tc>
          <w:tcPr>
            <w:tcW w:w="710"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9868</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11829</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16125</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15721</w:t>
            </w:r>
          </w:p>
        </w:tc>
      </w:tr>
      <w:tr w:rsidR="00B4698F" w:rsidRPr="00B4698F" w:rsidTr="00B4698F">
        <w:trPr>
          <w:trHeight w:val="315"/>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 xml:space="preserve">Current ratio </w:t>
            </w:r>
          </w:p>
        </w:tc>
        <w:tc>
          <w:tcPr>
            <w:tcW w:w="710"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0.68</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0.60</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0.73</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0.65</w:t>
            </w:r>
          </w:p>
        </w:tc>
      </w:tr>
      <w:tr w:rsidR="00B4698F" w:rsidRPr="00B4698F" w:rsidTr="00B4698F">
        <w:trPr>
          <w:trHeight w:val="315"/>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c>
          <w:tcPr>
            <w:tcW w:w="710"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r>
      <w:tr w:rsidR="00B4698F" w:rsidRPr="00B4698F" w:rsidTr="00B4698F">
        <w:trPr>
          <w:trHeight w:val="315"/>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xml:space="preserve">Current assets </w:t>
            </w:r>
          </w:p>
        </w:tc>
        <w:tc>
          <w:tcPr>
            <w:tcW w:w="710"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6742</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7147</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11821</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10202</w:t>
            </w:r>
          </w:p>
        </w:tc>
      </w:tr>
      <w:tr w:rsidR="00B4698F" w:rsidRPr="00B4698F" w:rsidTr="00B4698F">
        <w:trPr>
          <w:trHeight w:val="315"/>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xml:space="preserve">(-): Inventories </w:t>
            </w:r>
          </w:p>
        </w:tc>
        <w:tc>
          <w:tcPr>
            <w:tcW w:w="710"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1797</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1625</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2339</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2069</w:t>
            </w:r>
          </w:p>
        </w:tc>
      </w:tr>
      <w:tr w:rsidR="00B4698F" w:rsidRPr="00B4698F" w:rsidTr="00B4698F">
        <w:trPr>
          <w:trHeight w:val="315"/>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c>
          <w:tcPr>
            <w:tcW w:w="710"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4945</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5522</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9482</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8133</w:t>
            </w:r>
          </w:p>
        </w:tc>
      </w:tr>
      <w:tr w:rsidR="00B4698F" w:rsidRPr="00B4698F" w:rsidTr="00B4698F">
        <w:trPr>
          <w:trHeight w:val="315"/>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xml:space="preserve">(/): Current liabilities </w:t>
            </w:r>
          </w:p>
        </w:tc>
        <w:tc>
          <w:tcPr>
            <w:tcW w:w="710"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9868</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11829</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16125</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15721</w:t>
            </w:r>
          </w:p>
        </w:tc>
      </w:tr>
      <w:tr w:rsidR="00B4698F" w:rsidRPr="00B4698F" w:rsidTr="00B4698F">
        <w:trPr>
          <w:trHeight w:val="315"/>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 xml:space="preserve">Quick ratio </w:t>
            </w:r>
          </w:p>
        </w:tc>
        <w:tc>
          <w:tcPr>
            <w:tcW w:w="710"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0.50</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0.47</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0.59</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0.52</w:t>
            </w:r>
          </w:p>
        </w:tc>
      </w:tr>
      <w:tr w:rsidR="00B4698F" w:rsidRPr="00B4698F" w:rsidTr="00B4698F">
        <w:trPr>
          <w:trHeight w:val="315"/>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c>
          <w:tcPr>
            <w:tcW w:w="710"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w:t>
            </w:r>
          </w:p>
        </w:tc>
      </w:tr>
      <w:tr w:rsidR="00B4698F" w:rsidRPr="00B4698F" w:rsidTr="00B4698F">
        <w:trPr>
          <w:trHeight w:val="315"/>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xml:space="preserve">Cash and cash equivalents </w:t>
            </w:r>
          </w:p>
        </w:tc>
        <w:tc>
          <w:tcPr>
            <w:tcW w:w="710"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825</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1575</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2345</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2510</w:t>
            </w:r>
          </w:p>
        </w:tc>
      </w:tr>
      <w:tr w:rsidR="00B4698F" w:rsidRPr="00B4698F" w:rsidTr="00B4698F">
        <w:trPr>
          <w:trHeight w:val="315"/>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 Current liabilities</w:t>
            </w:r>
          </w:p>
        </w:tc>
        <w:tc>
          <w:tcPr>
            <w:tcW w:w="710"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9868</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11829</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16125</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color w:val="000000"/>
                <w:sz w:val="24"/>
                <w:szCs w:val="24"/>
                <w:lang w:eastAsia="en-IN"/>
              </w:rPr>
            </w:pPr>
            <w:r w:rsidRPr="00B4698F">
              <w:rPr>
                <w:rFonts w:ascii="Times New Roman" w:eastAsia="Times New Roman" w:hAnsi="Times New Roman" w:cs="Times New Roman"/>
                <w:color w:val="000000"/>
                <w:sz w:val="24"/>
                <w:szCs w:val="24"/>
                <w:lang w:eastAsia="en-IN"/>
              </w:rPr>
              <w:t>15721</w:t>
            </w:r>
          </w:p>
        </w:tc>
      </w:tr>
      <w:tr w:rsidR="00B4698F" w:rsidRPr="00B4698F" w:rsidTr="00B4698F">
        <w:trPr>
          <w:trHeight w:val="315"/>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 xml:space="preserve">Cash ratio </w:t>
            </w:r>
          </w:p>
        </w:tc>
        <w:tc>
          <w:tcPr>
            <w:tcW w:w="710"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0.08</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0.13</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0.15</w:t>
            </w:r>
          </w:p>
        </w:tc>
        <w:tc>
          <w:tcPr>
            <w:tcW w:w="877" w:type="dxa"/>
            <w:tcBorders>
              <w:top w:val="nil"/>
              <w:left w:val="nil"/>
              <w:bottom w:val="single" w:sz="4" w:space="0" w:color="auto"/>
              <w:right w:val="single" w:sz="4" w:space="0" w:color="auto"/>
            </w:tcBorders>
            <w:shd w:val="clear" w:color="auto" w:fill="auto"/>
            <w:noWrap/>
            <w:vAlign w:val="bottom"/>
            <w:hideMark/>
          </w:tcPr>
          <w:p w:rsidR="00B4698F" w:rsidRPr="00B4698F" w:rsidRDefault="00B4698F" w:rsidP="00B4698F">
            <w:pPr>
              <w:spacing w:after="0" w:line="240" w:lineRule="auto"/>
              <w:jc w:val="center"/>
              <w:rPr>
                <w:rFonts w:ascii="Times New Roman" w:eastAsia="Times New Roman" w:hAnsi="Times New Roman" w:cs="Times New Roman"/>
                <w:b/>
                <w:bCs/>
                <w:color w:val="000000"/>
                <w:sz w:val="24"/>
                <w:szCs w:val="24"/>
                <w:lang w:eastAsia="en-IN"/>
              </w:rPr>
            </w:pPr>
            <w:r w:rsidRPr="00B4698F">
              <w:rPr>
                <w:rFonts w:ascii="Times New Roman" w:eastAsia="Times New Roman" w:hAnsi="Times New Roman" w:cs="Times New Roman"/>
                <w:b/>
                <w:bCs/>
                <w:color w:val="000000"/>
                <w:sz w:val="24"/>
                <w:szCs w:val="24"/>
                <w:lang w:eastAsia="en-IN"/>
              </w:rPr>
              <w:t>0.16</w:t>
            </w:r>
          </w:p>
        </w:tc>
      </w:tr>
    </w:tbl>
    <w:p w:rsidR="00B4698F" w:rsidRDefault="00B4698F" w:rsidP="00B4698F">
      <w:pPr>
        <w:pStyle w:val="Heading2"/>
        <w:rPr>
          <w:lang w:val="en-US"/>
        </w:rPr>
      </w:pPr>
    </w:p>
    <w:p w:rsidR="00B4698F" w:rsidRDefault="00B4698F" w:rsidP="00B4698F">
      <w:pPr>
        <w:pStyle w:val="Heading2"/>
        <w:rPr>
          <w:lang w:val="en-US"/>
        </w:rPr>
      </w:pPr>
      <w:bookmarkStart w:id="30" w:name="_Toc132476791"/>
      <w:r>
        <w:rPr>
          <w:lang w:val="en-US"/>
        </w:rPr>
        <w:t>Appendix 2: Financial statements of Sainsbury Plc and Tesco Plc</w:t>
      </w:r>
      <w:bookmarkEnd w:id="30"/>
      <w:r>
        <w:rPr>
          <w:lang w:val="en-US"/>
        </w:rPr>
        <w:t xml:space="preserve"> </w:t>
      </w:r>
    </w:p>
    <w:p w:rsidR="00B4698F" w:rsidRDefault="00B4698F" w:rsidP="00B4698F">
      <w:pPr>
        <w:rPr>
          <w:rFonts w:ascii="Arial" w:hAnsi="Arial" w:cs="Arial"/>
          <w:b/>
          <w:i/>
          <w:lang w:val="en-US"/>
        </w:rPr>
      </w:pPr>
      <w:r w:rsidRPr="00B4698F">
        <w:rPr>
          <w:rFonts w:ascii="Arial" w:hAnsi="Arial" w:cs="Arial"/>
          <w:b/>
          <w:i/>
          <w:lang w:val="en-US"/>
        </w:rPr>
        <w:t>Sainsbury Plc</w:t>
      </w:r>
    </w:p>
    <w:p w:rsidR="00B4698F" w:rsidRDefault="00B4698F" w:rsidP="00B4698F">
      <w:pPr>
        <w:rPr>
          <w:rFonts w:ascii="Arial" w:hAnsi="Arial" w:cs="Arial"/>
          <w:b/>
          <w:i/>
          <w:lang w:val="en-US"/>
        </w:rPr>
      </w:pPr>
      <w:r>
        <w:rPr>
          <w:noProof/>
          <w:lang w:eastAsia="en-IN"/>
        </w:rPr>
        <w:lastRenderedPageBreak/>
        <w:drawing>
          <wp:inline distT="0" distB="0" distL="0" distR="0" wp14:anchorId="103F20B0" wp14:editId="4C0B1B9F">
            <wp:extent cx="5759450" cy="343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435350"/>
                    </a:xfrm>
                    <a:prstGeom prst="rect">
                      <a:avLst/>
                    </a:prstGeom>
                  </pic:spPr>
                </pic:pic>
              </a:graphicData>
            </a:graphic>
          </wp:inline>
        </w:drawing>
      </w:r>
    </w:p>
    <w:p w:rsidR="00B4698F" w:rsidRDefault="00B4698F" w:rsidP="00B4698F">
      <w:pPr>
        <w:jc w:val="center"/>
        <w:rPr>
          <w:rFonts w:ascii="Arial" w:hAnsi="Arial" w:cs="Arial"/>
          <w:b/>
          <w:i/>
          <w:lang w:val="en-US"/>
        </w:rPr>
      </w:pPr>
      <w:r>
        <w:rPr>
          <w:noProof/>
          <w:lang w:eastAsia="en-IN"/>
        </w:rPr>
        <w:drawing>
          <wp:inline distT="0" distB="0" distL="0" distR="0" wp14:anchorId="2A7D7A66" wp14:editId="273564ED">
            <wp:extent cx="4552950" cy="529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5295900"/>
                    </a:xfrm>
                    <a:prstGeom prst="rect">
                      <a:avLst/>
                    </a:prstGeom>
                  </pic:spPr>
                </pic:pic>
              </a:graphicData>
            </a:graphic>
          </wp:inline>
        </w:drawing>
      </w:r>
    </w:p>
    <w:p w:rsidR="00B4698F" w:rsidRDefault="00B4698F" w:rsidP="00B4698F">
      <w:pPr>
        <w:rPr>
          <w:rFonts w:ascii="Arial" w:hAnsi="Arial" w:cs="Arial"/>
          <w:b/>
          <w:i/>
          <w:lang w:val="en-US"/>
        </w:rPr>
      </w:pPr>
      <w:r>
        <w:rPr>
          <w:rFonts w:ascii="Arial" w:hAnsi="Arial" w:cs="Arial"/>
          <w:b/>
          <w:i/>
          <w:lang w:val="en-US"/>
        </w:rPr>
        <w:lastRenderedPageBreak/>
        <w:t>Tesco Plc</w:t>
      </w:r>
    </w:p>
    <w:p w:rsidR="00A5360C" w:rsidRDefault="00A5360C" w:rsidP="00B4698F">
      <w:pPr>
        <w:rPr>
          <w:rFonts w:ascii="Arial" w:hAnsi="Arial" w:cs="Arial"/>
          <w:b/>
          <w:i/>
          <w:lang w:val="en-US"/>
        </w:rPr>
      </w:pPr>
      <w:r>
        <w:rPr>
          <w:noProof/>
          <w:lang w:eastAsia="en-IN"/>
        </w:rPr>
        <w:drawing>
          <wp:inline distT="0" distB="0" distL="0" distR="0" wp14:anchorId="67920A5C" wp14:editId="532B8729">
            <wp:extent cx="5759450" cy="4384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4384040"/>
                    </a:xfrm>
                    <a:prstGeom prst="rect">
                      <a:avLst/>
                    </a:prstGeom>
                  </pic:spPr>
                </pic:pic>
              </a:graphicData>
            </a:graphic>
          </wp:inline>
        </w:drawing>
      </w:r>
    </w:p>
    <w:p w:rsidR="00A5360C" w:rsidRPr="00B4698F" w:rsidRDefault="00A5360C" w:rsidP="00A5360C">
      <w:pPr>
        <w:jc w:val="center"/>
        <w:rPr>
          <w:rFonts w:ascii="Arial" w:hAnsi="Arial" w:cs="Arial"/>
          <w:b/>
          <w:i/>
          <w:lang w:val="en-US"/>
        </w:rPr>
      </w:pPr>
      <w:r>
        <w:rPr>
          <w:noProof/>
          <w:lang w:eastAsia="en-IN"/>
        </w:rPr>
        <w:lastRenderedPageBreak/>
        <w:drawing>
          <wp:inline distT="0" distB="0" distL="0" distR="0" wp14:anchorId="41F1A3DE" wp14:editId="71411DCC">
            <wp:extent cx="4324350" cy="5476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350" cy="5476875"/>
                    </a:xfrm>
                    <a:prstGeom prst="rect">
                      <a:avLst/>
                    </a:prstGeom>
                  </pic:spPr>
                </pic:pic>
              </a:graphicData>
            </a:graphic>
          </wp:inline>
        </w:drawing>
      </w:r>
    </w:p>
    <w:sectPr w:rsidR="00A5360C" w:rsidRPr="00B4698F" w:rsidSect="00ED0FB3">
      <w:footerReference w:type="default" r:id="rId22"/>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BDE" w:rsidRDefault="00AF7BDE">
      <w:pPr>
        <w:spacing w:after="0" w:line="240" w:lineRule="auto"/>
      </w:pPr>
      <w:r>
        <w:separator/>
      </w:r>
    </w:p>
  </w:endnote>
  <w:endnote w:type="continuationSeparator" w:id="0">
    <w:p w:rsidR="00AF7BDE" w:rsidRDefault="00AF7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051920"/>
      <w:docPartObj>
        <w:docPartGallery w:val="Page Numbers (Bottom of Page)"/>
        <w:docPartUnique/>
      </w:docPartObj>
    </w:sdtPr>
    <w:sdtEndPr>
      <w:rPr>
        <w:noProof/>
      </w:rPr>
    </w:sdtEndPr>
    <w:sdtContent>
      <w:p w:rsidR="00CF15BB" w:rsidRDefault="00C23A2A">
        <w:pPr>
          <w:pStyle w:val="Footer"/>
          <w:jc w:val="right"/>
        </w:pPr>
        <w:r>
          <w:fldChar w:fldCharType="begin"/>
        </w:r>
        <w:r>
          <w:instrText xml:space="preserve"> PAGE   \* MERGEFORMAT </w:instrText>
        </w:r>
        <w:r>
          <w:fldChar w:fldCharType="separate"/>
        </w:r>
        <w:r w:rsidR="00A5360C">
          <w:rPr>
            <w:noProof/>
          </w:rPr>
          <w:t>19</w:t>
        </w:r>
        <w:r>
          <w:rPr>
            <w:noProof/>
          </w:rPr>
          <w:fldChar w:fldCharType="end"/>
        </w:r>
      </w:p>
    </w:sdtContent>
  </w:sdt>
  <w:p w:rsidR="00CF15BB" w:rsidRDefault="00CF1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BDE" w:rsidRDefault="00AF7BDE">
      <w:pPr>
        <w:spacing w:after="0" w:line="240" w:lineRule="auto"/>
      </w:pPr>
      <w:r>
        <w:separator/>
      </w:r>
    </w:p>
  </w:footnote>
  <w:footnote w:type="continuationSeparator" w:id="0">
    <w:p w:rsidR="00AF7BDE" w:rsidRDefault="00AF7B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00EC"/>
    <w:multiLevelType w:val="hybridMultilevel"/>
    <w:tmpl w:val="FA9CD3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3357786"/>
    <w:multiLevelType w:val="hybridMultilevel"/>
    <w:tmpl w:val="49ACE13C"/>
    <w:lvl w:ilvl="0" w:tplc="7A384E2E">
      <w:start w:val="1"/>
      <w:numFmt w:val="bullet"/>
      <w:lvlText w:val=""/>
      <w:lvlJc w:val="left"/>
      <w:pPr>
        <w:ind w:left="720" w:hanging="360"/>
      </w:pPr>
      <w:rPr>
        <w:rFonts w:ascii="Symbol" w:hAnsi="Symbol" w:hint="default"/>
      </w:rPr>
    </w:lvl>
    <w:lvl w:ilvl="1" w:tplc="B69CF54E" w:tentative="1">
      <w:start w:val="1"/>
      <w:numFmt w:val="bullet"/>
      <w:lvlText w:val="o"/>
      <w:lvlJc w:val="left"/>
      <w:pPr>
        <w:ind w:left="1440" w:hanging="360"/>
      </w:pPr>
      <w:rPr>
        <w:rFonts w:ascii="Courier New" w:hAnsi="Courier New" w:cs="Courier New" w:hint="default"/>
      </w:rPr>
    </w:lvl>
    <w:lvl w:ilvl="2" w:tplc="6D3AB0A4" w:tentative="1">
      <w:start w:val="1"/>
      <w:numFmt w:val="bullet"/>
      <w:lvlText w:val=""/>
      <w:lvlJc w:val="left"/>
      <w:pPr>
        <w:ind w:left="2160" w:hanging="360"/>
      </w:pPr>
      <w:rPr>
        <w:rFonts w:ascii="Wingdings" w:hAnsi="Wingdings" w:hint="default"/>
      </w:rPr>
    </w:lvl>
    <w:lvl w:ilvl="3" w:tplc="17DCCF8A" w:tentative="1">
      <w:start w:val="1"/>
      <w:numFmt w:val="bullet"/>
      <w:lvlText w:val=""/>
      <w:lvlJc w:val="left"/>
      <w:pPr>
        <w:ind w:left="2880" w:hanging="360"/>
      </w:pPr>
      <w:rPr>
        <w:rFonts w:ascii="Symbol" w:hAnsi="Symbol" w:hint="default"/>
      </w:rPr>
    </w:lvl>
    <w:lvl w:ilvl="4" w:tplc="7946E7B6" w:tentative="1">
      <w:start w:val="1"/>
      <w:numFmt w:val="bullet"/>
      <w:lvlText w:val="o"/>
      <w:lvlJc w:val="left"/>
      <w:pPr>
        <w:ind w:left="3600" w:hanging="360"/>
      </w:pPr>
      <w:rPr>
        <w:rFonts w:ascii="Courier New" w:hAnsi="Courier New" w:cs="Courier New" w:hint="default"/>
      </w:rPr>
    </w:lvl>
    <w:lvl w:ilvl="5" w:tplc="DE38CB6C" w:tentative="1">
      <w:start w:val="1"/>
      <w:numFmt w:val="bullet"/>
      <w:lvlText w:val=""/>
      <w:lvlJc w:val="left"/>
      <w:pPr>
        <w:ind w:left="4320" w:hanging="360"/>
      </w:pPr>
      <w:rPr>
        <w:rFonts w:ascii="Wingdings" w:hAnsi="Wingdings" w:hint="default"/>
      </w:rPr>
    </w:lvl>
    <w:lvl w:ilvl="6" w:tplc="AAB0C060" w:tentative="1">
      <w:start w:val="1"/>
      <w:numFmt w:val="bullet"/>
      <w:lvlText w:val=""/>
      <w:lvlJc w:val="left"/>
      <w:pPr>
        <w:ind w:left="5040" w:hanging="360"/>
      </w:pPr>
      <w:rPr>
        <w:rFonts w:ascii="Symbol" w:hAnsi="Symbol" w:hint="default"/>
      </w:rPr>
    </w:lvl>
    <w:lvl w:ilvl="7" w:tplc="BE903300" w:tentative="1">
      <w:start w:val="1"/>
      <w:numFmt w:val="bullet"/>
      <w:lvlText w:val="o"/>
      <w:lvlJc w:val="left"/>
      <w:pPr>
        <w:ind w:left="5760" w:hanging="360"/>
      </w:pPr>
      <w:rPr>
        <w:rFonts w:ascii="Courier New" w:hAnsi="Courier New" w:cs="Courier New" w:hint="default"/>
      </w:rPr>
    </w:lvl>
    <w:lvl w:ilvl="8" w:tplc="0BF655E6" w:tentative="1">
      <w:start w:val="1"/>
      <w:numFmt w:val="bullet"/>
      <w:lvlText w:val=""/>
      <w:lvlJc w:val="left"/>
      <w:pPr>
        <w:ind w:left="6480" w:hanging="360"/>
      </w:pPr>
      <w:rPr>
        <w:rFonts w:ascii="Wingdings" w:hAnsi="Wingdings" w:hint="default"/>
      </w:rPr>
    </w:lvl>
  </w:abstractNum>
  <w:abstractNum w:abstractNumId="2">
    <w:nsid w:val="44FE19F9"/>
    <w:multiLevelType w:val="hybridMultilevel"/>
    <w:tmpl w:val="4AC2762A"/>
    <w:lvl w:ilvl="0" w:tplc="0B08A700">
      <w:start w:val="1"/>
      <w:numFmt w:val="decimal"/>
      <w:lvlText w:val="%1."/>
      <w:lvlJc w:val="left"/>
      <w:pPr>
        <w:ind w:left="720" w:hanging="360"/>
      </w:pPr>
    </w:lvl>
    <w:lvl w:ilvl="1" w:tplc="2B0CE484" w:tentative="1">
      <w:start w:val="1"/>
      <w:numFmt w:val="lowerLetter"/>
      <w:lvlText w:val="%2."/>
      <w:lvlJc w:val="left"/>
      <w:pPr>
        <w:ind w:left="1440" w:hanging="360"/>
      </w:pPr>
    </w:lvl>
    <w:lvl w:ilvl="2" w:tplc="36745D7C" w:tentative="1">
      <w:start w:val="1"/>
      <w:numFmt w:val="lowerRoman"/>
      <w:lvlText w:val="%3."/>
      <w:lvlJc w:val="right"/>
      <w:pPr>
        <w:ind w:left="2160" w:hanging="180"/>
      </w:pPr>
    </w:lvl>
    <w:lvl w:ilvl="3" w:tplc="B7C800F8" w:tentative="1">
      <w:start w:val="1"/>
      <w:numFmt w:val="decimal"/>
      <w:lvlText w:val="%4."/>
      <w:lvlJc w:val="left"/>
      <w:pPr>
        <w:ind w:left="2880" w:hanging="360"/>
      </w:pPr>
    </w:lvl>
    <w:lvl w:ilvl="4" w:tplc="61102A0C" w:tentative="1">
      <w:start w:val="1"/>
      <w:numFmt w:val="lowerLetter"/>
      <w:lvlText w:val="%5."/>
      <w:lvlJc w:val="left"/>
      <w:pPr>
        <w:ind w:left="3600" w:hanging="360"/>
      </w:pPr>
    </w:lvl>
    <w:lvl w:ilvl="5" w:tplc="70BE94D8" w:tentative="1">
      <w:start w:val="1"/>
      <w:numFmt w:val="lowerRoman"/>
      <w:lvlText w:val="%6."/>
      <w:lvlJc w:val="right"/>
      <w:pPr>
        <w:ind w:left="4320" w:hanging="180"/>
      </w:pPr>
    </w:lvl>
    <w:lvl w:ilvl="6" w:tplc="9DA44038" w:tentative="1">
      <w:start w:val="1"/>
      <w:numFmt w:val="decimal"/>
      <w:lvlText w:val="%7."/>
      <w:lvlJc w:val="left"/>
      <w:pPr>
        <w:ind w:left="5040" w:hanging="360"/>
      </w:pPr>
    </w:lvl>
    <w:lvl w:ilvl="7" w:tplc="13EA4C02" w:tentative="1">
      <w:start w:val="1"/>
      <w:numFmt w:val="lowerLetter"/>
      <w:lvlText w:val="%8."/>
      <w:lvlJc w:val="left"/>
      <w:pPr>
        <w:ind w:left="5760" w:hanging="360"/>
      </w:pPr>
    </w:lvl>
    <w:lvl w:ilvl="8" w:tplc="3D08BC24" w:tentative="1">
      <w:start w:val="1"/>
      <w:numFmt w:val="lowerRoman"/>
      <w:lvlText w:val="%9."/>
      <w:lvlJc w:val="right"/>
      <w:pPr>
        <w:ind w:left="6480" w:hanging="180"/>
      </w:pPr>
    </w:lvl>
  </w:abstractNum>
  <w:abstractNum w:abstractNumId="3">
    <w:nsid w:val="56B82B8B"/>
    <w:multiLevelType w:val="hybridMultilevel"/>
    <w:tmpl w:val="57EA326C"/>
    <w:lvl w:ilvl="0" w:tplc="EEDC1780">
      <w:start w:val="1"/>
      <w:numFmt w:val="bullet"/>
      <w:lvlText w:val=""/>
      <w:lvlJc w:val="left"/>
      <w:pPr>
        <w:ind w:left="720" w:hanging="360"/>
      </w:pPr>
      <w:rPr>
        <w:rFonts w:ascii="Symbol" w:hAnsi="Symbol" w:hint="default"/>
      </w:rPr>
    </w:lvl>
    <w:lvl w:ilvl="1" w:tplc="12FA745A" w:tentative="1">
      <w:start w:val="1"/>
      <w:numFmt w:val="bullet"/>
      <w:lvlText w:val="o"/>
      <w:lvlJc w:val="left"/>
      <w:pPr>
        <w:ind w:left="1440" w:hanging="360"/>
      </w:pPr>
      <w:rPr>
        <w:rFonts w:ascii="Courier New" w:hAnsi="Courier New" w:cs="Courier New" w:hint="default"/>
      </w:rPr>
    </w:lvl>
    <w:lvl w:ilvl="2" w:tplc="1C86AA08" w:tentative="1">
      <w:start w:val="1"/>
      <w:numFmt w:val="bullet"/>
      <w:lvlText w:val=""/>
      <w:lvlJc w:val="left"/>
      <w:pPr>
        <w:ind w:left="2160" w:hanging="360"/>
      </w:pPr>
      <w:rPr>
        <w:rFonts w:ascii="Wingdings" w:hAnsi="Wingdings" w:hint="default"/>
      </w:rPr>
    </w:lvl>
    <w:lvl w:ilvl="3" w:tplc="87320324" w:tentative="1">
      <w:start w:val="1"/>
      <w:numFmt w:val="bullet"/>
      <w:lvlText w:val=""/>
      <w:lvlJc w:val="left"/>
      <w:pPr>
        <w:ind w:left="2880" w:hanging="360"/>
      </w:pPr>
      <w:rPr>
        <w:rFonts w:ascii="Symbol" w:hAnsi="Symbol" w:hint="default"/>
      </w:rPr>
    </w:lvl>
    <w:lvl w:ilvl="4" w:tplc="CC5A2AFE" w:tentative="1">
      <w:start w:val="1"/>
      <w:numFmt w:val="bullet"/>
      <w:lvlText w:val="o"/>
      <w:lvlJc w:val="left"/>
      <w:pPr>
        <w:ind w:left="3600" w:hanging="360"/>
      </w:pPr>
      <w:rPr>
        <w:rFonts w:ascii="Courier New" w:hAnsi="Courier New" w:cs="Courier New" w:hint="default"/>
      </w:rPr>
    </w:lvl>
    <w:lvl w:ilvl="5" w:tplc="981030A8" w:tentative="1">
      <w:start w:val="1"/>
      <w:numFmt w:val="bullet"/>
      <w:lvlText w:val=""/>
      <w:lvlJc w:val="left"/>
      <w:pPr>
        <w:ind w:left="4320" w:hanging="360"/>
      </w:pPr>
      <w:rPr>
        <w:rFonts w:ascii="Wingdings" w:hAnsi="Wingdings" w:hint="default"/>
      </w:rPr>
    </w:lvl>
    <w:lvl w:ilvl="6" w:tplc="27BE20A2" w:tentative="1">
      <w:start w:val="1"/>
      <w:numFmt w:val="bullet"/>
      <w:lvlText w:val=""/>
      <w:lvlJc w:val="left"/>
      <w:pPr>
        <w:ind w:left="5040" w:hanging="360"/>
      </w:pPr>
      <w:rPr>
        <w:rFonts w:ascii="Symbol" w:hAnsi="Symbol" w:hint="default"/>
      </w:rPr>
    </w:lvl>
    <w:lvl w:ilvl="7" w:tplc="4CB4FFBA" w:tentative="1">
      <w:start w:val="1"/>
      <w:numFmt w:val="bullet"/>
      <w:lvlText w:val="o"/>
      <w:lvlJc w:val="left"/>
      <w:pPr>
        <w:ind w:left="5760" w:hanging="360"/>
      </w:pPr>
      <w:rPr>
        <w:rFonts w:ascii="Courier New" w:hAnsi="Courier New" w:cs="Courier New" w:hint="default"/>
      </w:rPr>
    </w:lvl>
    <w:lvl w:ilvl="8" w:tplc="07A4947A" w:tentative="1">
      <w:start w:val="1"/>
      <w:numFmt w:val="bullet"/>
      <w:lvlText w:val=""/>
      <w:lvlJc w:val="left"/>
      <w:pPr>
        <w:ind w:left="6480" w:hanging="360"/>
      </w:pPr>
      <w:rPr>
        <w:rFonts w:ascii="Wingdings" w:hAnsi="Wingdings" w:hint="default"/>
      </w:rPr>
    </w:lvl>
  </w:abstractNum>
  <w:abstractNum w:abstractNumId="4">
    <w:nsid w:val="597934ED"/>
    <w:multiLevelType w:val="hybridMultilevel"/>
    <w:tmpl w:val="1F240FEC"/>
    <w:lvl w:ilvl="0" w:tplc="CA7C94D8">
      <w:start w:val="1"/>
      <w:numFmt w:val="bullet"/>
      <w:lvlText w:val=""/>
      <w:lvlJc w:val="left"/>
      <w:pPr>
        <w:ind w:left="720" w:hanging="360"/>
      </w:pPr>
      <w:rPr>
        <w:rFonts w:ascii="Symbol" w:hAnsi="Symbol" w:hint="default"/>
      </w:rPr>
    </w:lvl>
    <w:lvl w:ilvl="1" w:tplc="880A89D6" w:tentative="1">
      <w:start w:val="1"/>
      <w:numFmt w:val="bullet"/>
      <w:lvlText w:val="o"/>
      <w:lvlJc w:val="left"/>
      <w:pPr>
        <w:ind w:left="1440" w:hanging="360"/>
      </w:pPr>
      <w:rPr>
        <w:rFonts w:ascii="Courier New" w:hAnsi="Courier New" w:cs="Courier New" w:hint="default"/>
      </w:rPr>
    </w:lvl>
    <w:lvl w:ilvl="2" w:tplc="3F5C12CC" w:tentative="1">
      <w:start w:val="1"/>
      <w:numFmt w:val="bullet"/>
      <w:lvlText w:val=""/>
      <w:lvlJc w:val="left"/>
      <w:pPr>
        <w:ind w:left="2160" w:hanging="360"/>
      </w:pPr>
      <w:rPr>
        <w:rFonts w:ascii="Wingdings" w:hAnsi="Wingdings" w:hint="default"/>
      </w:rPr>
    </w:lvl>
    <w:lvl w:ilvl="3" w:tplc="817AB1AE" w:tentative="1">
      <w:start w:val="1"/>
      <w:numFmt w:val="bullet"/>
      <w:lvlText w:val=""/>
      <w:lvlJc w:val="left"/>
      <w:pPr>
        <w:ind w:left="2880" w:hanging="360"/>
      </w:pPr>
      <w:rPr>
        <w:rFonts w:ascii="Symbol" w:hAnsi="Symbol" w:hint="default"/>
      </w:rPr>
    </w:lvl>
    <w:lvl w:ilvl="4" w:tplc="0B5C2612" w:tentative="1">
      <w:start w:val="1"/>
      <w:numFmt w:val="bullet"/>
      <w:lvlText w:val="o"/>
      <w:lvlJc w:val="left"/>
      <w:pPr>
        <w:ind w:left="3600" w:hanging="360"/>
      </w:pPr>
      <w:rPr>
        <w:rFonts w:ascii="Courier New" w:hAnsi="Courier New" w:cs="Courier New" w:hint="default"/>
      </w:rPr>
    </w:lvl>
    <w:lvl w:ilvl="5" w:tplc="EF203C96" w:tentative="1">
      <w:start w:val="1"/>
      <w:numFmt w:val="bullet"/>
      <w:lvlText w:val=""/>
      <w:lvlJc w:val="left"/>
      <w:pPr>
        <w:ind w:left="4320" w:hanging="360"/>
      </w:pPr>
      <w:rPr>
        <w:rFonts w:ascii="Wingdings" w:hAnsi="Wingdings" w:hint="default"/>
      </w:rPr>
    </w:lvl>
    <w:lvl w:ilvl="6" w:tplc="C5E0BEB8" w:tentative="1">
      <w:start w:val="1"/>
      <w:numFmt w:val="bullet"/>
      <w:lvlText w:val=""/>
      <w:lvlJc w:val="left"/>
      <w:pPr>
        <w:ind w:left="5040" w:hanging="360"/>
      </w:pPr>
      <w:rPr>
        <w:rFonts w:ascii="Symbol" w:hAnsi="Symbol" w:hint="default"/>
      </w:rPr>
    </w:lvl>
    <w:lvl w:ilvl="7" w:tplc="536A5ED8" w:tentative="1">
      <w:start w:val="1"/>
      <w:numFmt w:val="bullet"/>
      <w:lvlText w:val="o"/>
      <w:lvlJc w:val="left"/>
      <w:pPr>
        <w:ind w:left="5760" w:hanging="360"/>
      </w:pPr>
      <w:rPr>
        <w:rFonts w:ascii="Courier New" w:hAnsi="Courier New" w:cs="Courier New" w:hint="default"/>
      </w:rPr>
    </w:lvl>
    <w:lvl w:ilvl="8" w:tplc="023275BA"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FE9"/>
    <w:rsid w:val="00002F6E"/>
    <w:rsid w:val="00026D0C"/>
    <w:rsid w:val="00032B2E"/>
    <w:rsid w:val="00054A33"/>
    <w:rsid w:val="00057BC1"/>
    <w:rsid w:val="00062D18"/>
    <w:rsid w:val="000720C6"/>
    <w:rsid w:val="0008267E"/>
    <w:rsid w:val="00093078"/>
    <w:rsid w:val="000A3160"/>
    <w:rsid w:val="000B0578"/>
    <w:rsid w:val="000B1976"/>
    <w:rsid w:val="000B2A87"/>
    <w:rsid w:val="000B3494"/>
    <w:rsid w:val="000C7795"/>
    <w:rsid w:val="000D4BB1"/>
    <w:rsid w:val="000D6DE5"/>
    <w:rsid w:val="000D6FDB"/>
    <w:rsid w:val="000E00BC"/>
    <w:rsid w:val="000F3D1C"/>
    <w:rsid w:val="000F6D6D"/>
    <w:rsid w:val="001140D1"/>
    <w:rsid w:val="001209A9"/>
    <w:rsid w:val="00122913"/>
    <w:rsid w:val="0013583D"/>
    <w:rsid w:val="0016637C"/>
    <w:rsid w:val="00181628"/>
    <w:rsid w:val="00184137"/>
    <w:rsid w:val="00186D8C"/>
    <w:rsid w:val="00187AF2"/>
    <w:rsid w:val="00193856"/>
    <w:rsid w:val="001A524C"/>
    <w:rsid w:val="001A6AD5"/>
    <w:rsid w:val="001B472C"/>
    <w:rsid w:val="001B5FE9"/>
    <w:rsid w:val="001C2729"/>
    <w:rsid w:val="001C29FC"/>
    <w:rsid w:val="001D3C70"/>
    <w:rsid w:val="001D571E"/>
    <w:rsid w:val="001F1261"/>
    <w:rsid w:val="001F2304"/>
    <w:rsid w:val="0023332A"/>
    <w:rsid w:val="002373A2"/>
    <w:rsid w:val="00260340"/>
    <w:rsid w:val="00260554"/>
    <w:rsid w:val="00264219"/>
    <w:rsid w:val="00273999"/>
    <w:rsid w:val="00273C1E"/>
    <w:rsid w:val="0029120F"/>
    <w:rsid w:val="002954FD"/>
    <w:rsid w:val="002A34CD"/>
    <w:rsid w:val="002A7502"/>
    <w:rsid w:val="002B45BE"/>
    <w:rsid w:val="002B7F58"/>
    <w:rsid w:val="002D22A2"/>
    <w:rsid w:val="002D2CF7"/>
    <w:rsid w:val="002E1DD2"/>
    <w:rsid w:val="002F65D7"/>
    <w:rsid w:val="003102EF"/>
    <w:rsid w:val="003227F0"/>
    <w:rsid w:val="003235E6"/>
    <w:rsid w:val="00354C24"/>
    <w:rsid w:val="00357D0F"/>
    <w:rsid w:val="00364CA2"/>
    <w:rsid w:val="003A412E"/>
    <w:rsid w:val="003B4F09"/>
    <w:rsid w:val="003D2F92"/>
    <w:rsid w:val="003D6A67"/>
    <w:rsid w:val="003E7EAD"/>
    <w:rsid w:val="003F1143"/>
    <w:rsid w:val="00401E21"/>
    <w:rsid w:val="00406560"/>
    <w:rsid w:val="004128DE"/>
    <w:rsid w:val="00420B45"/>
    <w:rsid w:val="00467551"/>
    <w:rsid w:val="00475293"/>
    <w:rsid w:val="00475FE7"/>
    <w:rsid w:val="00480473"/>
    <w:rsid w:val="004846CE"/>
    <w:rsid w:val="0049569D"/>
    <w:rsid w:val="004A4B62"/>
    <w:rsid w:val="004C1EDA"/>
    <w:rsid w:val="004F0EBC"/>
    <w:rsid w:val="004F38CC"/>
    <w:rsid w:val="00506207"/>
    <w:rsid w:val="00510F25"/>
    <w:rsid w:val="0052012D"/>
    <w:rsid w:val="005372D0"/>
    <w:rsid w:val="0054137E"/>
    <w:rsid w:val="005442CE"/>
    <w:rsid w:val="00547853"/>
    <w:rsid w:val="005550F3"/>
    <w:rsid w:val="0058687A"/>
    <w:rsid w:val="00587FC1"/>
    <w:rsid w:val="005A595A"/>
    <w:rsid w:val="005B3336"/>
    <w:rsid w:val="005D335B"/>
    <w:rsid w:val="005F2D36"/>
    <w:rsid w:val="005F3C73"/>
    <w:rsid w:val="005F71FE"/>
    <w:rsid w:val="00625C13"/>
    <w:rsid w:val="00630ABA"/>
    <w:rsid w:val="00650FE6"/>
    <w:rsid w:val="0065546C"/>
    <w:rsid w:val="00660FBA"/>
    <w:rsid w:val="00684279"/>
    <w:rsid w:val="006B5E6B"/>
    <w:rsid w:val="006B6D61"/>
    <w:rsid w:val="006C18AB"/>
    <w:rsid w:val="006C5357"/>
    <w:rsid w:val="006E5297"/>
    <w:rsid w:val="00723153"/>
    <w:rsid w:val="00734561"/>
    <w:rsid w:val="00737FE7"/>
    <w:rsid w:val="0074066A"/>
    <w:rsid w:val="00743FDE"/>
    <w:rsid w:val="00760CE0"/>
    <w:rsid w:val="007772F3"/>
    <w:rsid w:val="00792206"/>
    <w:rsid w:val="0079309B"/>
    <w:rsid w:val="007A5382"/>
    <w:rsid w:val="007B7D70"/>
    <w:rsid w:val="007C07C0"/>
    <w:rsid w:val="007D4B64"/>
    <w:rsid w:val="007F3F4A"/>
    <w:rsid w:val="0082483E"/>
    <w:rsid w:val="00840AE2"/>
    <w:rsid w:val="00853F2F"/>
    <w:rsid w:val="00866343"/>
    <w:rsid w:val="008914A8"/>
    <w:rsid w:val="00892A73"/>
    <w:rsid w:val="008A25CD"/>
    <w:rsid w:val="008B49A9"/>
    <w:rsid w:val="008C2DF1"/>
    <w:rsid w:val="008C3C1B"/>
    <w:rsid w:val="008C5266"/>
    <w:rsid w:val="008D32DC"/>
    <w:rsid w:val="008D4488"/>
    <w:rsid w:val="008E4553"/>
    <w:rsid w:val="00941A94"/>
    <w:rsid w:val="00942D97"/>
    <w:rsid w:val="00945BC6"/>
    <w:rsid w:val="009607D9"/>
    <w:rsid w:val="009668E6"/>
    <w:rsid w:val="009939A6"/>
    <w:rsid w:val="009A3F19"/>
    <w:rsid w:val="009B0F2D"/>
    <w:rsid w:val="009B3C2D"/>
    <w:rsid w:val="009C1F03"/>
    <w:rsid w:val="009D7374"/>
    <w:rsid w:val="00A02ADD"/>
    <w:rsid w:val="00A06B7E"/>
    <w:rsid w:val="00A277CC"/>
    <w:rsid w:val="00A525C4"/>
    <w:rsid w:val="00A533D5"/>
    <w:rsid w:val="00A5360C"/>
    <w:rsid w:val="00A73CF4"/>
    <w:rsid w:val="00AB107E"/>
    <w:rsid w:val="00AC200D"/>
    <w:rsid w:val="00AD2209"/>
    <w:rsid w:val="00AF5FD5"/>
    <w:rsid w:val="00AF7BDE"/>
    <w:rsid w:val="00B00E66"/>
    <w:rsid w:val="00B012F2"/>
    <w:rsid w:val="00B27AE3"/>
    <w:rsid w:val="00B3068C"/>
    <w:rsid w:val="00B353A1"/>
    <w:rsid w:val="00B4698F"/>
    <w:rsid w:val="00B85EF1"/>
    <w:rsid w:val="00B90D1F"/>
    <w:rsid w:val="00BA3177"/>
    <w:rsid w:val="00BC09AA"/>
    <w:rsid w:val="00BD0625"/>
    <w:rsid w:val="00BD79A8"/>
    <w:rsid w:val="00BE18BC"/>
    <w:rsid w:val="00BF224A"/>
    <w:rsid w:val="00BF2F95"/>
    <w:rsid w:val="00BF4891"/>
    <w:rsid w:val="00C11F6F"/>
    <w:rsid w:val="00C23A2A"/>
    <w:rsid w:val="00C24AA4"/>
    <w:rsid w:val="00C5276B"/>
    <w:rsid w:val="00C540E6"/>
    <w:rsid w:val="00C7303F"/>
    <w:rsid w:val="00C83474"/>
    <w:rsid w:val="00C86BD7"/>
    <w:rsid w:val="00CA1821"/>
    <w:rsid w:val="00CB4D19"/>
    <w:rsid w:val="00CF15BB"/>
    <w:rsid w:val="00D15515"/>
    <w:rsid w:val="00D311B9"/>
    <w:rsid w:val="00D36196"/>
    <w:rsid w:val="00D440D6"/>
    <w:rsid w:val="00D7406B"/>
    <w:rsid w:val="00DC30CF"/>
    <w:rsid w:val="00DD1C16"/>
    <w:rsid w:val="00DD4CA2"/>
    <w:rsid w:val="00DE76EE"/>
    <w:rsid w:val="00E02B9A"/>
    <w:rsid w:val="00E05454"/>
    <w:rsid w:val="00E1547E"/>
    <w:rsid w:val="00E42372"/>
    <w:rsid w:val="00E50169"/>
    <w:rsid w:val="00E57792"/>
    <w:rsid w:val="00E66939"/>
    <w:rsid w:val="00E81AAA"/>
    <w:rsid w:val="00E85770"/>
    <w:rsid w:val="00EB2BAD"/>
    <w:rsid w:val="00EB43CE"/>
    <w:rsid w:val="00EB4F73"/>
    <w:rsid w:val="00EC2DC9"/>
    <w:rsid w:val="00ED0FB3"/>
    <w:rsid w:val="00EE6B78"/>
    <w:rsid w:val="00F04B33"/>
    <w:rsid w:val="00F0763D"/>
    <w:rsid w:val="00F17A0F"/>
    <w:rsid w:val="00F21553"/>
    <w:rsid w:val="00F257F0"/>
    <w:rsid w:val="00F32A38"/>
    <w:rsid w:val="00F34564"/>
    <w:rsid w:val="00F3748B"/>
    <w:rsid w:val="00F416CA"/>
    <w:rsid w:val="00F537A4"/>
    <w:rsid w:val="00F5464B"/>
    <w:rsid w:val="00F548F2"/>
    <w:rsid w:val="00F70D1C"/>
    <w:rsid w:val="00F71E76"/>
    <w:rsid w:val="00FA559A"/>
    <w:rsid w:val="00FB1B3C"/>
    <w:rsid w:val="00FC27E0"/>
    <w:rsid w:val="00FD0F1D"/>
    <w:rsid w:val="00FD37BA"/>
    <w:rsid w:val="00FF250A"/>
    <w:rsid w:val="00FF27B7"/>
    <w:rsid w:val="00FF4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10D76-1F28-4F7D-B979-AFF0D4BF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9FC"/>
    <w:pPr>
      <w:keepNext/>
      <w:keepLines/>
      <w:spacing w:before="240" w:after="0"/>
      <w:outlineLvl w:val="0"/>
    </w:pPr>
    <w:rPr>
      <w:rFonts w:ascii="Arial" w:eastAsiaTheme="majorEastAsia" w:hAnsi="Arial" w:cstheme="majorBidi"/>
      <w:b/>
      <w:szCs w:val="32"/>
    </w:rPr>
  </w:style>
  <w:style w:type="paragraph" w:styleId="Heading2">
    <w:name w:val="heading 2"/>
    <w:basedOn w:val="Normal"/>
    <w:next w:val="Normal"/>
    <w:link w:val="Heading2Char"/>
    <w:uiPriority w:val="9"/>
    <w:unhideWhenUsed/>
    <w:qFormat/>
    <w:rsid w:val="001C29FC"/>
    <w:pPr>
      <w:keepNext/>
      <w:keepLines/>
      <w:spacing w:before="40" w:after="0"/>
      <w:jc w:val="both"/>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7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4E1F"/>
    <w:pPr>
      <w:ind w:left="720"/>
      <w:contextualSpacing/>
    </w:pPr>
  </w:style>
  <w:style w:type="paragraph" w:styleId="NormalWeb">
    <w:name w:val="Normal (Web)"/>
    <w:basedOn w:val="Normal"/>
    <w:uiPriority w:val="99"/>
    <w:unhideWhenUsed/>
    <w:rsid w:val="00BC09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F1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5BB"/>
  </w:style>
  <w:style w:type="paragraph" w:styleId="Footer">
    <w:name w:val="footer"/>
    <w:basedOn w:val="Normal"/>
    <w:link w:val="FooterChar"/>
    <w:uiPriority w:val="99"/>
    <w:unhideWhenUsed/>
    <w:rsid w:val="00CF1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5BB"/>
  </w:style>
  <w:style w:type="character" w:customStyle="1" w:styleId="Heading1Char">
    <w:name w:val="Heading 1 Char"/>
    <w:basedOn w:val="DefaultParagraphFont"/>
    <w:link w:val="Heading1"/>
    <w:uiPriority w:val="9"/>
    <w:rsid w:val="001C29FC"/>
    <w:rPr>
      <w:rFonts w:ascii="Arial" w:eastAsiaTheme="majorEastAsia" w:hAnsi="Arial" w:cstheme="majorBidi"/>
      <w:b/>
      <w:szCs w:val="32"/>
    </w:rPr>
  </w:style>
  <w:style w:type="character" w:customStyle="1" w:styleId="Heading2Char">
    <w:name w:val="Heading 2 Char"/>
    <w:basedOn w:val="DefaultParagraphFont"/>
    <w:link w:val="Heading2"/>
    <w:uiPriority w:val="9"/>
    <w:rsid w:val="001C29FC"/>
    <w:rPr>
      <w:rFonts w:ascii="Arial" w:eastAsiaTheme="majorEastAsia" w:hAnsi="Arial" w:cstheme="majorBidi"/>
      <w:b/>
      <w:szCs w:val="26"/>
    </w:rPr>
  </w:style>
  <w:style w:type="paragraph" w:styleId="TOCHeading">
    <w:name w:val="TOC Heading"/>
    <w:basedOn w:val="Heading1"/>
    <w:next w:val="Normal"/>
    <w:uiPriority w:val="39"/>
    <w:unhideWhenUsed/>
    <w:qFormat/>
    <w:rsid w:val="00186D8C"/>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186D8C"/>
    <w:pPr>
      <w:spacing w:after="100"/>
    </w:pPr>
  </w:style>
  <w:style w:type="paragraph" w:styleId="TOC2">
    <w:name w:val="toc 2"/>
    <w:basedOn w:val="Normal"/>
    <w:next w:val="Normal"/>
    <w:autoRedefine/>
    <w:uiPriority w:val="39"/>
    <w:unhideWhenUsed/>
    <w:rsid w:val="00186D8C"/>
    <w:pPr>
      <w:spacing w:after="100"/>
      <w:ind w:left="220"/>
    </w:pPr>
  </w:style>
  <w:style w:type="character" w:styleId="Hyperlink">
    <w:name w:val="Hyperlink"/>
    <w:basedOn w:val="DefaultParagraphFont"/>
    <w:uiPriority w:val="99"/>
    <w:unhideWhenUsed/>
    <w:rsid w:val="00186D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0578">
      <w:bodyDiv w:val="1"/>
      <w:marLeft w:val="0"/>
      <w:marRight w:val="0"/>
      <w:marTop w:val="0"/>
      <w:marBottom w:val="0"/>
      <w:divBdr>
        <w:top w:val="none" w:sz="0" w:space="0" w:color="auto"/>
        <w:left w:val="none" w:sz="0" w:space="0" w:color="auto"/>
        <w:bottom w:val="none" w:sz="0" w:space="0" w:color="auto"/>
        <w:right w:val="none" w:sz="0" w:space="0" w:color="auto"/>
      </w:divBdr>
    </w:div>
    <w:div w:id="224072193">
      <w:bodyDiv w:val="1"/>
      <w:marLeft w:val="0"/>
      <w:marRight w:val="0"/>
      <w:marTop w:val="0"/>
      <w:marBottom w:val="0"/>
      <w:divBdr>
        <w:top w:val="none" w:sz="0" w:space="0" w:color="auto"/>
        <w:left w:val="none" w:sz="0" w:space="0" w:color="auto"/>
        <w:bottom w:val="none" w:sz="0" w:space="0" w:color="auto"/>
        <w:right w:val="none" w:sz="0" w:space="0" w:color="auto"/>
      </w:divBdr>
    </w:div>
    <w:div w:id="1177158218">
      <w:bodyDiv w:val="1"/>
      <w:marLeft w:val="0"/>
      <w:marRight w:val="0"/>
      <w:marTop w:val="0"/>
      <w:marBottom w:val="0"/>
      <w:divBdr>
        <w:top w:val="none" w:sz="0" w:space="0" w:color="auto"/>
        <w:left w:val="none" w:sz="0" w:space="0" w:color="auto"/>
        <w:bottom w:val="none" w:sz="0" w:space="0" w:color="auto"/>
        <w:right w:val="none" w:sz="0" w:space="0" w:color="auto"/>
      </w:divBdr>
    </w:div>
    <w:div w:id="1319187003">
      <w:bodyDiv w:val="1"/>
      <w:marLeft w:val="0"/>
      <w:marRight w:val="0"/>
      <w:marTop w:val="0"/>
      <w:marBottom w:val="0"/>
      <w:divBdr>
        <w:top w:val="none" w:sz="0" w:space="0" w:color="auto"/>
        <w:left w:val="none" w:sz="0" w:space="0" w:color="auto"/>
        <w:bottom w:val="none" w:sz="0" w:space="0" w:color="auto"/>
        <w:right w:val="none" w:sz="0" w:space="0" w:color="auto"/>
      </w:divBdr>
    </w:div>
    <w:div w:id="175578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yperlink" Target="https://www.tescoplc.com/media/759057/tesco-annual-report-2022.pdf" TargetMode="External"/><Relationship Id="rId2" Type="http://schemas.openxmlformats.org/officeDocument/2006/relationships/numbering" Target="numbering.xml"/><Relationship Id="rId16" Type="http://schemas.openxmlformats.org/officeDocument/2006/relationships/hyperlink" Target="https://www.tescoplc.com/abou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nnualreports.com/HostedData/AnnualReports/PDF/LSE_GB0767628_2022.pdf" TargetMode="Externa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about.sainsburys.co.uk/about-us" TargetMode="Externa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Ankita\Apr%202023\15.04.2023\1500\SEP_AIN30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nkita\Apr%202023\15.04.2023\1500\SEP_AIN30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nkita\Apr%202023\15.04.2023\1500\SEP_AIN30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nkita\Apr%202023\15.04.2023\1500\SEP_AIN308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nkita\Apr%202023\15.04.2023\1500\SEP_AIN3089.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Ankita\Apr%202023\15.04.2023\1500\SEP_AIN3089.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Sheet1!$A$7</c:f>
              <c:strCache>
                <c:ptCount val="1"/>
                <c:pt idx="0">
                  <c:v>Net profit margin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round/>
                    </a:ln>
                    <a:effectLst/>
                  </c:spPr>
                </c15:leaderLines>
              </c:ext>
            </c:extLst>
          </c:dLbls>
          <c:cat>
            <c:multiLvlStrRef>
              <c:f>Sheet1!$B$3:$E$4</c:f>
              <c:multiLvlStrCache>
                <c:ptCount val="4"/>
                <c:lvl>
                  <c:pt idx="0">
                    <c:v>2022</c:v>
                  </c:pt>
                  <c:pt idx="1">
                    <c:v>2021</c:v>
                  </c:pt>
                  <c:pt idx="2">
                    <c:v>2022</c:v>
                  </c:pt>
                  <c:pt idx="3">
                    <c:v>2021</c:v>
                  </c:pt>
                </c:lvl>
                <c:lvl>
                  <c:pt idx="0">
                    <c:v>Sainsbury Plc </c:v>
                  </c:pt>
                  <c:pt idx="2">
                    <c:v>Tesco Plc </c:v>
                  </c:pt>
                </c:lvl>
              </c:multiLvlStrCache>
            </c:multiLvlStrRef>
          </c:cat>
          <c:val>
            <c:numRef>
              <c:f>Sheet1!$B$7:$E$7</c:f>
              <c:numCache>
                <c:formatCode>0%</c:formatCode>
                <c:ptCount val="4"/>
                <c:pt idx="0">
                  <c:v>2.2645927412610803E-2</c:v>
                </c:pt>
                <c:pt idx="1">
                  <c:v>-6.9195813825392452E-3</c:v>
                </c:pt>
                <c:pt idx="2">
                  <c:v>2.4175143453312467E-2</c:v>
                </c:pt>
                <c:pt idx="3">
                  <c:v>0.10292466356867691</c:v>
                </c:pt>
              </c:numCache>
            </c:numRef>
          </c:val>
        </c:ser>
        <c:dLbls>
          <c:dLblPos val="outEnd"/>
          <c:showLegendKey val="0"/>
          <c:showVal val="1"/>
          <c:showCatName val="0"/>
          <c:showSerName val="0"/>
          <c:showPercent val="0"/>
          <c:showBubbleSize val="0"/>
        </c:dLbls>
        <c:gapWidth val="267"/>
        <c:overlap val="-43"/>
        <c:axId val="360568536"/>
        <c:axId val="360556776"/>
      </c:barChart>
      <c:catAx>
        <c:axId val="360568536"/>
        <c:scaling>
          <c:orientation val="minMax"/>
        </c:scaling>
        <c:delete val="0"/>
        <c:axPos val="b"/>
        <c:majorGridlines>
          <c:spPr>
            <a:ln w="9525">
              <a:solidFill>
                <a:schemeClr val="dk1">
                  <a:lumMod val="15000"/>
                  <a:lumOff val="85000"/>
                </a:schemeClr>
              </a:solidFill>
              <a:round/>
            </a:ln>
            <a:effectLst/>
          </c:spPr>
        </c:majorGridlines>
        <c:numFmt formatCode="General" sourceLinked="1"/>
        <c:majorTickMark val="none"/>
        <c:minorTickMark val="none"/>
        <c:tickLblPos val="nextTo"/>
        <c:spPr>
          <a:noFill/>
          <a:ln w="9525">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60556776"/>
        <c:crosses val="autoZero"/>
        <c:auto val="1"/>
        <c:lblAlgn val="ctr"/>
        <c:lblOffset val="100"/>
        <c:noMultiLvlLbl val="0"/>
      </c:catAx>
      <c:valAx>
        <c:axId val="360556776"/>
        <c:scaling>
          <c:orientation val="minMax"/>
        </c:scaling>
        <c:delete val="0"/>
        <c:axPos val="l"/>
        <c:majorGridlines>
          <c:spPr>
            <a:ln w="9525">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0568536"/>
        <c:crosses val="autoZero"/>
        <c:crossBetween val="between"/>
      </c:valAx>
      <c:dTable>
        <c:showHorzBorder val="1"/>
        <c:showVertBorder val="1"/>
        <c:showOutline val="1"/>
        <c:showKeys val="1"/>
        <c:spPr>
          <a:noFill/>
          <a:ln w="9525">
            <a:solidFill>
              <a:schemeClr val="dk1">
                <a:lumMod val="15000"/>
                <a:lumOff val="85000"/>
              </a:schemeClr>
            </a:solidFill>
            <a:round/>
          </a:ln>
          <a:effectLst/>
        </c:spPr>
        <c:txPr>
          <a:bodyPr rot="0" spcFirstLastPara="1" vertOverflow="ellipsis" vert="horz" wrap="square" anchor="ctr" anchorCtr="1"/>
          <a:lstStyle/>
          <a:p>
            <a:pPr>
              <a:defRPr sz="800" b="0" i="0" u="none" strike="noStrike" kern="1200" baseline="0">
                <a:solidFill>
                  <a:schemeClr val="dk1">
                    <a:lumMod val="65000"/>
                    <a:lumOff val="35000"/>
                  </a:schemeClr>
                </a:solidFill>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Return on assets (ROA)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Sheet1!$A$11</c:f>
              <c:strCache>
                <c:ptCount val="1"/>
                <c:pt idx="0">
                  <c:v>Return on assets (ROA) </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multiLvlStrRef>
              <c:f>Sheet1!$B$3:$E$4</c:f>
              <c:multiLvlStrCache>
                <c:ptCount val="4"/>
                <c:lvl>
                  <c:pt idx="0">
                    <c:v>2022</c:v>
                  </c:pt>
                  <c:pt idx="1">
                    <c:v>2021</c:v>
                  </c:pt>
                  <c:pt idx="2">
                    <c:v>2022</c:v>
                  </c:pt>
                  <c:pt idx="3">
                    <c:v>2021</c:v>
                  </c:pt>
                </c:lvl>
                <c:lvl>
                  <c:pt idx="0">
                    <c:v>Sainsbury Plc </c:v>
                  </c:pt>
                  <c:pt idx="2">
                    <c:v>Tesco Plc </c:v>
                  </c:pt>
                </c:lvl>
              </c:multiLvlStrCache>
            </c:multiLvlStrRef>
          </c:cat>
          <c:val>
            <c:numRef>
              <c:f>Sheet1!$B$11:$E$11</c:f>
              <c:numCache>
                <c:formatCode>0.00</c:formatCode>
                <c:ptCount val="4"/>
                <c:pt idx="0">
                  <c:v>2.5156064209274673E-2</c:v>
                </c:pt>
                <c:pt idx="1">
                  <c:v>-7.9572446555819486E-3</c:v>
                </c:pt>
                <c:pt idx="2">
                  <c:v>0.12166707687259004</c:v>
                </c:pt>
                <c:pt idx="3">
                  <c:v>0.55130933654113079</c:v>
                </c:pt>
              </c:numCache>
            </c:numRef>
          </c:val>
          <c:smooth val="0"/>
        </c:ser>
        <c:dLbls>
          <c:dLblPos val="t"/>
          <c:showLegendKey val="0"/>
          <c:showVal val="1"/>
          <c:showCatName val="0"/>
          <c:showSerName val="0"/>
          <c:showPercent val="0"/>
          <c:showBubbleSize val="0"/>
        </c:dLbls>
        <c:smooth val="0"/>
        <c:axId val="360563048"/>
        <c:axId val="360561872"/>
      </c:lineChart>
      <c:catAx>
        <c:axId val="360563048"/>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61872"/>
        <c:crosses val="autoZero"/>
        <c:auto val="1"/>
        <c:lblAlgn val="ctr"/>
        <c:lblOffset val="100"/>
        <c:noMultiLvlLbl val="0"/>
      </c:catAx>
      <c:valAx>
        <c:axId val="360561872"/>
        <c:scaling>
          <c:orientation val="minMax"/>
        </c:scaling>
        <c:delete val="0"/>
        <c:axPos val="l"/>
        <c:majorGridlines>
          <c:spPr>
            <a:ln w="9525">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63048"/>
        <c:crosses val="autoZero"/>
        <c:crossBetween val="between"/>
      </c:valAx>
      <c:dTable>
        <c:showHorzBorder val="1"/>
        <c:showVertBorder val="1"/>
        <c:showOutline val="1"/>
        <c:showKeys val="1"/>
        <c:spPr>
          <a:noFill/>
          <a:ln w="9525">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Sheet1!$A$15</c:f>
              <c:strCache>
                <c:ptCount val="1"/>
                <c:pt idx="0">
                  <c:v>Return on equity (ROE)</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Sheet1!$B$3:$E$4</c:f>
              <c:multiLvlStrCache>
                <c:ptCount val="4"/>
                <c:lvl>
                  <c:pt idx="0">
                    <c:v>2022</c:v>
                  </c:pt>
                  <c:pt idx="1">
                    <c:v>2021</c:v>
                  </c:pt>
                  <c:pt idx="2">
                    <c:v>2022</c:v>
                  </c:pt>
                  <c:pt idx="3">
                    <c:v>2021</c:v>
                  </c:pt>
                </c:lvl>
                <c:lvl>
                  <c:pt idx="0">
                    <c:v>Sainsbury Plc </c:v>
                  </c:pt>
                  <c:pt idx="2">
                    <c:v>Tesco Plc </c:v>
                  </c:pt>
                </c:lvl>
              </c:multiLvlStrCache>
            </c:multiLvlStrRef>
          </c:cat>
          <c:val>
            <c:numRef>
              <c:f>Sheet1!$B$15:$E$15</c:f>
              <c:numCache>
                <c:formatCode>0.00</c:formatCode>
                <c:ptCount val="4"/>
                <c:pt idx="0">
                  <c:v>8.0375163243499942E-2</c:v>
                </c:pt>
                <c:pt idx="1">
                  <c:v>-2.999552305626026E-2</c:v>
                </c:pt>
                <c:pt idx="2">
                  <c:v>9.4796727179749421E-2</c:v>
                </c:pt>
                <c:pt idx="3">
                  <c:v>0.49407081847582718</c:v>
                </c:pt>
              </c:numCache>
            </c:numRef>
          </c:val>
        </c:ser>
        <c:dLbls>
          <c:dLblPos val="outEnd"/>
          <c:showLegendKey val="0"/>
          <c:showVal val="1"/>
          <c:showCatName val="0"/>
          <c:showSerName val="0"/>
          <c:showPercent val="0"/>
          <c:showBubbleSize val="0"/>
        </c:dLbls>
        <c:gapWidth val="164"/>
        <c:overlap val="-22"/>
        <c:axId val="360566576"/>
        <c:axId val="360559912"/>
      </c:barChart>
      <c:catAx>
        <c:axId val="360566576"/>
        <c:scaling>
          <c:orientation val="minMax"/>
        </c:scaling>
        <c:delete val="0"/>
        <c:axPos val="b"/>
        <c:numFmt formatCode="General" sourceLinked="1"/>
        <c:majorTickMark val="none"/>
        <c:minorTickMark val="none"/>
        <c:tickLblPos val="nextTo"/>
        <c:spPr>
          <a:noFill/>
          <a:ln w="19050">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59912"/>
        <c:crosses val="autoZero"/>
        <c:auto val="1"/>
        <c:lblAlgn val="ctr"/>
        <c:lblOffset val="100"/>
        <c:noMultiLvlLbl val="0"/>
      </c:catAx>
      <c:valAx>
        <c:axId val="360559912"/>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566576"/>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solidFill>
                  <a:sysClr val="windowText" lastClr="000000"/>
                </a:solidFill>
              </a:rPr>
              <a:t>Current ratio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Sheet1!$H$7</c:f>
              <c:strCache>
                <c:ptCount val="1"/>
                <c:pt idx="0">
                  <c:v>Current ratio </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Sheet1!$I$3:$L$4</c:f>
              <c:multiLvlStrCache>
                <c:ptCount val="4"/>
                <c:lvl>
                  <c:pt idx="0">
                    <c:v>2022</c:v>
                  </c:pt>
                  <c:pt idx="1">
                    <c:v>2021</c:v>
                  </c:pt>
                  <c:pt idx="2">
                    <c:v>2022</c:v>
                  </c:pt>
                  <c:pt idx="3">
                    <c:v>2021</c:v>
                  </c:pt>
                </c:lvl>
                <c:lvl>
                  <c:pt idx="0">
                    <c:v>Sainsbury Plc </c:v>
                  </c:pt>
                  <c:pt idx="2">
                    <c:v>Tesco Plc </c:v>
                  </c:pt>
                </c:lvl>
              </c:multiLvlStrCache>
            </c:multiLvlStrRef>
          </c:cat>
          <c:val>
            <c:numRef>
              <c:f>Sheet1!$I$7:$L$7</c:f>
              <c:numCache>
                <c:formatCode>0.00</c:formatCode>
                <c:ptCount val="4"/>
                <c:pt idx="0">
                  <c:v>0.68321848398865015</c:v>
                </c:pt>
                <c:pt idx="1">
                  <c:v>0.60419308479161382</c:v>
                </c:pt>
                <c:pt idx="2">
                  <c:v>0.73308527131782941</c:v>
                </c:pt>
                <c:pt idx="3">
                  <c:v>0.64894090706698049</c:v>
                </c:pt>
              </c:numCache>
            </c:numRef>
          </c:val>
        </c:ser>
        <c:dLbls>
          <c:dLblPos val="inEnd"/>
          <c:showLegendKey val="0"/>
          <c:showVal val="1"/>
          <c:showCatName val="0"/>
          <c:showSerName val="0"/>
          <c:showPercent val="0"/>
          <c:showBubbleSize val="0"/>
        </c:dLbls>
        <c:gapWidth val="115"/>
        <c:overlap val="-20"/>
        <c:axId val="360572064"/>
        <c:axId val="360571672"/>
      </c:barChart>
      <c:catAx>
        <c:axId val="360572064"/>
        <c:scaling>
          <c:orientation val="minMax"/>
        </c:scaling>
        <c:delete val="0"/>
        <c:axPos val="l"/>
        <c:numFmt formatCode="General" sourceLinked="1"/>
        <c:majorTickMark val="none"/>
        <c:minorTickMark val="none"/>
        <c:tickLblPos val="nextTo"/>
        <c:spPr>
          <a:noFill/>
          <a:ln w="12700">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0571672"/>
        <c:crosses val="autoZero"/>
        <c:auto val="1"/>
        <c:lblAlgn val="ctr"/>
        <c:lblOffset val="100"/>
        <c:noMultiLvlLbl val="0"/>
      </c:catAx>
      <c:valAx>
        <c:axId val="360571672"/>
        <c:scaling>
          <c:orientation val="minMax"/>
        </c:scaling>
        <c:delete val="0"/>
        <c:axPos val="b"/>
        <c:majorGridlines>
          <c:spPr>
            <a:ln w="9525">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0572064"/>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showDLblsOverMax val="0"/>
  </c:chart>
  <c:spPr>
    <a:gradFill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Quick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Sheet1!$H$13</c:f>
              <c:strCache>
                <c:ptCount val="1"/>
                <c:pt idx="0">
                  <c:v>Quick ratio </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multiLvlStrRef>
              <c:f>Sheet1!$I$3:$L$4</c:f>
              <c:multiLvlStrCache>
                <c:ptCount val="4"/>
                <c:lvl>
                  <c:pt idx="0">
                    <c:v>2022</c:v>
                  </c:pt>
                  <c:pt idx="1">
                    <c:v>2021</c:v>
                  </c:pt>
                  <c:pt idx="2">
                    <c:v>2022</c:v>
                  </c:pt>
                  <c:pt idx="3">
                    <c:v>2021</c:v>
                  </c:pt>
                </c:lvl>
                <c:lvl>
                  <c:pt idx="0">
                    <c:v>Sainsbury Plc </c:v>
                  </c:pt>
                  <c:pt idx="2">
                    <c:v>Tesco Plc </c:v>
                  </c:pt>
                </c:lvl>
              </c:multiLvlStrCache>
            </c:multiLvlStrRef>
          </c:cat>
          <c:val>
            <c:numRef>
              <c:f>Sheet1!$I$13:$L$13</c:f>
              <c:numCache>
                <c:formatCode>0.00</c:formatCode>
                <c:ptCount val="4"/>
                <c:pt idx="0">
                  <c:v>0.50111471422780707</c:v>
                </c:pt>
                <c:pt idx="1">
                  <c:v>0.46681883506636235</c:v>
                </c:pt>
                <c:pt idx="2">
                  <c:v>0.58803100775193795</c:v>
                </c:pt>
                <c:pt idx="3">
                  <c:v>0.5173335029578271</c:v>
                </c:pt>
              </c:numCache>
            </c:numRef>
          </c:val>
        </c:ser>
        <c:dLbls>
          <c:dLblPos val="inEnd"/>
          <c:showLegendKey val="0"/>
          <c:showVal val="1"/>
          <c:showCatName val="0"/>
          <c:showSerName val="0"/>
          <c:showPercent val="0"/>
          <c:showBubbleSize val="0"/>
        </c:dLbls>
        <c:gapWidth val="219"/>
        <c:overlap val="-27"/>
        <c:axId val="358921560"/>
        <c:axId val="361345464"/>
      </c:barChart>
      <c:catAx>
        <c:axId val="358921560"/>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345464"/>
        <c:crosses val="autoZero"/>
        <c:auto val="1"/>
        <c:lblAlgn val="ctr"/>
        <c:lblOffset val="100"/>
        <c:noMultiLvlLbl val="0"/>
      </c:catAx>
      <c:valAx>
        <c:axId val="361345464"/>
        <c:scaling>
          <c:orientation val="minMax"/>
        </c:scaling>
        <c:delete val="0"/>
        <c:axPos val="l"/>
        <c:majorGridlines>
          <c:spPr>
            <a:ln w="9525">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921560"/>
        <c:crosses val="autoZero"/>
        <c:crossBetween val="between"/>
      </c:valAx>
      <c:dTable>
        <c:showHorzBorder val="1"/>
        <c:showVertBorder val="1"/>
        <c:showOutline val="1"/>
        <c:showKeys val="1"/>
        <c:spPr>
          <a:noFill/>
          <a:ln w="9525">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solidFill>
                  <a:sysClr val="windowText" lastClr="000000"/>
                </a:solidFill>
              </a:rPr>
              <a:t>Cash ratio </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Sheet1!$H$17</c:f>
              <c:strCache>
                <c:ptCount val="1"/>
                <c:pt idx="0">
                  <c:v>Cash ratio </c:v>
                </c:pt>
              </c:strCache>
            </c:strRef>
          </c:tx>
          <c:spPr>
            <a:ln w="34925" cap="rnd">
              <a:solidFill>
                <a:schemeClr val="lt1"/>
              </a:solidFill>
              <a:round/>
            </a:ln>
            <a:effectLst>
              <a:outerShdw dist="25400" dir="2700000" algn="tl" rotWithShape="0">
                <a:schemeClr val="accent1"/>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multiLvlStrRef>
              <c:f>Sheet1!$I$3:$L$4</c:f>
              <c:multiLvlStrCache>
                <c:ptCount val="4"/>
                <c:lvl>
                  <c:pt idx="0">
                    <c:v>2022</c:v>
                  </c:pt>
                  <c:pt idx="1">
                    <c:v>2021</c:v>
                  </c:pt>
                  <c:pt idx="2">
                    <c:v>2022</c:v>
                  </c:pt>
                  <c:pt idx="3">
                    <c:v>2021</c:v>
                  </c:pt>
                </c:lvl>
                <c:lvl>
                  <c:pt idx="0">
                    <c:v>Sainsbury Plc </c:v>
                  </c:pt>
                  <c:pt idx="2">
                    <c:v>Tesco Plc </c:v>
                  </c:pt>
                </c:lvl>
              </c:multiLvlStrCache>
            </c:multiLvlStrRef>
          </c:cat>
          <c:val>
            <c:numRef>
              <c:f>Sheet1!$I$17:$L$17</c:f>
              <c:numCache>
                <c:formatCode>0.00</c:formatCode>
                <c:ptCount val="4"/>
                <c:pt idx="0">
                  <c:v>8.3603567085528976E-2</c:v>
                </c:pt>
                <c:pt idx="1">
                  <c:v>0.13314734973370529</c:v>
                </c:pt>
                <c:pt idx="2">
                  <c:v>0.14542635658914729</c:v>
                </c:pt>
                <c:pt idx="3">
                  <c:v>0.15965905476750844</c:v>
                </c:pt>
              </c:numCache>
            </c:numRef>
          </c:val>
          <c:smooth val="0"/>
        </c:ser>
        <c:dLbls>
          <c:dLblPos val="ctr"/>
          <c:showLegendKey val="0"/>
          <c:showVal val="1"/>
          <c:showCatName val="0"/>
          <c:showSerName val="0"/>
          <c:showPercent val="0"/>
          <c:showBubbleSize val="0"/>
        </c:dLbls>
        <c:dropLines>
          <c:spPr>
            <a:ln w="9525">
              <a:gradFill rotWithShape="1">
                <a:gsLst>
                  <a:gs pos="0">
                    <a:schemeClr val="lt1"/>
                  </a:gs>
                  <a:gs pos="100000">
                    <a:schemeClr val="lt1">
                      <a:alpha val="0"/>
                    </a:schemeClr>
                  </a:gs>
                </a:gsLst>
                <a:lin ang="5400000" scaled="0"/>
              </a:gradFill>
              <a:round/>
            </a:ln>
            <a:effectLst/>
          </c:spPr>
        </c:dropLines>
        <c:smooth val="0"/>
        <c:axId val="359812720"/>
        <c:axId val="359808800"/>
      </c:lineChart>
      <c:catAx>
        <c:axId val="359812720"/>
        <c:scaling>
          <c:orientation val="minMax"/>
        </c:scaling>
        <c:delete val="0"/>
        <c:axPos val="b"/>
        <c:numFmt formatCode="General" sourceLinked="1"/>
        <c:majorTickMark val="none"/>
        <c:minorTickMark val="none"/>
        <c:tickLblPos val="nextTo"/>
        <c:spPr>
          <a:noFill/>
          <a:ln w="12700">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359808800"/>
        <c:crosses val="autoZero"/>
        <c:auto val="1"/>
        <c:lblAlgn val="ctr"/>
        <c:lblOffset val="100"/>
        <c:noMultiLvlLbl val="0"/>
      </c:catAx>
      <c:valAx>
        <c:axId val="359808800"/>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359812720"/>
        <c:crosses val="autoZero"/>
        <c:crossBetween val="between"/>
      </c:valAx>
      <c:dTable>
        <c:showHorzBorder val="1"/>
        <c:showVertBorder val="1"/>
        <c:showOutline val="1"/>
        <c:showKeys val="1"/>
        <c:spPr>
          <a:noFill/>
          <a:ln w="9525">
            <a:solidFill>
              <a:schemeClr val="accent1">
                <a:lumMod val="60000"/>
                <a:lumOff val="40000"/>
              </a:schemeClr>
            </a:solid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dTable>
      <c:spPr>
        <a:noFill/>
        <a:ln>
          <a:noFill/>
        </a:ln>
        <a:effectLst/>
      </c:spPr>
    </c:plotArea>
    <c:plotVisOnly val="1"/>
    <c:dispBlanksAs val="gap"/>
    <c:showDLblsOverMax val="0"/>
  </c:chart>
  <c:spPr>
    <a:solidFill>
      <a:schemeClr val="accent1"/>
    </a:solidFill>
    <a:ln w="9525">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7">
  <a:schemeClr val="accent4"/>
</cs:colorStyle>
</file>

<file path=word/charts/colors4.xml><?xml version="1.0" encoding="utf-8"?>
<cs:colorStyle xmlns:cs="http://schemas.microsoft.com/office/drawing/2012/chartStyle" xmlns:a="http://schemas.openxmlformats.org/drawingml/2006/main" meth="withinLinear" id="18">
  <a:schemeClr val="accent5"/>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round/>
      </a:ln>
    </cs:spPr>
  </cs:downBar>
  <cs:dropLine>
    <cs:lnRef idx="0"/>
    <cs:fillRef idx="0"/>
    <cs:effectRef idx="0"/>
    <cs:fontRef idx="minor">
      <a:schemeClr val="dk1"/>
    </cs:fontRef>
    <cs:spPr>
      <a:ln w="9525">
        <a:solidFill>
          <a:schemeClr val="dk1">
            <a:lumMod val="35000"/>
            <a:lumOff val="65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a:solidFill>
          <a:schemeClr val="dk1">
            <a:lumMod val="15000"/>
            <a:lumOff val="85000"/>
          </a:schemeClr>
        </a:solidFill>
        <a:round/>
      </a:ln>
    </cs:spPr>
  </cs:gridlineMajor>
  <cs:gridlineMinor>
    <cs:lnRef idx="0"/>
    <cs:fillRef idx="0"/>
    <cs:effectRef idx="0"/>
    <cs:fontRef idx="minor">
      <a:schemeClr val="dk1"/>
    </cs:fontRef>
    <cs:spPr>
      <a:ln w="9525">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round/>
      </a:ln>
    </cs:spPr>
  </cs:hiLoLine>
  <cs:leaderLine>
    <cs:lnRef idx="0"/>
    <cs:fillRef idx="0"/>
    <cs:effectRef idx="0"/>
    <cs:fontRef idx="minor">
      <a:schemeClr val="dk1"/>
    </cs:fontRef>
    <cs:spPr>
      <a:ln w="9525">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a:solidFill>
          <a:schemeClr val="lt1">
            <a:lumMod val="95000"/>
            <a:alpha val="54000"/>
          </a:schemeClr>
        </a:solidFill>
        <a:round/>
      </a:ln>
    </cs:spPr>
    <cs:defRPr sz="900" kern="1200"/>
  </cs:categoryAxis>
  <cs:chartArea>
    <cs:lnRef idx="0"/>
    <cs:fillRef idx="0"/>
    <cs:effectRef idx="0"/>
    <cs:fontRef idx="minor">
      <a:schemeClr val="dk1"/>
    </cs:fontRef>
    <cs:spPr>
      <a:gradFill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a:solidFill>
          <a:schemeClr val="lt1">
            <a:lumMod val="95000"/>
            <a:alpha val="54000"/>
          </a:schemeClr>
        </a:solidFill>
        <a:round/>
      </a:ln>
    </cs:spPr>
    <cs:defRPr sz="900" kern="1200"/>
  </cs:seriesAxis>
  <cs:seriesLine>
    <cs:lnRef idx="0"/>
    <cs:fillRef idx="0"/>
    <cs:effectRef idx="0"/>
    <cs:fontRef idx="minor">
      <a:schemeClr val="lt1"/>
    </cs:fontRef>
    <cs:spPr>
      <a:ln w="9525">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a:gradFill rotWithShape="1">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66591-C16A-42C0-AAAD-A650E714A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4818</Words>
  <Characters>27468</Characters>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2023-04-15T13:17:00Z</dcterms:created>
  <dcterms:modified xsi:type="dcterms:W3CDTF">2023-04-15T13:17:00Z</dcterms:modified>
</cp:coreProperties>
</file>