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66" w:rsidRPr="00BB2653" w:rsidRDefault="000E6666" w:rsidP="00754265">
      <w:pPr>
        <w:pStyle w:val="normal0"/>
        <w:rPr>
          <w:b/>
          <w:sz w:val="32"/>
          <w:szCs w:val="32"/>
          <w:lang w:val="en-GB"/>
        </w:rPr>
      </w:pPr>
    </w:p>
    <w:p w:rsidR="000E6666" w:rsidRPr="00BB2653" w:rsidRDefault="000E6666" w:rsidP="00754265">
      <w:pPr>
        <w:pStyle w:val="normal0"/>
        <w:jc w:val="center"/>
        <w:rPr>
          <w:b/>
          <w:sz w:val="32"/>
          <w:szCs w:val="32"/>
          <w:lang w:val="en-GB"/>
        </w:rPr>
      </w:pPr>
    </w:p>
    <w:p w:rsidR="000E6666" w:rsidRPr="00BB2653" w:rsidRDefault="000E6666" w:rsidP="00754265">
      <w:pPr>
        <w:pStyle w:val="normal0"/>
        <w:jc w:val="center"/>
        <w:rPr>
          <w:b/>
          <w:sz w:val="32"/>
          <w:szCs w:val="32"/>
          <w:lang w:val="en-GB"/>
        </w:rPr>
      </w:pPr>
    </w:p>
    <w:p w:rsidR="000E6666" w:rsidRPr="00BB2653" w:rsidRDefault="000E6666" w:rsidP="00754265">
      <w:pPr>
        <w:pStyle w:val="normal0"/>
        <w:jc w:val="center"/>
        <w:rPr>
          <w:b/>
          <w:sz w:val="32"/>
          <w:szCs w:val="32"/>
          <w:lang w:val="en-GB"/>
        </w:rPr>
      </w:pPr>
    </w:p>
    <w:p w:rsidR="007E0D2F" w:rsidRPr="00BB2653" w:rsidRDefault="007E0D2F" w:rsidP="00754265">
      <w:pPr>
        <w:pStyle w:val="normal0"/>
        <w:jc w:val="center"/>
        <w:rPr>
          <w:b/>
          <w:sz w:val="32"/>
          <w:szCs w:val="32"/>
          <w:lang w:val="en-GB"/>
        </w:rPr>
      </w:pPr>
      <w:r w:rsidRPr="00BB2653">
        <w:rPr>
          <w:b/>
          <w:sz w:val="32"/>
          <w:szCs w:val="32"/>
          <w:lang w:val="en-GB"/>
        </w:rPr>
        <w:t>MBB7008M</w:t>
      </w:r>
    </w:p>
    <w:p w:rsidR="007E0D2F" w:rsidRPr="00BB2653" w:rsidRDefault="007E0D2F" w:rsidP="00754265">
      <w:pPr>
        <w:pStyle w:val="normal0"/>
        <w:jc w:val="center"/>
        <w:rPr>
          <w:b/>
          <w:sz w:val="32"/>
          <w:szCs w:val="32"/>
          <w:lang w:val="en-GB"/>
        </w:rPr>
      </w:pPr>
    </w:p>
    <w:p w:rsidR="00640E3C" w:rsidRPr="00BB2653" w:rsidRDefault="007E0D2F" w:rsidP="00754265">
      <w:pPr>
        <w:pStyle w:val="normal0"/>
        <w:jc w:val="center"/>
        <w:rPr>
          <w:b/>
          <w:sz w:val="32"/>
          <w:szCs w:val="32"/>
          <w:lang w:val="en-GB"/>
        </w:rPr>
      </w:pPr>
      <w:r w:rsidRPr="00BB2653">
        <w:rPr>
          <w:b/>
          <w:sz w:val="32"/>
          <w:szCs w:val="32"/>
          <w:lang w:val="en-GB"/>
        </w:rPr>
        <w:t xml:space="preserve">ACCOUNTING AND FINANCE FOR </w:t>
      </w:r>
      <w:r w:rsidR="001A5FC5" w:rsidRPr="00BB2653">
        <w:rPr>
          <w:b/>
          <w:sz w:val="32"/>
          <w:szCs w:val="32"/>
          <w:lang w:val="en-GB"/>
        </w:rPr>
        <w:t>DECISION MAKING</w:t>
      </w:r>
    </w:p>
    <w:p w:rsidR="007E0D2F" w:rsidRPr="00BB2653" w:rsidRDefault="007E0D2F" w:rsidP="00754265">
      <w:pPr>
        <w:pStyle w:val="normal0"/>
        <w:jc w:val="center"/>
        <w:rPr>
          <w:b/>
          <w:sz w:val="32"/>
          <w:szCs w:val="32"/>
          <w:lang w:val="en-GB"/>
        </w:rPr>
      </w:pPr>
      <w:r w:rsidRPr="00BB2653">
        <w:rPr>
          <w:b/>
          <w:sz w:val="32"/>
          <w:szCs w:val="32"/>
          <w:lang w:val="en-GB"/>
        </w:rPr>
        <w:t>Business Report based on Case Study</w:t>
      </w:r>
    </w:p>
    <w:p w:rsidR="000E6666" w:rsidRPr="00BB2653" w:rsidRDefault="001A5FC5" w:rsidP="00754265">
      <w:pPr>
        <w:pStyle w:val="normal0"/>
        <w:jc w:val="center"/>
        <w:rPr>
          <w:b/>
          <w:sz w:val="32"/>
          <w:szCs w:val="32"/>
          <w:lang w:val="en-GB"/>
        </w:rPr>
      </w:pPr>
      <w:r w:rsidRPr="00BB2653">
        <w:rPr>
          <w:lang w:val="en-GB"/>
        </w:rPr>
        <w:br w:type="page"/>
      </w:r>
    </w:p>
    <w:p w:rsidR="000E6666" w:rsidRPr="00BB2653" w:rsidRDefault="001A5FC5" w:rsidP="00754265">
      <w:pPr>
        <w:pStyle w:val="Heading1"/>
        <w:spacing w:before="200" w:after="200"/>
        <w:jc w:val="center"/>
        <w:rPr>
          <w:lang w:val="en-GB"/>
        </w:rPr>
      </w:pPr>
      <w:bookmarkStart w:id="0" w:name="_k3or57wy2rwd" w:colFirst="0" w:colLast="0"/>
      <w:bookmarkStart w:id="1" w:name="_Toc133515604"/>
      <w:bookmarkStart w:id="2" w:name="_Toc133581951"/>
      <w:bookmarkEnd w:id="0"/>
      <w:r w:rsidRPr="00BB2653">
        <w:rPr>
          <w:lang w:val="en-GB"/>
        </w:rPr>
        <w:lastRenderedPageBreak/>
        <w:t>Executive Summary</w:t>
      </w:r>
      <w:bookmarkEnd w:id="1"/>
      <w:bookmarkEnd w:id="2"/>
    </w:p>
    <w:p w:rsidR="007E0D2F" w:rsidRPr="00BB2653" w:rsidRDefault="001A5FC5" w:rsidP="00754265">
      <w:pPr>
        <w:pStyle w:val="normal0"/>
        <w:rPr>
          <w:lang w:val="en-GB"/>
        </w:rPr>
      </w:pPr>
      <w:r w:rsidRPr="00BB2653">
        <w:rPr>
          <w:lang w:val="en-GB"/>
        </w:rPr>
        <w:t>Hyundai is an automotive manufacturing company whose headquarters is in Seoul, South Korea. The company was founded in 1967 in South Korea by Chung Ju-Yung. National Pension Service, Hyundai Mobis and Chung Mong-koo are a few of the equity holders of the company. Hyundai is currently operating in many countries across the world selling and manufacturing automobiles.</w:t>
      </w:r>
      <w:r w:rsidR="00640E3C" w:rsidRPr="00BB2653">
        <w:rPr>
          <w:lang w:val="en-GB"/>
        </w:rPr>
        <w:t xml:space="preserve"> </w:t>
      </w:r>
      <w:r w:rsidRPr="00BB2653">
        <w:rPr>
          <w:lang w:val="en-GB"/>
        </w:rPr>
        <w:t xml:space="preserve">The main purpose of the report is to know about the potential investment opportunity in the new machinery to make the process more effective after Covid-19. </w:t>
      </w:r>
    </w:p>
    <w:p w:rsidR="000E6666" w:rsidRPr="00BB2653" w:rsidRDefault="001A5FC5" w:rsidP="00754265">
      <w:pPr>
        <w:pStyle w:val="normal0"/>
        <w:rPr>
          <w:lang w:val="en-GB"/>
        </w:rPr>
      </w:pPr>
      <w:r w:rsidRPr="00BB2653">
        <w:rPr>
          <w:lang w:val="en-GB"/>
        </w:rPr>
        <w:t>The potential opportunity for business risk and growth can be acquired by this report. This report is conducted in order to know about the investment risks while expanding the types of machinery.</w:t>
      </w:r>
      <w:r w:rsidR="00640E3C" w:rsidRPr="00BB2653">
        <w:rPr>
          <w:lang w:val="en-GB"/>
        </w:rPr>
        <w:t xml:space="preserve"> </w:t>
      </w:r>
      <w:r w:rsidRPr="00BB2653">
        <w:rPr>
          <w:lang w:val="en-GB"/>
        </w:rPr>
        <w:t>From the evaluation, analysis and discussion it can be concluded that the company is in not a state to invest in the new machinery. The financial performance of the company does not approve of the idea of investing at this point.</w:t>
      </w:r>
      <w:r w:rsidR="00640E3C" w:rsidRPr="00BB2653">
        <w:rPr>
          <w:lang w:val="en-GB"/>
        </w:rPr>
        <w:t xml:space="preserve"> </w:t>
      </w:r>
      <w:r w:rsidRPr="00BB2653">
        <w:rPr>
          <w:lang w:val="en-GB"/>
        </w:rPr>
        <w:t xml:space="preserve">In case the company wants to invest in the machinery, it should make clear data on how to invest as the rate of return or the payback period should be shorter in calculation. The company should expand its business more in the target countries so that it can invest in more machinery. </w:t>
      </w:r>
      <w:r w:rsidRPr="00BB2653">
        <w:rPr>
          <w:lang w:val="en-GB"/>
        </w:rPr>
        <w:br w:type="page"/>
      </w:r>
    </w:p>
    <w:p w:rsidR="000E6666" w:rsidRPr="00BB2653" w:rsidRDefault="001A5FC5" w:rsidP="00754265">
      <w:pPr>
        <w:pStyle w:val="normal0"/>
        <w:jc w:val="center"/>
        <w:rPr>
          <w:b/>
          <w:lang w:val="en-GB"/>
        </w:rPr>
      </w:pPr>
      <w:r w:rsidRPr="00BB2653">
        <w:rPr>
          <w:b/>
          <w:lang w:val="en-GB"/>
        </w:rPr>
        <w:lastRenderedPageBreak/>
        <w:t>Table of contents</w:t>
      </w:r>
    </w:p>
    <w:sdt>
      <w:sdtPr>
        <w:rPr>
          <w:rFonts w:ascii="Times New Roman" w:eastAsia="Times New Roman" w:hAnsi="Times New Roman" w:cs="Times New Roman"/>
          <w:b w:val="0"/>
          <w:bCs w:val="0"/>
          <w:color w:val="auto"/>
          <w:sz w:val="24"/>
          <w:szCs w:val="24"/>
          <w:lang w:val="en-GB"/>
        </w:rPr>
        <w:id w:val="31300306"/>
        <w:docPartObj>
          <w:docPartGallery w:val="Table of Contents"/>
          <w:docPartUnique/>
        </w:docPartObj>
      </w:sdtPr>
      <w:sdtContent>
        <w:p w:rsidR="001A5FC5" w:rsidRPr="00BB2653" w:rsidRDefault="001A5FC5" w:rsidP="00754265">
          <w:pPr>
            <w:pStyle w:val="TOCHeading"/>
            <w:spacing w:line="360" w:lineRule="auto"/>
            <w:rPr>
              <w:rFonts w:ascii="Times New Roman" w:hAnsi="Times New Roman" w:cs="Times New Roman"/>
              <w:color w:val="auto"/>
              <w:lang w:val="en-GB"/>
            </w:rPr>
          </w:pPr>
        </w:p>
        <w:p w:rsidR="00754265" w:rsidRDefault="00B926D1" w:rsidP="00754265">
          <w:pPr>
            <w:pStyle w:val="TOC1"/>
            <w:tabs>
              <w:tab w:val="right" w:leader="dot" w:pos="9019"/>
            </w:tabs>
            <w:rPr>
              <w:rFonts w:asciiTheme="minorHAnsi" w:eastAsiaTheme="minorEastAsia" w:hAnsiTheme="minorHAnsi" w:cstheme="minorBidi"/>
              <w:noProof/>
              <w:sz w:val="22"/>
              <w:szCs w:val="22"/>
            </w:rPr>
          </w:pPr>
          <w:r w:rsidRPr="00BB2653">
            <w:rPr>
              <w:lang w:val="en-GB"/>
            </w:rPr>
            <w:fldChar w:fldCharType="begin"/>
          </w:r>
          <w:r w:rsidR="001A5FC5" w:rsidRPr="00BB2653">
            <w:rPr>
              <w:lang w:val="en-GB"/>
            </w:rPr>
            <w:instrText xml:space="preserve"> TOC \o "1-3" \h \z \u </w:instrText>
          </w:r>
          <w:r w:rsidRPr="00BB2653">
            <w:rPr>
              <w:lang w:val="en-GB"/>
            </w:rPr>
            <w:fldChar w:fldCharType="separate"/>
          </w:r>
          <w:hyperlink w:anchor="_Toc133581951" w:history="1">
            <w:r w:rsidR="00754265" w:rsidRPr="002D324C">
              <w:rPr>
                <w:rStyle w:val="Hyperlink"/>
                <w:noProof/>
                <w:lang w:val="en-GB"/>
              </w:rPr>
              <w:t>Executive Summary</w:t>
            </w:r>
            <w:r w:rsidR="00754265">
              <w:rPr>
                <w:noProof/>
                <w:webHidden/>
              </w:rPr>
              <w:tab/>
            </w:r>
            <w:r w:rsidR="00754265">
              <w:rPr>
                <w:noProof/>
                <w:webHidden/>
              </w:rPr>
              <w:fldChar w:fldCharType="begin"/>
            </w:r>
            <w:r w:rsidR="00754265">
              <w:rPr>
                <w:noProof/>
                <w:webHidden/>
              </w:rPr>
              <w:instrText xml:space="preserve"> PAGEREF _Toc133581951 \h </w:instrText>
            </w:r>
            <w:r w:rsidR="00754265">
              <w:rPr>
                <w:noProof/>
                <w:webHidden/>
              </w:rPr>
            </w:r>
            <w:r w:rsidR="00754265">
              <w:rPr>
                <w:noProof/>
                <w:webHidden/>
              </w:rPr>
              <w:fldChar w:fldCharType="separate"/>
            </w:r>
            <w:r w:rsidR="00754265">
              <w:rPr>
                <w:noProof/>
                <w:webHidden/>
              </w:rPr>
              <w:t>2</w:t>
            </w:r>
            <w:r w:rsidR="00754265">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52" w:history="1">
            <w:r w:rsidRPr="002D324C">
              <w:rPr>
                <w:rStyle w:val="Hyperlink"/>
                <w:noProof/>
                <w:lang w:val="en-GB"/>
              </w:rPr>
              <w:t>Introduction</w:t>
            </w:r>
            <w:r>
              <w:rPr>
                <w:noProof/>
                <w:webHidden/>
              </w:rPr>
              <w:tab/>
            </w:r>
            <w:r>
              <w:rPr>
                <w:noProof/>
                <w:webHidden/>
              </w:rPr>
              <w:fldChar w:fldCharType="begin"/>
            </w:r>
            <w:r>
              <w:rPr>
                <w:noProof/>
                <w:webHidden/>
              </w:rPr>
              <w:instrText xml:space="preserve"> PAGEREF _Toc133581952 \h </w:instrText>
            </w:r>
            <w:r>
              <w:rPr>
                <w:noProof/>
                <w:webHidden/>
              </w:rPr>
            </w:r>
            <w:r>
              <w:rPr>
                <w:noProof/>
                <w:webHidden/>
              </w:rPr>
              <w:fldChar w:fldCharType="separate"/>
            </w:r>
            <w:r>
              <w:rPr>
                <w:noProof/>
                <w:webHidden/>
              </w:rPr>
              <w:t>4</w:t>
            </w:r>
            <w:r>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53" w:history="1">
            <w:r w:rsidRPr="002D324C">
              <w:rPr>
                <w:rStyle w:val="Hyperlink"/>
                <w:noProof/>
                <w:lang w:val="en-GB"/>
              </w:rPr>
              <w:t>Motivation of the proposed investment</w:t>
            </w:r>
            <w:r>
              <w:rPr>
                <w:noProof/>
                <w:webHidden/>
              </w:rPr>
              <w:tab/>
            </w:r>
            <w:r>
              <w:rPr>
                <w:noProof/>
                <w:webHidden/>
              </w:rPr>
              <w:fldChar w:fldCharType="begin"/>
            </w:r>
            <w:r>
              <w:rPr>
                <w:noProof/>
                <w:webHidden/>
              </w:rPr>
              <w:instrText xml:space="preserve"> PAGEREF _Toc133581953 \h </w:instrText>
            </w:r>
            <w:r>
              <w:rPr>
                <w:noProof/>
                <w:webHidden/>
              </w:rPr>
            </w:r>
            <w:r>
              <w:rPr>
                <w:noProof/>
                <w:webHidden/>
              </w:rPr>
              <w:fldChar w:fldCharType="separate"/>
            </w:r>
            <w:r>
              <w:rPr>
                <w:noProof/>
                <w:webHidden/>
              </w:rPr>
              <w:t>4</w:t>
            </w:r>
            <w:r>
              <w:rPr>
                <w:noProof/>
                <w:webHidden/>
              </w:rPr>
              <w:fldChar w:fldCharType="end"/>
            </w:r>
          </w:hyperlink>
        </w:p>
        <w:p w:rsidR="00754265" w:rsidRDefault="00754265" w:rsidP="00754265">
          <w:pPr>
            <w:pStyle w:val="TOC2"/>
            <w:tabs>
              <w:tab w:val="right" w:leader="dot" w:pos="9019"/>
            </w:tabs>
            <w:rPr>
              <w:rFonts w:asciiTheme="minorHAnsi" w:eastAsiaTheme="minorEastAsia" w:hAnsiTheme="minorHAnsi" w:cstheme="minorBidi"/>
              <w:noProof/>
              <w:sz w:val="22"/>
              <w:szCs w:val="22"/>
            </w:rPr>
          </w:pPr>
          <w:hyperlink w:anchor="_Toc133581954" w:history="1">
            <w:r w:rsidRPr="002D324C">
              <w:rPr>
                <w:rStyle w:val="Hyperlink"/>
                <w:noProof/>
                <w:lang w:val="en-GB"/>
              </w:rPr>
              <w:t>Purpose</w:t>
            </w:r>
            <w:r>
              <w:rPr>
                <w:noProof/>
                <w:webHidden/>
              </w:rPr>
              <w:tab/>
            </w:r>
            <w:r>
              <w:rPr>
                <w:noProof/>
                <w:webHidden/>
              </w:rPr>
              <w:fldChar w:fldCharType="begin"/>
            </w:r>
            <w:r>
              <w:rPr>
                <w:noProof/>
                <w:webHidden/>
              </w:rPr>
              <w:instrText xml:space="preserve"> PAGEREF _Toc133581954 \h </w:instrText>
            </w:r>
            <w:r>
              <w:rPr>
                <w:noProof/>
                <w:webHidden/>
              </w:rPr>
            </w:r>
            <w:r>
              <w:rPr>
                <w:noProof/>
                <w:webHidden/>
              </w:rPr>
              <w:fldChar w:fldCharType="separate"/>
            </w:r>
            <w:r>
              <w:rPr>
                <w:noProof/>
                <w:webHidden/>
              </w:rPr>
              <w:t>4</w:t>
            </w:r>
            <w:r>
              <w:rPr>
                <w:noProof/>
                <w:webHidden/>
              </w:rPr>
              <w:fldChar w:fldCharType="end"/>
            </w:r>
          </w:hyperlink>
        </w:p>
        <w:p w:rsidR="00754265" w:rsidRDefault="00754265" w:rsidP="00754265">
          <w:pPr>
            <w:pStyle w:val="TOC2"/>
            <w:tabs>
              <w:tab w:val="right" w:leader="dot" w:pos="9019"/>
            </w:tabs>
            <w:rPr>
              <w:rFonts w:asciiTheme="minorHAnsi" w:eastAsiaTheme="minorEastAsia" w:hAnsiTheme="minorHAnsi" w:cstheme="minorBidi"/>
              <w:noProof/>
              <w:sz w:val="22"/>
              <w:szCs w:val="22"/>
            </w:rPr>
          </w:pPr>
          <w:hyperlink w:anchor="_Toc133581955" w:history="1">
            <w:r w:rsidRPr="002D324C">
              <w:rPr>
                <w:rStyle w:val="Hyperlink"/>
                <w:noProof/>
                <w:lang w:val="en-GB"/>
              </w:rPr>
              <w:t>Process</w:t>
            </w:r>
            <w:r>
              <w:rPr>
                <w:noProof/>
                <w:webHidden/>
              </w:rPr>
              <w:tab/>
            </w:r>
            <w:r>
              <w:rPr>
                <w:noProof/>
                <w:webHidden/>
              </w:rPr>
              <w:fldChar w:fldCharType="begin"/>
            </w:r>
            <w:r>
              <w:rPr>
                <w:noProof/>
                <w:webHidden/>
              </w:rPr>
              <w:instrText xml:space="preserve"> PAGEREF _Toc133581955 \h </w:instrText>
            </w:r>
            <w:r>
              <w:rPr>
                <w:noProof/>
                <w:webHidden/>
              </w:rPr>
            </w:r>
            <w:r>
              <w:rPr>
                <w:noProof/>
                <w:webHidden/>
              </w:rPr>
              <w:fldChar w:fldCharType="separate"/>
            </w:r>
            <w:r>
              <w:rPr>
                <w:noProof/>
                <w:webHidden/>
              </w:rPr>
              <w:t>4</w:t>
            </w:r>
            <w:r>
              <w:rPr>
                <w:noProof/>
                <w:webHidden/>
              </w:rPr>
              <w:fldChar w:fldCharType="end"/>
            </w:r>
          </w:hyperlink>
        </w:p>
        <w:p w:rsidR="00754265" w:rsidRDefault="00754265" w:rsidP="00754265">
          <w:pPr>
            <w:pStyle w:val="TOC2"/>
            <w:tabs>
              <w:tab w:val="right" w:leader="dot" w:pos="9019"/>
            </w:tabs>
            <w:rPr>
              <w:rFonts w:asciiTheme="minorHAnsi" w:eastAsiaTheme="minorEastAsia" w:hAnsiTheme="minorHAnsi" w:cstheme="minorBidi"/>
              <w:noProof/>
              <w:sz w:val="22"/>
              <w:szCs w:val="22"/>
            </w:rPr>
          </w:pPr>
          <w:hyperlink w:anchor="_Toc133581956" w:history="1">
            <w:r w:rsidRPr="002D324C">
              <w:rPr>
                <w:rStyle w:val="Hyperlink"/>
                <w:noProof/>
                <w:lang w:val="en-GB"/>
              </w:rPr>
              <w:t>Proposition</w:t>
            </w:r>
            <w:r>
              <w:rPr>
                <w:noProof/>
                <w:webHidden/>
              </w:rPr>
              <w:tab/>
            </w:r>
            <w:r>
              <w:rPr>
                <w:noProof/>
                <w:webHidden/>
              </w:rPr>
              <w:fldChar w:fldCharType="begin"/>
            </w:r>
            <w:r>
              <w:rPr>
                <w:noProof/>
                <w:webHidden/>
              </w:rPr>
              <w:instrText xml:space="preserve"> PAGEREF _Toc133581956 \h </w:instrText>
            </w:r>
            <w:r>
              <w:rPr>
                <w:noProof/>
                <w:webHidden/>
              </w:rPr>
            </w:r>
            <w:r>
              <w:rPr>
                <w:noProof/>
                <w:webHidden/>
              </w:rPr>
              <w:fldChar w:fldCharType="separate"/>
            </w:r>
            <w:r>
              <w:rPr>
                <w:noProof/>
                <w:webHidden/>
              </w:rPr>
              <w:t>4</w:t>
            </w:r>
            <w:r>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57" w:history="1">
            <w:r w:rsidRPr="002D324C">
              <w:rPr>
                <w:rStyle w:val="Hyperlink"/>
                <w:noProof/>
                <w:lang w:val="en-GB"/>
              </w:rPr>
              <w:t>Calculation of Payback period, Net Present Value and Accounting rate of return</w:t>
            </w:r>
            <w:r>
              <w:rPr>
                <w:noProof/>
                <w:webHidden/>
              </w:rPr>
              <w:tab/>
            </w:r>
            <w:r>
              <w:rPr>
                <w:noProof/>
                <w:webHidden/>
              </w:rPr>
              <w:fldChar w:fldCharType="begin"/>
            </w:r>
            <w:r>
              <w:rPr>
                <w:noProof/>
                <w:webHidden/>
              </w:rPr>
              <w:instrText xml:space="preserve"> PAGEREF _Toc133581957 \h </w:instrText>
            </w:r>
            <w:r>
              <w:rPr>
                <w:noProof/>
                <w:webHidden/>
              </w:rPr>
            </w:r>
            <w:r>
              <w:rPr>
                <w:noProof/>
                <w:webHidden/>
              </w:rPr>
              <w:fldChar w:fldCharType="separate"/>
            </w:r>
            <w:r>
              <w:rPr>
                <w:noProof/>
                <w:webHidden/>
              </w:rPr>
              <w:t>5</w:t>
            </w:r>
            <w:r>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58" w:history="1">
            <w:r w:rsidRPr="002D324C">
              <w:rPr>
                <w:rStyle w:val="Hyperlink"/>
                <w:noProof/>
                <w:lang w:val="en-GB"/>
              </w:rPr>
              <w:t>Sensitivity Analysis:</w:t>
            </w:r>
            <w:r>
              <w:rPr>
                <w:noProof/>
                <w:webHidden/>
              </w:rPr>
              <w:tab/>
            </w:r>
            <w:r>
              <w:rPr>
                <w:noProof/>
                <w:webHidden/>
              </w:rPr>
              <w:fldChar w:fldCharType="begin"/>
            </w:r>
            <w:r>
              <w:rPr>
                <w:noProof/>
                <w:webHidden/>
              </w:rPr>
              <w:instrText xml:space="preserve"> PAGEREF _Toc133581958 \h </w:instrText>
            </w:r>
            <w:r>
              <w:rPr>
                <w:noProof/>
                <w:webHidden/>
              </w:rPr>
            </w:r>
            <w:r>
              <w:rPr>
                <w:noProof/>
                <w:webHidden/>
              </w:rPr>
              <w:fldChar w:fldCharType="separate"/>
            </w:r>
            <w:r>
              <w:rPr>
                <w:noProof/>
                <w:webHidden/>
              </w:rPr>
              <w:t>10</w:t>
            </w:r>
            <w:r>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59" w:history="1">
            <w:r w:rsidRPr="002D324C">
              <w:rPr>
                <w:rStyle w:val="Hyperlink"/>
                <w:noProof/>
                <w:lang w:val="en-GB"/>
              </w:rPr>
              <w:t>Critical discussion of the risk and return and potential impact on the financial performance</w:t>
            </w:r>
            <w:r>
              <w:rPr>
                <w:noProof/>
                <w:webHidden/>
              </w:rPr>
              <w:tab/>
            </w:r>
            <w:r>
              <w:rPr>
                <w:noProof/>
                <w:webHidden/>
              </w:rPr>
              <w:fldChar w:fldCharType="begin"/>
            </w:r>
            <w:r>
              <w:rPr>
                <w:noProof/>
                <w:webHidden/>
              </w:rPr>
              <w:instrText xml:space="preserve"> PAGEREF _Toc133581959 \h </w:instrText>
            </w:r>
            <w:r>
              <w:rPr>
                <w:noProof/>
                <w:webHidden/>
              </w:rPr>
            </w:r>
            <w:r>
              <w:rPr>
                <w:noProof/>
                <w:webHidden/>
              </w:rPr>
              <w:fldChar w:fldCharType="separate"/>
            </w:r>
            <w:r>
              <w:rPr>
                <w:noProof/>
                <w:webHidden/>
              </w:rPr>
              <w:t>10</w:t>
            </w:r>
            <w:r>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60" w:history="1">
            <w:r w:rsidRPr="002D324C">
              <w:rPr>
                <w:rStyle w:val="Hyperlink"/>
                <w:noProof/>
                <w:lang w:val="en-GB"/>
              </w:rPr>
              <w:t>Conclusion</w:t>
            </w:r>
            <w:r>
              <w:rPr>
                <w:noProof/>
                <w:webHidden/>
              </w:rPr>
              <w:tab/>
            </w:r>
            <w:r>
              <w:rPr>
                <w:noProof/>
                <w:webHidden/>
              </w:rPr>
              <w:fldChar w:fldCharType="begin"/>
            </w:r>
            <w:r>
              <w:rPr>
                <w:noProof/>
                <w:webHidden/>
              </w:rPr>
              <w:instrText xml:space="preserve"> PAGEREF _Toc133581960 \h </w:instrText>
            </w:r>
            <w:r>
              <w:rPr>
                <w:noProof/>
                <w:webHidden/>
              </w:rPr>
            </w:r>
            <w:r>
              <w:rPr>
                <w:noProof/>
                <w:webHidden/>
              </w:rPr>
              <w:fldChar w:fldCharType="separate"/>
            </w:r>
            <w:r>
              <w:rPr>
                <w:noProof/>
                <w:webHidden/>
              </w:rPr>
              <w:t>11</w:t>
            </w:r>
            <w:r>
              <w:rPr>
                <w:noProof/>
                <w:webHidden/>
              </w:rPr>
              <w:fldChar w:fldCharType="end"/>
            </w:r>
          </w:hyperlink>
        </w:p>
        <w:p w:rsidR="00754265" w:rsidRDefault="00754265" w:rsidP="00754265">
          <w:pPr>
            <w:pStyle w:val="TOC1"/>
            <w:tabs>
              <w:tab w:val="right" w:leader="dot" w:pos="9019"/>
            </w:tabs>
            <w:rPr>
              <w:rFonts w:asciiTheme="minorHAnsi" w:eastAsiaTheme="minorEastAsia" w:hAnsiTheme="minorHAnsi" w:cstheme="minorBidi"/>
              <w:noProof/>
              <w:sz w:val="22"/>
              <w:szCs w:val="22"/>
            </w:rPr>
          </w:pPr>
          <w:hyperlink w:anchor="_Toc133581961" w:history="1">
            <w:r w:rsidRPr="002D324C">
              <w:rPr>
                <w:rStyle w:val="Hyperlink"/>
                <w:noProof/>
                <w:lang w:val="en-GB"/>
              </w:rPr>
              <w:t>Reference List</w:t>
            </w:r>
            <w:r>
              <w:rPr>
                <w:noProof/>
                <w:webHidden/>
              </w:rPr>
              <w:tab/>
            </w:r>
            <w:r>
              <w:rPr>
                <w:noProof/>
                <w:webHidden/>
              </w:rPr>
              <w:fldChar w:fldCharType="begin"/>
            </w:r>
            <w:r>
              <w:rPr>
                <w:noProof/>
                <w:webHidden/>
              </w:rPr>
              <w:instrText xml:space="preserve"> PAGEREF _Toc133581961 \h </w:instrText>
            </w:r>
            <w:r>
              <w:rPr>
                <w:noProof/>
                <w:webHidden/>
              </w:rPr>
            </w:r>
            <w:r>
              <w:rPr>
                <w:noProof/>
                <w:webHidden/>
              </w:rPr>
              <w:fldChar w:fldCharType="separate"/>
            </w:r>
            <w:r>
              <w:rPr>
                <w:noProof/>
                <w:webHidden/>
              </w:rPr>
              <w:t>12</w:t>
            </w:r>
            <w:r>
              <w:rPr>
                <w:noProof/>
                <w:webHidden/>
              </w:rPr>
              <w:fldChar w:fldCharType="end"/>
            </w:r>
          </w:hyperlink>
        </w:p>
        <w:p w:rsidR="001A5FC5" w:rsidRPr="00BB2653" w:rsidRDefault="00B926D1" w:rsidP="00754265">
          <w:pPr>
            <w:rPr>
              <w:lang w:val="en-GB"/>
            </w:rPr>
          </w:pPr>
          <w:r w:rsidRPr="00BB2653">
            <w:rPr>
              <w:lang w:val="en-GB"/>
            </w:rPr>
            <w:fldChar w:fldCharType="end"/>
          </w:r>
        </w:p>
      </w:sdtContent>
    </w:sdt>
    <w:p w:rsidR="000E6666" w:rsidRPr="00BB2653" w:rsidRDefault="001A5FC5" w:rsidP="00754265">
      <w:pPr>
        <w:pStyle w:val="normal0"/>
        <w:jc w:val="center"/>
        <w:rPr>
          <w:lang w:val="en-GB"/>
        </w:rPr>
      </w:pPr>
      <w:r w:rsidRPr="00BB2653">
        <w:rPr>
          <w:lang w:val="en-GB"/>
        </w:rPr>
        <w:br w:type="page"/>
      </w:r>
    </w:p>
    <w:p w:rsidR="000E6666" w:rsidRPr="00BB2653" w:rsidRDefault="001A5FC5" w:rsidP="00754265">
      <w:pPr>
        <w:pStyle w:val="Heading1"/>
        <w:rPr>
          <w:lang w:val="en-GB"/>
        </w:rPr>
      </w:pPr>
      <w:bookmarkStart w:id="3" w:name="_Toc133581952"/>
      <w:r w:rsidRPr="00BB2653">
        <w:rPr>
          <w:lang w:val="en-GB"/>
        </w:rPr>
        <w:lastRenderedPageBreak/>
        <w:t>Introduction</w:t>
      </w:r>
      <w:bookmarkEnd w:id="3"/>
    </w:p>
    <w:p w:rsidR="000E6666" w:rsidRPr="00BB2653" w:rsidRDefault="001A5FC5" w:rsidP="00754265">
      <w:pPr>
        <w:pStyle w:val="normal0"/>
        <w:rPr>
          <w:lang w:val="en-GB"/>
        </w:rPr>
      </w:pPr>
      <w:r w:rsidRPr="00BB2653">
        <w:rPr>
          <w:lang w:val="en-GB"/>
        </w:rPr>
        <w:t xml:space="preserve">The investment depends on financial performance of the company. Evaluation of the qualitative and quantitative information is later on discussed in the project. The purpose of the investment is stated with the purpose, process and proposition factors of the company for this investment. </w:t>
      </w:r>
    </w:p>
    <w:p w:rsidR="000E6666" w:rsidRPr="00BB2653" w:rsidRDefault="001A5FC5" w:rsidP="00754265">
      <w:pPr>
        <w:pStyle w:val="Heading1"/>
        <w:spacing w:before="200" w:after="200"/>
        <w:rPr>
          <w:lang w:val="en-GB"/>
        </w:rPr>
      </w:pPr>
      <w:bookmarkStart w:id="4" w:name="_rjv6xxy3ikrb" w:colFirst="0" w:colLast="0"/>
      <w:bookmarkStart w:id="5" w:name="_Toc133581953"/>
      <w:bookmarkEnd w:id="4"/>
      <w:r w:rsidRPr="00BB2653">
        <w:rPr>
          <w:lang w:val="en-GB"/>
        </w:rPr>
        <w:t>Motivation of the proposed investment</w:t>
      </w:r>
      <w:bookmarkEnd w:id="5"/>
    </w:p>
    <w:p w:rsidR="000E6666" w:rsidRPr="00BB2653" w:rsidRDefault="001A5FC5" w:rsidP="00754265">
      <w:pPr>
        <w:pStyle w:val="normal0"/>
        <w:rPr>
          <w:lang w:val="en-GB"/>
        </w:rPr>
      </w:pPr>
      <w:r w:rsidRPr="00BB2653">
        <w:rPr>
          <w:lang w:val="en-GB"/>
        </w:rPr>
        <w:t xml:space="preserve">The purpose of the investment is to make the company less human-dependent as the companies have suffered significantly in terms of the availability of human labour in the Covid-19 period. </w:t>
      </w:r>
    </w:p>
    <w:p w:rsidR="000E6666" w:rsidRPr="00BB2653" w:rsidRDefault="001A5FC5" w:rsidP="00754265">
      <w:pPr>
        <w:pStyle w:val="Heading2"/>
        <w:rPr>
          <w:lang w:val="en-GB"/>
        </w:rPr>
      </w:pPr>
      <w:bookmarkStart w:id="6" w:name="_4jks8i2q672h" w:colFirst="0" w:colLast="0"/>
      <w:bookmarkStart w:id="7" w:name="_Toc133581954"/>
      <w:bookmarkEnd w:id="6"/>
      <w:r w:rsidRPr="00BB2653">
        <w:rPr>
          <w:lang w:val="en-GB"/>
        </w:rPr>
        <w:t>Purpose</w:t>
      </w:r>
      <w:bookmarkEnd w:id="7"/>
    </w:p>
    <w:p w:rsidR="000E6666" w:rsidRPr="00BB2653" w:rsidRDefault="001A5FC5" w:rsidP="00754265">
      <w:pPr>
        <w:pStyle w:val="normal0"/>
        <w:rPr>
          <w:lang w:val="en-GB"/>
        </w:rPr>
      </w:pPr>
      <w:r w:rsidRPr="00BB2653">
        <w:rPr>
          <w:lang w:val="en-GB"/>
        </w:rPr>
        <w:t>During Covid-19</w:t>
      </w:r>
      <w:r w:rsidR="00754265">
        <w:rPr>
          <w:lang w:val="en-GB"/>
        </w:rPr>
        <w:t>,</w:t>
      </w:r>
      <w:r w:rsidRPr="00BB2653">
        <w:rPr>
          <w:lang w:val="en-GB"/>
        </w:rPr>
        <w:t xml:space="preserve"> a huge rate of labour loss was experienced. As mentioned by Bushe, (2019), the loss of lives and movement of the people because of no jobs at that point in time led to business losses. In order to not face the issues again the company thinks of investing in human-less machinery to make the efficiency more. As per Lyytinen </w:t>
      </w:r>
      <w:r w:rsidRPr="00BB2653">
        <w:rPr>
          <w:i/>
          <w:lang w:val="en-GB"/>
        </w:rPr>
        <w:t>et al</w:t>
      </w:r>
      <w:r w:rsidRPr="00BB2653">
        <w:rPr>
          <w:lang w:val="en-GB"/>
        </w:rPr>
        <w:t xml:space="preserve">., (2021), automobile companies face challenges in the setting up of machinery without humans. Transfer of parts or heavy machinery needs a human to take this responsibility out and perform it. </w:t>
      </w:r>
    </w:p>
    <w:p w:rsidR="000E6666" w:rsidRPr="00BB2653" w:rsidRDefault="001A5FC5" w:rsidP="00754265">
      <w:pPr>
        <w:pStyle w:val="Heading2"/>
        <w:rPr>
          <w:lang w:val="en-GB"/>
        </w:rPr>
      </w:pPr>
      <w:bookmarkStart w:id="8" w:name="_fbhe4raicl9r" w:colFirst="0" w:colLast="0"/>
      <w:bookmarkStart w:id="9" w:name="_Toc133581955"/>
      <w:bookmarkEnd w:id="8"/>
      <w:r w:rsidRPr="00BB2653">
        <w:rPr>
          <w:lang w:val="en-GB"/>
        </w:rPr>
        <w:t>Process</w:t>
      </w:r>
      <w:bookmarkEnd w:id="9"/>
    </w:p>
    <w:p w:rsidR="000E6666" w:rsidRPr="00BB2653" w:rsidRDefault="001A5FC5" w:rsidP="00754265">
      <w:pPr>
        <w:pStyle w:val="normal0"/>
        <w:rPr>
          <w:lang w:val="en-GB"/>
        </w:rPr>
      </w:pPr>
      <w:r w:rsidRPr="00BB2653">
        <w:rPr>
          <w:lang w:val="en-GB"/>
        </w:rPr>
        <w:t xml:space="preserve">Covid-19 has been tough for businesses like automobiles to function properly because most of the things are controlled by manpower. As opined by Menz </w:t>
      </w:r>
      <w:r w:rsidRPr="00BB2653">
        <w:rPr>
          <w:i/>
          <w:lang w:val="en-GB"/>
        </w:rPr>
        <w:t>et al</w:t>
      </w:r>
      <w:r w:rsidR="007E0D2F" w:rsidRPr="00BB2653">
        <w:rPr>
          <w:lang w:val="en-GB"/>
        </w:rPr>
        <w:t>.</w:t>
      </w:r>
      <w:r w:rsidRPr="00BB2653">
        <w:rPr>
          <w:lang w:val="en-GB"/>
        </w:rPr>
        <w:t xml:space="preserve"> (2021), the company is now creating an idea about the possible factors that can enable the scope of effective management and production by automating the unit. As suggested by Brynjolfsson, (2023), automation of the machinery can lead the company to grow and earn more profits in terms o</w:t>
      </w:r>
      <w:r w:rsidR="00557747" w:rsidRPr="00BB2653">
        <w:rPr>
          <w:lang w:val="en-GB"/>
        </w:rPr>
        <w:t>f money and can save time also.</w:t>
      </w:r>
    </w:p>
    <w:p w:rsidR="000E6666" w:rsidRPr="00BB2653" w:rsidRDefault="001A5FC5" w:rsidP="00754265">
      <w:pPr>
        <w:pStyle w:val="Heading2"/>
        <w:rPr>
          <w:lang w:val="en-GB"/>
        </w:rPr>
      </w:pPr>
      <w:bookmarkStart w:id="10" w:name="_dzs5zq79l9ig" w:colFirst="0" w:colLast="0"/>
      <w:bookmarkStart w:id="11" w:name="_Toc133581956"/>
      <w:bookmarkEnd w:id="10"/>
      <w:r w:rsidRPr="00BB2653">
        <w:rPr>
          <w:lang w:val="en-GB"/>
        </w:rPr>
        <w:t>Proposition</w:t>
      </w:r>
      <w:bookmarkEnd w:id="11"/>
    </w:p>
    <w:p w:rsidR="000E6666" w:rsidRPr="00BB2653" w:rsidRDefault="001A5FC5" w:rsidP="00754265">
      <w:pPr>
        <w:pStyle w:val="normal0"/>
        <w:rPr>
          <w:lang w:val="en-GB"/>
        </w:rPr>
      </w:pPr>
      <w:r w:rsidRPr="00BB2653">
        <w:rPr>
          <w:lang w:val="en-GB"/>
        </w:rPr>
        <w:t>During the Covid time, the losses incurred by the company had an impact on the mind o</w:t>
      </w:r>
      <w:r w:rsidR="007E0D2F" w:rsidRPr="00BB2653">
        <w:rPr>
          <w:lang w:val="en-GB"/>
        </w:rPr>
        <w:t>f the management. As per Kabeyi</w:t>
      </w:r>
      <w:r w:rsidRPr="00BB2653">
        <w:rPr>
          <w:lang w:val="en-GB"/>
        </w:rPr>
        <w:t xml:space="preserve"> (2019), to do a productive outcome in the organisation the company is evaluating the factors so that it can make a decision of investing. The capability </w:t>
      </w:r>
      <w:r w:rsidRPr="00BB2653">
        <w:rPr>
          <w:lang w:val="en-GB"/>
        </w:rPr>
        <w:lastRenderedPageBreak/>
        <w:t xml:space="preserve">of the company to invest in new machinery can lessen the manpower in the company. As mentioned by Baker </w:t>
      </w:r>
      <w:r w:rsidRPr="00BB2653">
        <w:rPr>
          <w:i/>
          <w:lang w:val="en-GB"/>
        </w:rPr>
        <w:t>et al</w:t>
      </w:r>
      <w:r w:rsidR="007E0D2F" w:rsidRPr="00BB2653">
        <w:rPr>
          <w:lang w:val="en-GB"/>
        </w:rPr>
        <w:t>.</w:t>
      </w:r>
      <w:r w:rsidRPr="00BB2653">
        <w:rPr>
          <w:lang w:val="en-GB"/>
        </w:rPr>
        <w:t xml:space="preserve"> (2020), the amount of money and scope of fewer errors</w:t>
      </w:r>
      <w:r w:rsidR="00557747" w:rsidRPr="00BB2653">
        <w:rPr>
          <w:lang w:val="en-GB"/>
        </w:rPr>
        <w:t xml:space="preserve"> is profitable for the company.</w:t>
      </w:r>
    </w:p>
    <w:p w:rsidR="000E6666" w:rsidRPr="00BB2653" w:rsidRDefault="001A5FC5" w:rsidP="00754265">
      <w:pPr>
        <w:pStyle w:val="Heading1"/>
        <w:spacing w:before="200" w:after="200"/>
        <w:rPr>
          <w:lang w:val="en-GB"/>
        </w:rPr>
      </w:pPr>
      <w:bookmarkStart w:id="12" w:name="_s0ltx9wrfv0o" w:colFirst="0" w:colLast="0"/>
      <w:bookmarkStart w:id="13" w:name="_Toc133581957"/>
      <w:bookmarkEnd w:id="12"/>
      <w:r w:rsidRPr="00BB2653">
        <w:rPr>
          <w:lang w:val="en-GB"/>
        </w:rPr>
        <w:t>Calculation of Payback period, Net Present Value and Accounting rate of return</w:t>
      </w:r>
      <w:bookmarkEnd w:id="13"/>
    </w:p>
    <w:p w:rsidR="000E6666" w:rsidRPr="00BB2653" w:rsidRDefault="001A5FC5" w:rsidP="00754265">
      <w:pPr>
        <w:pStyle w:val="normal0"/>
        <w:rPr>
          <w:b/>
          <w:lang w:val="en-GB"/>
        </w:rPr>
      </w:pPr>
      <w:r w:rsidRPr="00BB2653">
        <w:rPr>
          <w:b/>
          <w:lang w:val="en-GB"/>
        </w:rPr>
        <w:t>Payback Period:</w:t>
      </w:r>
    </w:p>
    <w:tbl>
      <w:tblPr>
        <w:tblStyle w:val="a"/>
        <w:tblW w:w="6945" w:type="dxa"/>
        <w:jc w:val="center"/>
        <w:tblBorders>
          <w:top w:val="nil"/>
          <w:left w:val="nil"/>
          <w:bottom w:val="nil"/>
          <w:right w:val="nil"/>
          <w:insideH w:val="nil"/>
          <w:insideV w:val="nil"/>
        </w:tblBorders>
        <w:tblLayout w:type="fixed"/>
        <w:tblLook w:val="0600"/>
      </w:tblPr>
      <w:tblGrid>
        <w:gridCol w:w="1770"/>
        <w:gridCol w:w="2070"/>
        <w:gridCol w:w="3105"/>
      </w:tblGrid>
      <w:tr w:rsidR="000E6666" w:rsidRPr="00BB2653">
        <w:trPr>
          <w:cantSplit/>
          <w:trHeight w:val="515"/>
          <w:tblHeader/>
          <w:jc w:val="center"/>
        </w:trPr>
        <w:tc>
          <w:tcPr>
            <w:tcW w:w="6945" w:type="dxa"/>
            <w:gridSpan w:val="3"/>
            <w:tcBorders>
              <w:top w:val="single" w:sz="8" w:space="0" w:color="000000"/>
              <w:left w:val="single" w:sz="8" w:space="0" w:color="000000"/>
              <w:bottom w:val="single" w:sz="8" w:space="0" w:color="000000"/>
              <w:right w:val="single" w:sz="8" w:space="0" w:color="000000"/>
            </w:tcBorders>
            <w:shd w:val="clear" w:color="auto" w:fill="F2DDDC"/>
            <w:tcMar>
              <w:top w:w="100" w:type="dxa"/>
              <w:left w:w="100" w:type="dxa"/>
              <w:bottom w:w="100" w:type="dxa"/>
              <w:right w:w="100" w:type="dxa"/>
            </w:tcMar>
            <w:vAlign w:val="bottom"/>
          </w:tcPr>
          <w:p w:rsidR="000E6666" w:rsidRPr="00BB2653" w:rsidRDefault="001A5FC5" w:rsidP="00754265">
            <w:pPr>
              <w:pStyle w:val="normal0"/>
              <w:spacing w:before="240" w:after="0"/>
              <w:ind w:left="100"/>
              <w:jc w:val="center"/>
              <w:rPr>
                <w:b/>
                <w:lang w:val="en-GB"/>
              </w:rPr>
            </w:pPr>
            <w:r w:rsidRPr="00BB2653">
              <w:rPr>
                <w:b/>
                <w:lang w:val="en-GB"/>
              </w:rPr>
              <w:t>Calculation of Payback Period</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F2DDDC"/>
            <w:tcMar>
              <w:top w:w="100" w:type="dxa"/>
              <w:left w:w="100" w:type="dxa"/>
              <w:bottom w:w="100" w:type="dxa"/>
              <w:right w:w="100" w:type="dxa"/>
            </w:tcMar>
            <w:vAlign w:val="bottom"/>
          </w:tcPr>
          <w:p w:rsidR="000E6666" w:rsidRPr="00BB2653" w:rsidRDefault="001A5FC5" w:rsidP="00754265">
            <w:pPr>
              <w:pStyle w:val="normal0"/>
              <w:spacing w:before="240" w:after="0"/>
              <w:ind w:left="100"/>
              <w:rPr>
                <w:b/>
                <w:lang w:val="en-GB"/>
              </w:rPr>
            </w:pPr>
            <w:r w:rsidRPr="00BB2653">
              <w:rPr>
                <w:b/>
                <w:lang w:val="en-GB"/>
              </w:rPr>
              <w:t>Annual period</w:t>
            </w:r>
          </w:p>
        </w:tc>
        <w:tc>
          <w:tcPr>
            <w:tcW w:w="2070" w:type="dxa"/>
            <w:tcBorders>
              <w:top w:val="nil"/>
              <w:left w:val="nil"/>
              <w:bottom w:val="single" w:sz="8" w:space="0" w:color="000000"/>
              <w:right w:val="single" w:sz="8" w:space="0" w:color="000000"/>
            </w:tcBorders>
            <w:shd w:val="clear" w:color="auto" w:fill="F2DDDC"/>
            <w:tcMar>
              <w:top w:w="100" w:type="dxa"/>
              <w:left w:w="100" w:type="dxa"/>
              <w:bottom w:w="100" w:type="dxa"/>
              <w:right w:w="100" w:type="dxa"/>
            </w:tcMar>
            <w:vAlign w:val="bottom"/>
          </w:tcPr>
          <w:p w:rsidR="000E6666" w:rsidRPr="00BB2653" w:rsidRDefault="001A5FC5" w:rsidP="00754265">
            <w:pPr>
              <w:pStyle w:val="normal0"/>
              <w:spacing w:before="240" w:after="0"/>
              <w:ind w:left="100"/>
              <w:rPr>
                <w:b/>
                <w:lang w:val="en-GB"/>
              </w:rPr>
            </w:pPr>
            <w:r w:rsidRPr="00BB2653">
              <w:rPr>
                <w:b/>
                <w:lang w:val="en-GB"/>
              </w:rPr>
              <w:t>Net Cash flow (£)</w:t>
            </w:r>
          </w:p>
        </w:tc>
        <w:tc>
          <w:tcPr>
            <w:tcW w:w="3105" w:type="dxa"/>
            <w:tcBorders>
              <w:top w:val="nil"/>
              <w:left w:val="nil"/>
              <w:bottom w:val="single" w:sz="8" w:space="0" w:color="000000"/>
              <w:right w:val="single" w:sz="8" w:space="0" w:color="000000"/>
            </w:tcBorders>
            <w:shd w:val="clear" w:color="auto" w:fill="F2DDDC"/>
            <w:tcMar>
              <w:top w:w="100" w:type="dxa"/>
              <w:left w:w="100" w:type="dxa"/>
              <w:bottom w:w="100" w:type="dxa"/>
              <w:right w:w="100" w:type="dxa"/>
            </w:tcMar>
            <w:vAlign w:val="bottom"/>
          </w:tcPr>
          <w:p w:rsidR="000E6666" w:rsidRPr="00BB2653" w:rsidRDefault="001A5FC5" w:rsidP="00754265">
            <w:pPr>
              <w:pStyle w:val="normal0"/>
              <w:spacing w:before="240" w:after="0"/>
              <w:ind w:left="100"/>
              <w:rPr>
                <w:b/>
                <w:lang w:val="en-GB"/>
              </w:rPr>
            </w:pPr>
            <w:r w:rsidRPr="00BB2653">
              <w:rPr>
                <w:b/>
                <w:lang w:val="en-GB"/>
              </w:rPr>
              <w:t xml:space="preserve"> Cash Flow (£, Cumulative)</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0</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-725000</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-725000</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1</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291700</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-433300</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2</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105200</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-328100</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3</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74500</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-253600</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4</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174600</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-79000</w:t>
            </w:r>
          </w:p>
        </w:tc>
      </w:tr>
      <w:tr w:rsidR="000E6666" w:rsidRPr="00BB2653">
        <w:trPr>
          <w:cantSplit/>
          <w:trHeight w:val="515"/>
          <w:tblHeader/>
          <w:jc w:val="center"/>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5</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174600</w:t>
            </w:r>
          </w:p>
        </w:tc>
        <w:tc>
          <w:tcPr>
            <w:tcW w:w="31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lang w:val="en-GB"/>
              </w:rPr>
            </w:pPr>
            <w:r w:rsidRPr="00BB2653">
              <w:rPr>
                <w:lang w:val="en-GB"/>
              </w:rPr>
              <w:t>95600</w:t>
            </w:r>
          </w:p>
        </w:tc>
      </w:tr>
      <w:tr w:rsidR="000E6666" w:rsidRPr="00BB2653">
        <w:trPr>
          <w:cantSplit/>
          <w:trHeight w:val="515"/>
          <w:tblHeader/>
          <w:jc w:val="center"/>
        </w:trPr>
        <w:tc>
          <w:tcPr>
            <w:tcW w:w="3840" w:type="dxa"/>
            <w:gridSpan w:val="2"/>
            <w:tcBorders>
              <w:top w:val="nil"/>
              <w:left w:val="single" w:sz="8" w:space="0" w:color="000000"/>
              <w:bottom w:val="single" w:sz="8" w:space="0" w:color="000000"/>
              <w:right w:val="single" w:sz="8" w:space="0" w:color="000000"/>
            </w:tcBorders>
            <w:shd w:val="clear" w:color="auto" w:fill="FCD5B4"/>
            <w:tcMar>
              <w:top w:w="100" w:type="dxa"/>
              <w:left w:w="100" w:type="dxa"/>
              <w:bottom w:w="100" w:type="dxa"/>
              <w:right w:w="100" w:type="dxa"/>
            </w:tcMar>
            <w:vAlign w:val="bottom"/>
          </w:tcPr>
          <w:p w:rsidR="000E6666" w:rsidRPr="00BB2653" w:rsidRDefault="001A5FC5" w:rsidP="00754265">
            <w:pPr>
              <w:pStyle w:val="normal0"/>
              <w:spacing w:before="240" w:after="0"/>
              <w:ind w:left="100"/>
              <w:jc w:val="center"/>
              <w:rPr>
                <w:b/>
                <w:lang w:val="en-GB"/>
              </w:rPr>
            </w:pPr>
            <w:r w:rsidRPr="00BB2653">
              <w:rPr>
                <w:b/>
                <w:lang w:val="en-GB"/>
              </w:rPr>
              <w:t>Payback Period (yrs)</w:t>
            </w:r>
          </w:p>
        </w:tc>
        <w:tc>
          <w:tcPr>
            <w:tcW w:w="3105" w:type="dxa"/>
            <w:tcBorders>
              <w:top w:val="nil"/>
              <w:left w:val="nil"/>
              <w:bottom w:val="single" w:sz="8" w:space="0" w:color="000000"/>
              <w:right w:val="single" w:sz="8" w:space="0" w:color="000000"/>
            </w:tcBorders>
            <w:shd w:val="clear" w:color="auto" w:fill="FCD5B4"/>
            <w:tcMar>
              <w:top w:w="100" w:type="dxa"/>
              <w:left w:w="100" w:type="dxa"/>
              <w:bottom w:w="100" w:type="dxa"/>
              <w:right w:w="100" w:type="dxa"/>
            </w:tcMar>
            <w:vAlign w:val="bottom"/>
          </w:tcPr>
          <w:p w:rsidR="000E6666" w:rsidRPr="00BB2653" w:rsidRDefault="001A5FC5" w:rsidP="00754265">
            <w:pPr>
              <w:pStyle w:val="normal0"/>
              <w:spacing w:before="240" w:after="0"/>
              <w:ind w:left="100"/>
              <w:jc w:val="right"/>
              <w:rPr>
                <w:b/>
                <w:lang w:val="en-GB"/>
              </w:rPr>
            </w:pPr>
            <w:r w:rsidRPr="00BB2653">
              <w:rPr>
                <w:b/>
                <w:lang w:val="en-GB"/>
              </w:rPr>
              <w:t>4.55</w:t>
            </w:r>
          </w:p>
        </w:tc>
      </w:tr>
    </w:tbl>
    <w:p w:rsidR="000E6666" w:rsidRPr="00BB2653" w:rsidRDefault="001A5FC5" w:rsidP="00754265">
      <w:pPr>
        <w:pStyle w:val="normal0"/>
        <w:jc w:val="center"/>
        <w:rPr>
          <w:b/>
          <w:lang w:val="en-GB"/>
        </w:rPr>
      </w:pPr>
      <w:r w:rsidRPr="00BB2653">
        <w:rPr>
          <w:b/>
          <w:lang w:val="en-GB"/>
        </w:rPr>
        <w:t>Table 1: Calculation for payback period</w:t>
      </w:r>
    </w:p>
    <w:p w:rsidR="000E6666" w:rsidRPr="00BB2653" w:rsidRDefault="001A5FC5" w:rsidP="00754265">
      <w:pPr>
        <w:pStyle w:val="normal0"/>
        <w:jc w:val="center"/>
        <w:rPr>
          <w:lang w:val="en-GB"/>
        </w:rPr>
      </w:pPr>
      <w:r w:rsidRPr="00BB2653">
        <w:rPr>
          <w:lang w:val="en-GB"/>
        </w:rPr>
        <w:t>(Source: Created by the author)</w:t>
      </w:r>
    </w:p>
    <w:p w:rsidR="000E6666" w:rsidRPr="00BB2653" w:rsidRDefault="001A5FC5" w:rsidP="00754265">
      <w:pPr>
        <w:pStyle w:val="normal0"/>
        <w:rPr>
          <w:b/>
          <w:lang w:val="en-GB"/>
        </w:rPr>
      </w:pPr>
      <w:r w:rsidRPr="00BB2653">
        <w:rPr>
          <w:b/>
          <w:lang w:val="en-GB"/>
        </w:rPr>
        <w:t>Net Present Value:</w:t>
      </w:r>
    </w:p>
    <w:tbl>
      <w:tblPr>
        <w:tblW w:w="5000" w:type="pct"/>
        <w:tblLook w:val="04A0"/>
      </w:tblPr>
      <w:tblGrid>
        <w:gridCol w:w="3469"/>
        <w:gridCol w:w="842"/>
        <w:gridCol w:w="1021"/>
        <w:gridCol w:w="957"/>
        <w:gridCol w:w="957"/>
        <w:gridCol w:w="843"/>
        <w:gridCol w:w="1156"/>
      </w:tblGrid>
      <w:tr w:rsidR="00974368" w:rsidRPr="00BB2653" w:rsidTr="00440E23">
        <w:trPr>
          <w:trHeight w:val="615"/>
        </w:trPr>
        <w:tc>
          <w:tcPr>
            <w:tcW w:w="5000" w:type="pct"/>
            <w:gridSpan w:val="7"/>
            <w:tcBorders>
              <w:top w:val="single" w:sz="4" w:space="0" w:color="auto"/>
              <w:left w:val="single" w:sz="4" w:space="0" w:color="auto"/>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b/>
                <w:bCs/>
                <w:lang w:val="en-GB"/>
              </w:rPr>
            </w:pPr>
            <w:r w:rsidRPr="00BB2653">
              <w:rPr>
                <w:b/>
                <w:bCs/>
                <w:lang w:val="en-GB"/>
              </w:rPr>
              <w:t>HYUNDAI</w:t>
            </w:r>
          </w:p>
        </w:tc>
      </w:tr>
      <w:tr w:rsidR="00974368" w:rsidRPr="00BB2653" w:rsidTr="00440E23">
        <w:trPr>
          <w:trHeight w:val="600"/>
        </w:trPr>
        <w:tc>
          <w:tcPr>
            <w:tcW w:w="1773" w:type="pct"/>
            <w:tcBorders>
              <w:top w:val="nil"/>
              <w:left w:val="single" w:sz="4" w:space="0" w:color="auto"/>
              <w:bottom w:val="single" w:sz="4" w:space="0" w:color="auto"/>
              <w:right w:val="single" w:sz="4" w:space="0" w:color="auto"/>
            </w:tcBorders>
            <w:shd w:val="clear" w:color="000000" w:fill="C0C0C0"/>
            <w:noWrap/>
            <w:vAlign w:val="center"/>
            <w:hideMark/>
          </w:tcPr>
          <w:p w:rsidR="00974368" w:rsidRPr="00BB2653" w:rsidRDefault="00974368" w:rsidP="00754265">
            <w:pPr>
              <w:spacing w:before="0" w:after="0"/>
              <w:jc w:val="center"/>
              <w:rPr>
                <w:lang w:val="en-GB"/>
              </w:rPr>
            </w:pPr>
            <w:r w:rsidRPr="00BB2653">
              <w:rPr>
                <w:lang w:val="en-GB"/>
              </w:rPr>
              <w:lastRenderedPageBreak/>
              <w:t>Description</w:t>
            </w:r>
          </w:p>
        </w:tc>
        <w:tc>
          <w:tcPr>
            <w:tcW w:w="485" w:type="pct"/>
            <w:tcBorders>
              <w:top w:val="nil"/>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 xml:space="preserve">Year 0 </w:t>
            </w:r>
            <w:r w:rsidRPr="00BB2653">
              <w:rPr>
                <w:b/>
                <w:bCs/>
                <w:lang w:val="en-GB"/>
              </w:rPr>
              <w:br/>
              <w:t>(£K)</w:t>
            </w:r>
          </w:p>
        </w:tc>
        <w:tc>
          <w:tcPr>
            <w:tcW w:w="582" w:type="pct"/>
            <w:tcBorders>
              <w:top w:val="nil"/>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1</w:t>
            </w:r>
            <w:r w:rsidRPr="00BB2653">
              <w:rPr>
                <w:b/>
                <w:bCs/>
                <w:lang w:val="en-GB"/>
              </w:rPr>
              <w:br/>
              <w:t>(£K)</w:t>
            </w:r>
          </w:p>
        </w:tc>
        <w:tc>
          <w:tcPr>
            <w:tcW w:w="547" w:type="pct"/>
            <w:tcBorders>
              <w:top w:val="nil"/>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2</w:t>
            </w:r>
            <w:r w:rsidRPr="00BB2653">
              <w:rPr>
                <w:b/>
                <w:bCs/>
                <w:lang w:val="en-GB"/>
              </w:rPr>
              <w:br/>
              <w:t>(£K)</w:t>
            </w:r>
          </w:p>
        </w:tc>
        <w:tc>
          <w:tcPr>
            <w:tcW w:w="547" w:type="pct"/>
            <w:tcBorders>
              <w:top w:val="nil"/>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3</w:t>
            </w:r>
            <w:r w:rsidRPr="00BB2653">
              <w:rPr>
                <w:b/>
                <w:bCs/>
                <w:lang w:val="en-GB"/>
              </w:rPr>
              <w:br/>
              <w:t>(£K)</w:t>
            </w:r>
          </w:p>
        </w:tc>
        <w:tc>
          <w:tcPr>
            <w:tcW w:w="485" w:type="pct"/>
            <w:tcBorders>
              <w:top w:val="nil"/>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4</w:t>
            </w:r>
            <w:r w:rsidRPr="00BB2653">
              <w:rPr>
                <w:b/>
                <w:bCs/>
                <w:lang w:val="en-GB"/>
              </w:rPr>
              <w:br/>
              <w:t>(£K)</w:t>
            </w:r>
          </w:p>
        </w:tc>
        <w:tc>
          <w:tcPr>
            <w:tcW w:w="580" w:type="pct"/>
            <w:tcBorders>
              <w:top w:val="nil"/>
              <w:left w:val="nil"/>
              <w:bottom w:val="single" w:sz="4" w:space="0" w:color="auto"/>
              <w:right w:val="single" w:sz="4" w:space="0" w:color="auto"/>
            </w:tcBorders>
            <w:shd w:val="clear" w:color="000000" w:fill="BFBFBF"/>
            <w:vAlign w:val="center"/>
            <w:hideMark/>
          </w:tcPr>
          <w:p w:rsidR="00974368" w:rsidRPr="00BB2653" w:rsidRDefault="00974368" w:rsidP="00754265">
            <w:pPr>
              <w:spacing w:before="0" w:after="0"/>
              <w:jc w:val="center"/>
              <w:rPr>
                <w:b/>
                <w:bCs/>
                <w:lang w:val="en-GB"/>
              </w:rPr>
            </w:pPr>
            <w:r w:rsidRPr="00BB2653">
              <w:rPr>
                <w:b/>
                <w:bCs/>
                <w:lang w:val="en-GB"/>
              </w:rPr>
              <w:t>Year 5</w:t>
            </w:r>
            <w:r w:rsidRPr="00BB2653">
              <w:rPr>
                <w:b/>
                <w:bCs/>
                <w:lang w:val="en-GB"/>
              </w:rPr>
              <w:br/>
              <w:t>(£K)</w:t>
            </w:r>
          </w:p>
        </w:tc>
      </w:tr>
      <w:tr w:rsidR="00974368" w:rsidRPr="00BB2653" w:rsidTr="00440E23">
        <w:trPr>
          <w:trHeight w:val="45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Year</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2</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3</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4</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5</w:t>
            </w:r>
          </w:p>
        </w:tc>
      </w:tr>
      <w:tr w:rsidR="00974368" w:rsidRPr="00BB2653" w:rsidTr="00440E23">
        <w:trPr>
          <w:trHeight w:val="45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403ADA" w:rsidP="00754265">
            <w:pPr>
              <w:spacing w:before="0" w:after="0"/>
              <w:jc w:val="left"/>
              <w:rPr>
                <w:lang w:val="en-GB"/>
              </w:rPr>
            </w:pPr>
            <w:r w:rsidRPr="00BB2653">
              <w:rPr>
                <w:lang w:val="en-GB"/>
              </w:rPr>
              <w:t>Investment</w:t>
            </w:r>
            <w:r w:rsidR="00974368" w:rsidRPr="00BB2653">
              <w:rPr>
                <w:lang w:val="en-GB"/>
              </w:rPr>
              <w:t xml:space="preserve"> Costs</w:t>
            </w:r>
          </w:p>
        </w:tc>
        <w:tc>
          <w:tcPr>
            <w:tcW w:w="485"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(725)</w:t>
            </w:r>
          </w:p>
        </w:tc>
        <w:tc>
          <w:tcPr>
            <w:tcW w:w="582"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 </w:t>
            </w:r>
          </w:p>
        </w:tc>
        <w:tc>
          <w:tcPr>
            <w:tcW w:w="547"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 </w:t>
            </w:r>
          </w:p>
        </w:tc>
        <w:tc>
          <w:tcPr>
            <w:tcW w:w="547"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 </w:t>
            </w:r>
          </w:p>
        </w:tc>
        <w:tc>
          <w:tcPr>
            <w:tcW w:w="485"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 </w:t>
            </w:r>
          </w:p>
        </w:tc>
        <w:tc>
          <w:tcPr>
            <w:tcW w:w="580"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145</w:t>
            </w:r>
          </w:p>
        </w:tc>
      </w:tr>
      <w:tr w:rsidR="00974368" w:rsidRPr="00BB2653" w:rsidTr="00440E23">
        <w:trPr>
          <w:trHeight w:val="45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Annual Cash</w:t>
            </w:r>
            <w:r w:rsidR="00403ADA" w:rsidRPr="00BB2653">
              <w:rPr>
                <w:lang w:val="en-GB"/>
              </w:rPr>
              <w:t xml:space="preserve"> </w:t>
            </w:r>
            <w:r w:rsidRPr="00BB2653">
              <w:rPr>
                <w:lang w:val="en-GB"/>
              </w:rPr>
              <w:t>flows</w:t>
            </w:r>
          </w:p>
        </w:tc>
        <w:tc>
          <w:tcPr>
            <w:tcW w:w="485"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 </w:t>
            </w:r>
          </w:p>
        </w:tc>
        <w:tc>
          <w:tcPr>
            <w:tcW w:w="582"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292</w:t>
            </w:r>
          </w:p>
        </w:tc>
        <w:tc>
          <w:tcPr>
            <w:tcW w:w="547"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105</w:t>
            </w:r>
          </w:p>
        </w:tc>
        <w:tc>
          <w:tcPr>
            <w:tcW w:w="547"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75</w:t>
            </w:r>
          </w:p>
        </w:tc>
        <w:tc>
          <w:tcPr>
            <w:tcW w:w="485"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175</w:t>
            </w:r>
          </w:p>
        </w:tc>
        <w:tc>
          <w:tcPr>
            <w:tcW w:w="580" w:type="pct"/>
            <w:tcBorders>
              <w:top w:val="nil"/>
              <w:left w:val="nil"/>
              <w:bottom w:val="single" w:sz="4" w:space="0" w:color="auto"/>
              <w:right w:val="single" w:sz="4" w:space="0" w:color="auto"/>
            </w:tcBorders>
            <w:shd w:val="clear" w:color="000000" w:fill="CCFFFF"/>
            <w:noWrap/>
            <w:vAlign w:val="center"/>
            <w:hideMark/>
          </w:tcPr>
          <w:p w:rsidR="00974368" w:rsidRPr="00BB2653" w:rsidRDefault="00974368" w:rsidP="00754265">
            <w:pPr>
              <w:spacing w:before="0" w:after="0"/>
              <w:jc w:val="center"/>
              <w:rPr>
                <w:lang w:val="en-GB"/>
              </w:rPr>
            </w:pPr>
            <w:r w:rsidRPr="00BB2653">
              <w:rPr>
                <w:lang w:val="en-GB"/>
              </w:rPr>
              <w:t>175</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Investment Cost with Variance</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(725)</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 </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Annual Cash</w:t>
            </w:r>
            <w:r w:rsidR="00403ADA" w:rsidRPr="00BB2653">
              <w:rPr>
                <w:lang w:val="en-GB"/>
              </w:rPr>
              <w:t xml:space="preserve"> </w:t>
            </w:r>
            <w:r w:rsidRPr="00BB2653">
              <w:rPr>
                <w:lang w:val="en-GB"/>
              </w:rPr>
              <w:t>flows with Variance</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292</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105</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75</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175</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175</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Net Cash Flow</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(725)</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292</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105</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75</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175</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175</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Cost of Capital (CoC)</w:t>
            </w:r>
          </w:p>
        </w:tc>
        <w:tc>
          <w:tcPr>
            <w:tcW w:w="485" w:type="pct"/>
            <w:tcBorders>
              <w:top w:val="nil"/>
              <w:left w:val="nil"/>
              <w:bottom w:val="single" w:sz="4" w:space="0" w:color="auto"/>
              <w:right w:val="single" w:sz="4" w:space="0" w:color="auto"/>
            </w:tcBorders>
            <w:shd w:val="clear" w:color="000000" w:fill="FFFFFF"/>
            <w:noWrap/>
            <w:vAlign w:val="center"/>
            <w:hideMark/>
          </w:tcPr>
          <w:p w:rsidR="00974368" w:rsidRPr="00BB2653" w:rsidRDefault="00974368" w:rsidP="00754265">
            <w:pPr>
              <w:spacing w:before="0" w:after="0"/>
              <w:jc w:val="center"/>
              <w:rPr>
                <w:lang w:val="en-GB"/>
              </w:rPr>
            </w:pPr>
            <w:r w:rsidRPr="00BB2653">
              <w:rPr>
                <w:lang w:val="en-GB"/>
              </w:rPr>
              <w:t>5.0%</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 </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 </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 </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 </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 </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 xml:space="preserve">Discount Factor </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1.00</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0.95</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0.91</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0.86</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0.82</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0.78</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Present Value (PV)</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(725)</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278</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95</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64</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144</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lang w:val="en-GB"/>
              </w:rPr>
            </w:pPr>
            <w:r w:rsidRPr="00BB2653">
              <w:rPr>
                <w:lang w:val="en-GB"/>
              </w:rPr>
              <w:t>137</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left"/>
              <w:rPr>
                <w:lang w:val="en-GB"/>
              </w:rPr>
            </w:pPr>
            <w:r w:rsidRPr="00BB2653">
              <w:rPr>
                <w:lang w:val="en-GB"/>
              </w:rPr>
              <w:t>Net Present Value</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(725)</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(447)</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(352)</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(287)</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(144)</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(6)</w:t>
            </w:r>
          </w:p>
        </w:tc>
      </w:tr>
      <w:tr w:rsidR="00974368" w:rsidRPr="00BB2653" w:rsidTr="00440E23">
        <w:trPr>
          <w:trHeight w:val="390"/>
        </w:trPr>
        <w:tc>
          <w:tcPr>
            <w:tcW w:w="1773"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left"/>
              <w:rPr>
                <w:lang w:val="en-GB"/>
              </w:rPr>
            </w:pPr>
          </w:p>
        </w:tc>
        <w:tc>
          <w:tcPr>
            <w:tcW w:w="485"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lang w:val="en-GB"/>
              </w:rPr>
            </w:pPr>
          </w:p>
        </w:tc>
        <w:tc>
          <w:tcPr>
            <w:tcW w:w="582"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lang w:val="en-GB"/>
              </w:rPr>
            </w:pPr>
          </w:p>
        </w:tc>
        <w:tc>
          <w:tcPr>
            <w:tcW w:w="547"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lang w:val="en-GB"/>
              </w:rPr>
            </w:pPr>
          </w:p>
        </w:tc>
        <w:tc>
          <w:tcPr>
            <w:tcW w:w="547"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lang w:val="en-GB"/>
              </w:rPr>
            </w:pPr>
          </w:p>
        </w:tc>
        <w:tc>
          <w:tcPr>
            <w:tcW w:w="485"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lang w:val="en-GB"/>
              </w:rPr>
            </w:pPr>
          </w:p>
        </w:tc>
        <w:tc>
          <w:tcPr>
            <w:tcW w:w="580"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lang w:val="en-GB"/>
              </w:rPr>
            </w:pPr>
          </w:p>
        </w:tc>
      </w:tr>
      <w:tr w:rsidR="00974368" w:rsidRPr="00BB2653" w:rsidTr="00440E23">
        <w:trPr>
          <w:trHeight w:val="615"/>
        </w:trPr>
        <w:tc>
          <w:tcPr>
            <w:tcW w:w="1773" w:type="pct"/>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974368" w:rsidRPr="00BB2653" w:rsidRDefault="00974368" w:rsidP="00754265">
            <w:pPr>
              <w:spacing w:before="0" w:after="0"/>
              <w:jc w:val="center"/>
              <w:rPr>
                <w:lang w:val="en-GB"/>
              </w:rPr>
            </w:pPr>
            <w:r w:rsidRPr="00BB2653">
              <w:rPr>
                <w:lang w:val="en-GB"/>
              </w:rPr>
              <w:t> </w:t>
            </w:r>
          </w:p>
        </w:tc>
        <w:tc>
          <w:tcPr>
            <w:tcW w:w="485" w:type="pct"/>
            <w:tcBorders>
              <w:top w:val="single" w:sz="4" w:space="0" w:color="auto"/>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 xml:space="preserve">Year 0 </w:t>
            </w:r>
            <w:r w:rsidRPr="00BB2653">
              <w:rPr>
                <w:b/>
                <w:bCs/>
                <w:lang w:val="en-GB"/>
              </w:rPr>
              <w:br/>
              <w:t>(£K)</w:t>
            </w:r>
          </w:p>
        </w:tc>
        <w:tc>
          <w:tcPr>
            <w:tcW w:w="582" w:type="pct"/>
            <w:tcBorders>
              <w:top w:val="single" w:sz="4" w:space="0" w:color="auto"/>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1</w:t>
            </w:r>
            <w:r w:rsidRPr="00BB2653">
              <w:rPr>
                <w:b/>
                <w:bCs/>
                <w:lang w:val="en-GB"/>
              </w:rPr>
              <w:br/>
              <w:t>(£K)</w:t>
            </w:r>
          </w:p>
        </w:tc>
        <w:tc>
          <w:tcPr>
            <w:tcW w:w="547" w:type="pct"/>
            <w:tcBorders>
              <w:top w:val="single" w:sz="4" w:space="0" w:color="auto"/>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2</w:t>
            </w:r>
            <w:r w:rsidRPr="00BB2653">
              <w:rPr>
                <w:b/>
                <w:bCs/>
                <w:lang w:val="en-GB"/>
              </w:rPr>
              <w:br/>
              <w:t>(£K)</w:t>
            </w:r>
          </w:p>
        </w:tc>
        <w:tc>
          <w:tcPr>
            <w:tcW w:w="547" w:type="pct"/>
            <w:tcBorders>
              <w:top w:val="single" w:sz="4" w:space="0" w:color="auto"/>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3</w:t>
            </w:r>
            <w:r w:rsidRPr="00BB2653">
              <w:rPr>
                <w:b/>
                <w:bCs/>
                <w:lang w:val="en-GB"/>
              </w:rPr>
              <w:br/>
              <w:t>(£K)</w:t>
            </w:r>
          </w:p>
        </w:tc>
        <w:tc>
          <w:tcPr>
            <w:tcW w:w="485" w:type="pct"/>
            <w:tcBorders>
              <w:top w:val="single" w:sz="4" w:space="0" w:color="auto"/>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4</w:t>
            </w:r>
            <w:r w:rsidRPr="00BB2653">
              <w:rPr>
                <w:b/>
                <w:bCs/>
                <w:lang w:val="en-GB"/>
              </w:rPr>
              <w:br/>
              <w:t>(£K)</w:t>
            </w:r>
          </w:p>
        </w:tc>
        <w:tc>
          <w:tcPr>
            <w:tcW w:w="580" w:type="pct"/>
            <w:tcBorders>
              <w:top w:val="single" w:sz="4" w:space="0" w:color="auto"/>
              <w:left w:val="nil"/>
              <w:bottom w:val="single" w:sz="4" w:space="0" w:color="auto"/>
              <w:right w:val="single" w:sz="4" w:space="0" w:color="auto"/>
            </w:tcBorders>
            <w:shd w:val="clear" w:color="000000" w:fill="C0C0C0"/>
            <w:vAlign w:val="center"/>
            <w:hideMark/>
          </w:tcPr>
          <w:p w:rsidR="00974368" w:rsidRPr="00BB2653" w:rsidRDefault="00974368" w:rsidP="00754265">
            <w:pPr>
              <w:spacing w:before="0" w:after="0"/>
              <w:jc w:val="center"/>
              <w:rPr>
                <w:b/>
                <w:bCs/>
                <w:lang w:val="en-GB"/>
              </w:rPr>
            </w:pPr>
            <w:r w:rsidRPr="00BB2653">
              <w:rPr>
                <w:b/>
                <w:bCs/>
                <w:lang w:val="en-GB"/>
              </w:rPr>
              <w:t>Year 5</w:t>
            </w:r>
            <w:r w:rsidRPr="00BB2653">
              <w:rPr>
                <w:b/>
                <w:bCs/>
                <w:lang w:val="en-GB"/>
              </w:rPr>
              <w:br/>
              <w:t>(£K)</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000000" w:fill="FFFFFF"/>
            <w:noWrap/>
            <w:vAlign w:val="center"/>
            <w:hideMark/>
          </w:tcPr>
          <w:p w:rsidR="00974368" w:rsidRPr="00BB2653" w:rsidRDefault="00974368" w:rsidP="00754265">
            <w:pPr>
              <w:spacing w:before="0" w:after="0"/>
              <w:jc w:val="center"/>
              <w:rPr>
                <w:lang w:val="en-GB"/>
              </w:rPr>
            </w:pPr>
            <w:r w:rsidRPr="00BB2653">
              <w:rPr>
                <w:lang w:val="en-GB"/>
              </w:rPr>
              <w:t>HYUNDAI</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(725)</w:t>
            </w:r>
          </w:p>
        </w:tc>
        <w:tc>
          <w:tcPr>
            <w:tcW w:w="582"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(447)</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(352)</w:t>
            </w:r>
          </w:p>
        </w:tc>
        <w:tc>
          <w:tcPr>
            <w:tcW w:w="547"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(287)</w:t>
            </w:r>
          </w:p>
        </w:tc>
        <w:tc>
          <w:tcPr>
            <w:tcW w:w="485"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(144)</w:t>
            </w:r>
          </w:p>
        </w:tc>
        <w:tc>
          <w:tcPr>
            <w:tcW w:w="580" w:type="pct"/>
            <w:tcBorders>
              <w:top w:val="nil"/>
              <w:left w:val="nil"/>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(6)</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000000" w:fill="FFFFFF"/>
            <w:noWrap/>
            <w:vAlign w:val="center"/>
            <w:hideMark/>
          </w:tcPr>
          <w:p w:rsidR="00974368" w:rsidRPr="00BB2653" w:rsidRDefault="00974368" w:rsidP="00754265">
            <w:pPr>
              <w:spacing w:before="0" w:after="0"/>
              <w:jc w:val="center"/>
              <w:rPr>
                <w:lang w:val="en-GB"/>
              </w:rPr>
            </w:pPr>
            <w:r w:rsidRPr="00BB2653">
              <w:rPr>
                <w:lang w:val="en-GB"/>
              </w:rPr>
              <w:t>Datum NPV</w:t>
            </w:r>
          </w:p>
        </w:tc>
        <w:tc>
          <w:tcPr>
            <w:tcW w:w="485"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b/>
                <w:bCs/>
                <w:lang w:val="en-GB"/>
              </w:rPr>
            </w:pPr>
          </w:p>
        </w:tc>
        <w:tc>
          <w:tcPr>
            <w:tcW w:w="1676" w:type="pct"/>
            <w:gridSpan w:val="3"/>
            <w:vMerge w:val="restar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noProof/>
              </w:rPr>
              <w:drawing>
                <wp:anchor distT="0" distB="0" distL="114300" distR="114300" simplePos="0" relativeHeight="251660288" behindDoc="0" locked="0" layoutInCell="1" allowOverlap="1">
                  <wp:simplePos x="0" y="0"/>
                  <wp:positionH relativeFrom="column">
                    <wp:posOffset>752475</wp:posOffset>
                  </wp:positionH>
                  <wp:positionV relativeFrom="paragraph">
                    <wp:posOffset>104775</wp:posOffset>
                  </wp:positionV>
                  <wp:extent cx="1038225" cy="381000"/>
                  <wp:effectExtent l="0" t="0" r="0" b="0"/>
                  <wp:wrapNone/>
                  <wp:docPr id="3" name="Rectangl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514726" y="4381500"/>
                            <a:ext cx="971550" cy="323850"/>
                            <a:chOff x="3514726" y="4381500"/>
                            <a:chExt cx="971550" cy="323850"/>
                          </a:xfrm>
                        </a:grpSpPr>
                        <a:sp>
                          <a:nvSpPr>
                            <a:cNvPr id="2" name="Rectangle 1">
                              <a:extLst>
                                <a:ext uri="{FF2B5EF4-FFF2-40B4-BE49-F238E27FC236}">
                                  <a16:creationId xmlns:o="urn:schemas-microsoft-com:office:office" xmlns:v="urn:schemas-microsoft-com:vml" xmlns:w10="urn:schemas-microsoft-com:office:word" xmlns:w="http://schemas.openxmlformats.org/wordprocessingml/2006/main" xmlns="" xmlns:a16="http://schemas.microsoft.com/office/drawing/2014/main" xmlns:xdr="http://schemas.openxmlformats.org/drawingml/2006/spreadsheetDrawing" id="{00000000-0008-0000-0000-000002000000}"/>
                                </a:ext>
                              </a:extLst>
                            </a:cNvPr>
                            <a:cNvSpPr/>
                          </a:nvSpPr>
                          <a:spPr>
                            <a:xfrm>
                              <a:off x="3514726" y="4381500"/>
                              <a:ext cx="914400" cy="323850"/>
                            </a:xfrm>
                            <a:prstGeom prst="rect">
                              <a:avLst/>
                            </a:prstGeom>
                            <a:solidFill>
                              <a:schemeClr val="bg1">
                                <a:lumMod val="75000"/>
                              </a:schemeClr>
                            </a:solidFill>
                            <a:scene3d>
                              <a:camera prst="orthographicFront"/>
                              <a:lightRig rig="threePt" dir="t"/>
                            </a:scene3d>
                            <a:sp3d>
                              <a:bevelT/>
                            </a:sp3d>
                          </a:spPr>
                          <a:txSp>
                            <a:txBody>
                              <a:bodyPr vertOverflow="clip" horzOverflow="clip" rtlCol="0" anchor="ctr" anchorCtr="1"/>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l"/>
                                <a:r>
                                  <a:rPr lang="en-GB" sz="1100" b="1">
                                    <a:solidFill>
                                      <a:schemeClr val="tx1"/>
                                    </a:solidFill>
                                  </a:rPr>
                                  <a:t>Datum NPV</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tc>
        <w:tc>
          <w:tcPr>
            <w:tcW w:w="485"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b/>
                <w:bCs/>
                <w:lang w:val="en-GB"/>
              </w:rPr>
            </w:pPr>
          </w:p>
        </w:tc>
        <w:tc>
          <w:tcPr>
            <w:tcW w:w="580"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830</w:t>
            </w:r>
          </w:p>
        </w:tc>
      </w:tr>
      <w:tr w:rsidR="00974368" w:rsidRPr="00BB2653" w:rsidTr="00440E23">
        <w:trPr>
          <w:trHeight w:val="390"/>
        </w:trPr>
        <w:tc>
          <w:tcPr>
            <w:tcW w:w="1773" w:type="pct"/>
            <w:tcBorders>
              <w:top w:val="nil"/>
              <w:left w:val="single" w:sz="4" w:space="0" w:color="auto"/>
              <w:bottom w:val="single" w:sz="4" w:space="0" w:color="auto"/>
              <w:right w:val="single" w:sz="4" w:space="0" w:color="auto"/>
            </w:tcBorders>
            <w:shd w:val="clear" w:color="000000" w:fill="FFFFFF"/>
            <w:noWrap/>
            <w:vAlign w:val="center"/>
            <w:hideMark/>
          </w:tcPr>
          <w:p w:rsidR="00974368" w:rsidRPr="00BB2653" w:rsidRDefault="00974368" w:rsidP="00754265">
            <w:pPr>
              <w:spacing w:before="0" w:after="0"/>
              <w:jc w:val="center"/>
              <w:rPr>
                <w:lang w:val="en-GB"/>
              </w:rPr>
            </w:pPr>
            <w:r w:rsidRPr="00BB2653">
              <w:rPr>
                <w:lang w:val="en-GB"/>
              </w:rPr>
              <w:t>NPV Change from Datum</w:t>
            </w:r>
          </w:p>
        </w:tc>
        <w:tc>
          <w:tcPr>
            <w:tcW w:w="485"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b/>
                <w:bCs/>
                <w:lang w:val="en-GB"/>
              </w:rPr>
            </w:pPr>
          </w:p>
        </w:tc>
        <w:tc>
          <w:tcPr>
            <w:tcW w:w="1676" w:type="pct"/>
            <w:gridSpan w:val="3"/>
            <w:vMerge/>
            <w:tcBorders>
              <w:top w:val="nil"/>
              <w:left w:val="nil"/>
              <w:bottom w:val="nil"/>
              <w:right w:val="nil"/>
            </w:tcBorders>
            <w:vAlign w:val="center"/>
            <w:hideMark/>
          </w:tcPr>
          <w:p w:rsidR="00974368" w:rsidRPr="00BB2653" w:rsidRDefault="00974368" w:rsidP="00754265">
            <w:pPr>
              <w:spacing w:before="0" w:after="0"/>
              <w:jc w:val="left"/>
              <w:rPr>
                <w:b/>
                <w:bCs/>
                <w:lang w:val="en-GB"/>
              </w:rPr>
            </w:pPr>
          </w:p>
        </w:tc>
        <w:tc>
          <w:tcPr>
            <w:tcW w:w="485" w:type="pct"/>
            <w:tcBorders>
              <w:top w:val="nil"/>
              <w:left w:val="nil"/>
              <w:bottom w:val="nil"/>
              <w:right w:val="nil"/>
            </w:tcBorders>
            <w:shd w:val="clear" w:color="auto" w:fill="auto"/>
            <w:noWrap/>
            <w:vAlign w:val="center"/>
            <w:hideMark/>
          </w:tcPr>
          <w:p w:rsidR="00974368" w:rsidRPr="00BB2653" w:rsidRDefault="00974368" w:rsidP="00754265">
            <w:pPr>
              <w:spacing w:before="0" w:after="0"/>
              <w:jc w:val="center"/>
              <w:rPr>
                <w:b/>
                <w:bCs/>
                <w:lang w:val="en-GB"/>
              </w:rPr>
            </w:pPr>
          </w:p>
        </w:tc>
        <w:tc>
          <w:tcPr>
            <w:tcW w:w="580" w:type="pct"/>
            <w:tcBorders>
              <w:top w:val="nil"/>
              <w:left w:val="single" w:sz="4" w:space="0" w:color="auto"/>
              <w:bottom w:val="single" w:sz="4" w:space="0" w:color="auto"/>
              <w:right w:val="single" w:sz="4" w:space="0" w:color="auto"/>
            </w:tcBorders>
            <w:shd w:val="clear" w:color="auto" w:fill="auto"/>
            <w:noWrap/>
            <w:vAlign w:val="center"/>
            <w:hideMark/>
          </w:tcPr>
          <w:p w:rsidR="00974368" w:rsidRPr="00BB2653" w:rsidRDefault="00974368" w:rsidP="00754265">
            <w:pPr>
              <w:spacing w:before="0" w:after="0"/>
              <w:jc w:val="center"/>
              <w:rPr>
                <w:b/>
                <w:bCs/>
                <w:lang w:val="en-GB"/>
              </w:rPr>
            </w:pPr>
            <w:r w:rsidRPr="00BB2653">
              <w:rPr>
                <w:b/>
                <w:bCs/>
                <w:lang w:val="en-GB"/>
              </w:rPr>
              <w:t>(100.8%)</w:t>
            </w:r>
          </w:p>
        </w:tc>
      </w:tr>
    </w:tbl>
    <w:p w:rsidR="000E6666" w:rsidRPr="00BB2653" w:rsidRDefault="001A5FC5" w:rsidP="00754265">
      <w:pPr>
        <w:pStyle w:val="normal0"/>
        <w:jc w:val="center"/>
        <w:rPr>
          <w:b/>
          <w:lang w:val="en-GB"/>
        </w:rPr>
      </w:pPr>
      <w:r w:rsidRPr="00BB2653">
        <w:rPr>
          <w:b/>
          <w:lang w:val="en-GB"/>
        </w:rPr>
        <w:t>Table 2: Calculation for Net Present Value</w:t>
      </w:r>
    </w:p>
    <w:p w:rsidR="008371CD" w:rsidRPr="00BB2653" w:rsidRDefault="001A5FC5" w:rsidP="00754265">
      <w:pPr>
        <w:pStyle w:val="normal0"/>
        <w:jc w:val="center"/>
        <w:rPr>
          <w:noProof/>
        </w:rPr>
      </w:pPr>
      <w:r w:rsidRPr="00BB2653">
        <w:rPr>
          <w:lang w:val="en-GB"/>
        </w:rPr>
        <w:t>(Source: Created by the author)</w:t>
      </w:r>
      <w:r w:rsidR="004B5DA0" w:rsidRPr="00BB2653">
        <w:rPr>
          <w:noProof/>
        </w:rPr>
        <w:t xml:space="preserve"> </w:t>
      </w:r>
    </w:p>
    <w:tbl>
      <w:tblPr>
        <w:tblW w:w="2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9"/>
        <w:gridCol w:w="2067"/>
      </w:tblGrid>
      <w:tr w:rsidR="008371CD" w:rsidRPr="00BB2653" w:rsidTr="007E0D2F">
        <w:trPr>
          <w:trHeight w:val="450"/>
          <w:jc w:val="center"/>
        </w:trPr>
        <w:tc>
          <w:tcPr>
            <w:tcW w:w="2836" w:type="pct"/>
            <w:shd w:val="clear" w:color="000000" w:fill="FFFFFF"/>
            <w:noWrap/>
            <w:vAlign w:val="center"/>
            <w:hideMark/>
          </w:tcPr>
          <w:p w:rsidR="008371CD" w:rsidRPr="00BB2653" w:rsidRDefault="008371CD" w:rsidP="00754265">
            <w:pPr>
              <w:spacing w:before="0" w:after="0"/>
              <w:jc w:val="center"/>
              <w:rPr>
                <w:b/>
                <w:bCs/>
                <w:szCs w:val="20"/>
              </w:rPr>
            </w:pPr>
            <w:r w:rsidRPr="00BB2653">
              <w:rPr>
                <w:b/>
                <w:bCs/>
                <w:szCs w:val="20"/>
              </w:rPr>
              <w:t> </w:t>
            </w:r>
          </w:p>
        </w:tc>
        <w:tc>
          <w:tcPr>
            <w:tcW w:w="2164" w:type="pct"/>
            <w:shd w:val="clear" w:color="000000" w:fill="C0C0C0"/>
            <w:noWrap/>
            <w:vAlign w:val="center"/>
            <w:hideMark/>
          </w:tcPr>
          <w:p w:rsidR="008371CD" w:rsidRPr="00BB2653" w:rsidRDefault="008371CD" w:rsidP="00754265">
            <w:pPr>
              <w:spacing w:before="0" w:after="0"/>
              <w:jc w:val="center"/>
              <w:rPr>
                <w:b/>
                <w:bCs/>
                <w:szCs w:val="20"/>
              </w:rPr>
            </w:pPr>
            <w:r w:rsidRPr="00BB2653">
              <w:rPr>
                <w:b/>
                <w:bCs/>
                <w:szCs w:val="20"/>
              </w:rPr>
              <w:t>%</w:t>
            </w:r>
          </w:p>
        </w:tc>
      </w:tr>
      <w:tr w:rsidR="008371CD" w:rsidRPr="00BB2653" w:rsidTr="007E0D2F">
        <w:trPr>
          <w:trHeight w:val="390"/>
          <w:jc w:val="center"/>
        </w:trPr>
        <w:tc>
          <w:tcPr>
            <w:tcW w:w="2836" w:type="pct"/>
            <w:shd w:val="clear" w:color="000000" w:fill="FFFFFF"/>
            <w:noWrap/>
            <w:vAlign w:val="center"/>
            <w:hideMark/>
          </w:tcPr>
          <w:p w:rsidR="008371CD" w:rsidRPr="00BB2653" w:rsidRDefault="008371CD" w:rsidP="00754265">
            <w:pPr>
              <w:spacing w:before="0" w:after="0"/>
              <w:jc w:val="center"/>
              <w:rPr>
                <w:szCs w:val="20"/>
              </w:rPr>
            </w:pPr>
            <w:r w:rsidRPr="00BB2653">
              <w:rPr>
                <w:szCs w:val="20"/>
              </w:rPr>
              <w:t>Cost Variance</w:t>
            </w:r>
          </w:p>
        </w:tc>
        <w:tc>
          <w:tcPr>
            <w:tcW w:w="2164" w:type="pct"/>
            <w:shd w:val="clear" w:color="000000" w:fill="CCFFFF"/>
            <w:noWrap/>
            <w:vAlign w:val="center"/>
            <w:hideMark/>
          </w:tcPr>
          <w:p w:rsidR="008371CD" w:rsidRPr="00BB2653" w:rsidRDefault="008371CD" w:rsidP="00754265">
            <w:pPr>
              <w:spacing w:before="0" w:after="0"/>
              <w:jc w:val="center"/>
              <w:rPr>
                <w:szCs w:val="20"/>
              </w:rPr>
            </w:pPr>
            <w:bookmarkStart w:id="14" w:name="RANGE!J6"/>
            <w:r w:rsidRPr="00BB2653">
              <w:rPr>
                <w:szCs w:val="20"/>
              </w:rPr>
              <w:t>100.0</w:t>
            </w:r>
            <w:bookmarkEnd w:id="14"/>
          </w:p>
        </w:tc>
      </w:tr>
      <w:tr w:rsidR="008371CD" w:rsidRPr="00BB2653" w:rsidTr="007E0D2F">
        <w:trPr>
          <w:trHeight w:val="390"/>
          <w:jc w:val="center"/>
        </w:trPr>
        <w:tc>
          <w:tcPr>
            <w:tcW w:w="2836" w:type="pct"/>
            <w:shd w:val="clear" w:color="000000" w:fill="FFFFFF"/>
            <w:noWrap/>
            <w:vAlign w:val="center"/>
            <w:hideMark/>
          </w:tcPr>
          <w:p w:rsidR="008371CD" w:rsidRPr="00BB2653" w:rsidRDefault="008371CD" w:rsidP="00754265">
            <w:pPr>
              <w:spacing w:before="0" w:after="0"/>
              <w:jc w:val="center"/>
              <w:rPr>
                <w:szCs w:val="20"/>
              </w:rPr>
            </w:pPr>
            <w:r w:rsidRPr="00BB2653">
              <w:rPr>
                <w:szCs w:val="20"/>
              </w:rPr>
              <w:t>Cash</w:t>
            </w:r>
            <w:r w:rsidR="00403ADA" w:rsidRPr="00BB2653">
              <w:rPr>
                <w:szCs w:val="20"/>
              </w:rPr>
              <w:t xml:space="preserve"> </w:t>
            </w:r>
            <w:r w:rsidRPr="00BB2653">
              <w:rPr>
                <w:szCs w:val="20"/>
              </w:rPr>
              <w:t>flow Variance</w:t>
            </w:r>
          </w:p>
        </w:tc>
        <w:tc>
          <w:tcPr>
            <w:tcW w:w="2164" w:type="pct"/>
            <w:shd w:val="clear" w:color="000000" w:fill="CCFFFF"/>
            <w:noWrap/>
            <w:vAlign w:val="center"/>
            <w:hideMark/>
          </w:tcPr>
          <w:p w:rsidR="008371CD" w:rsidRPr="00BB2653" w:rsidRDefault="008371CD" w:rsidP="00754265">
            <w:pPr>
              <w:spacing w:before="0" w:after="0"/>
              <w:jc w:val="center"/>
              <w:rPr>
                <w:szCs w:val="20"/>
              </w:rPr>
            </w:pPr>
            <w:bookmarkStart w:id="15" w:name="RANGE!J7"/>
            <w:r w:rsidRPr="00BB2653">
              <w:rPr>
                <w:szCs w:val="20"/>
              </w:rPr>
              <w:t>100.0</w:t>
            </w:r>
            <w:bookmarkEnd w:id="15"/>
          </w:p>
        </w:tc>
      </w:tr>
      <w:tr w:rsidR="008371CD" w:rsidRPr="00BB2653" w:rsidTr="007E0D2F">
        <w:trPr>
          <w:trHeight w:val="390"/>
          <w:jc w:val="center"/>
        </w:trPr>
        <w:tc>
          <w:tcPr>
            <w:tcW w:w="2836" w:type="pct"/>
            <w:shd w:val="clear" w:color="000000" w:fill="FFFFFF"/>
            <w:noWrap/>
            <w:vAlign w:val="center"/>
            <w:hideMark/>
          </w:tcPr>
          <w:p w:rsidR="008371CD" w:rsidRPr="00BB2653" w:rsidRDefault="008371CD" w:rsidP="00754265">
            <w:pPr>
              <w:spacing w:before="0" w:after="0"/>
              <w:jc w:val="center"/>
              <w:rPr>
                <w:szCs w:val="20"/>
              </w:rPr>
            </w:pPr>
            <w:r w:rsidRPr="00BB2653">
              <w:rPr>
                <w:szCs w:val="20"/>
              </w:rPr>
              <w:t> </w:t>
            </w:r>
          </w:p>
        </w:tc>
        <w:tc>
          <w:tcPr>
            <w:tcW w:w="2164" w:type="pct"/>
            <w:shd w:val="clear" w:color="000000" w:fill="CCFFFF"/>
            <w:noWrap/>
            <w:vAlign w:val="center"/>
            <w:hideMark/>
          </w:tcPr>
          <w:p w:rsidR="008371CD" w:rsidRPr="00BB2653" w:rsidRDefault="008371CD" w:rsidP="00754265">
            <w:pPr>
              <w:spacing w:before="0" w:after="0"/>
              <w:jc w:val="center"/>
              <w:rPr>
                <w:szCs w:val="20"/>
              </w:rPr>
            </w:pPr>
            <w:r w:rsidRPr="00BB2653">
              <w:rPr>
                <w:szCs w:val="20"/>
              </w:rPr>
              <w:t>%</w:t>
            </w:r>
          </w:p>
        </w:tc>
      </w:tr>
      <w:tr w:rsidR="008371CD" w:rsidRPr="00BB2653" w:rsidTr="007E0D2F">
        <w:trPr>
          <w:trHeight w:val="390"/>
          <w:jc w:val="center"/>
        </w:trPr>
        <w:tc>
          <w:tcPr>
            <w:tcW w:w="2836" w:type="pct"/>
            <w:shd w:val="clear" w:color="000000" w:fill="FFFFFF"/>
            <w:noWrap/>
            <w:vAlign w:val="center"/>
            <w:hideMark/>
          </w:tcPr>
          <w:p w:rsidR="008371CD" w:rsidRPr="00BB2653" w:rsidRDefault="008371CD" w:rsidP="00754265">
            <w:pPr>
              <w:spacing w:before="0" w:after="0"/>
              <w:jc w:val="center"/>
              <w:rPr>
                <w:szCs w:val="20"/>
              </w:rPr>
            </w:pPr>
            <w:r w:rsidRPr="00BB2653">
              <w:rPr>
                <w:szCs w:val="20"/>
              </w:rPr>
              <w:t>CoC</w:t>
            </w:r>
          </w:p>
        </w:tc>
        <w:tc>
          <w:tcPr>
            <w:tcW w:w="2164" w:type="pct"/>
            <w:shd w:val="clear" w:color="000000" w:fill="CCFFFF"/>
            <w:noWrap/>
            <w:vAlign w:val="center"/>
            <w:hideMark/>
          </w:tcPr>
          <w:p w:rsidR="008371CD" w:rsidRPr="00BB2653" w:rsidRDefault="008371CD" w:rsidP="00754265">
            <w:pPr>
              <w:spacing w:before="0" w:after="0"/>
              <w:jc w:val="center"/>
              <w:rPr>
                <w:szCs w:val="20"/>
              </w:rPr>
            </w:pPr>
            <w:r w:rsidRPr="00BB2653">
              <w:rPr>
                <w:szCs w:val="20"/>
              </w:rPr>
              <w:t>10.0</w:t>
            </w:r>
          </w:p>
        </w:tc>
      </w:tr>
    </w:tbl>
    <w:p w:rsidR="008371CD" w:rsidRPr="00BB2653" w:rsidRDefault="008371CD" w:rsidP="00754265">
      <w:pPr>
        <w:pStyle w:val="normal0"/>
        <w:jc w:val="center"/>
        <w:rPr>
          <w:b/>
          <w:noProof/>
        </w:rPr>
      </w:pPr>
      <w:r w:rsidRPr="00BB2653">
        <w:rPr>
          <w:b/>
          <w:noProof/>
        </w:rPr>
        <w:t>Table 3: Calculation of Cost of Capital</w:t>
      </w:r>
    </w:p>
    <w:p w:rsidR="008371CD" w:rsidRPr="00BB2653" w:rsidRDefault="008371CD" w:rsidP="00754265">
      <w:pPr>
        <w:pStyle w:val="normal0"/>
        <w:jc w:val="center"/>
        <w:rPr>
          <w:noProof/>
        </w:rPr>
      </w:pPr>
      <w:r w:rsidRPr="00BB2653">
        <w:rPr>
          <w:noProof/>
        </w:rPr>
        <w:t>(Source: Created by author)</w:t>
      </w:r>
    </w:p>
    <w:p w:rsidR="000E6666" w:rsidRPr="00BB2653" w:rsidRDefault="004B5DA0" w:rsidP="00754265">
      <w:pPr>
        <w:pStyle w:val="normal0"/>
        <w:jc w:val="center"/>
        <w:rPr>
          <w:noProof/>
        </w:rPr>
      </w:pPr>
      <w:r w:rsidRPr="00BB2653">
        <w:rPr>
          <w:noProof/>
        </w:rPr>
        <w:lastRenderedPageBreak/>
        <w:drawing>
          <wp:inline distT="0" distB="0" distL="0" distR="0">
            <wp:extent cx="5733415" cy="2385248"/>
            <wp:effectExtent l="19050" t="0" r="19685" b="0"/>
            <wp:docPr id="1" name="Chart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C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4C9E" w:rsidRPr="00BB2653" w:rsidRDefault="008371CD" w:rsidP="00754265">
      <w:pPr>
        <w:pStyle w:val="normal0"/>
        <w:jc w:val="center"/>
        <w:rPr>
          <w:b/>
          <w:lang w:val="en-GB"/>
        </w:rPr>
      </w:pPr>
      <w:r w:rsidRPr="00BB2653">
        <w:rPr>
          <w:b/>
          <w:lang w:val="en-GB"/>
        </w:rPr>
        <w:t>Figure 1: Investment Appraisal NPV</w:t>
      </w:r>
    </w:p>
    <w:p w:rsidR="008371CD" w:rsidRPr="00BB2653" w:rsidRDefault="008371CD" w:rsidP="00754265">
      <w:pPr>
        <w:pStyle w:val="normal0"/>
        <w:jc w:val="center"/>
        <w:rPr>
          <w:lang w:val="en-GB"/>
        </w:rPr>
      </w:pPr>
      <w:r w:rsidRPr="00BB2653">
        <w:rPr>
          <w:lang w:val="en-GB"/>
        </w:rPr>
        <w:t>(Source: Created by author)</w:t>
      </w:r>
    </w:p>
    <w:p w:rsidR="000E6666" w:rsidRPr="00BB2653" w:rsidRDefault="001A5FC5" w:rsidP="00754265">
      <w:pPr>
        <w:pStyle w:val="normal0"/>
        <w:rPr>
          <w:b/>
          <w:lang w:val="en-GB"/>
        </w:rPr>
      </w:pPr>
      <w:r w:rsidRPr="00BB2653">
        <w:rPr>
          <w:b/>
          <w:lang w:val="en-GB"/>
        </w:rPr>
        <w:t>Accounting Rate of Return:</w:t>
      </w:r>
    </w:p>
    <w:tbl>
      <w:tblPr>
        <w:tblStyle w:val="a1"/>
        <w:tblW w:w="5130" w:type="dxa"/>
        <w:jc w:val="center"/>
        <w:tblBorders>
          <w:top w:val="nil"/>
          <w:left w:val="nil"/>
          <w:bottom w:val="nil"/>
          <w:right w:val="nil"/>
          <w:insideH w:val="nil"/>
          <w:insideV w:val="nil"/>
        </w:tblBorders>
        <w:tblLayout w:type="fixed"/>
        <w:tblLook w:val="0600"/>
      </w:tblPr>
      <w:tblGrid>
        <w:gridCol w:w="3870"/>
        <w:gridCol w:w="1260"/>
      </w:tblGrid>
      <w:tr w:rsidR="000E6666" w:rsidRPr="00BB2653">
        <w:trPr>
          <w:cantSplit/>
          <w:trHeight w:val="515"/>
          <w:tblHeader/>
          <w:jc w:val="center"/>
        </w:trPr>
        <w:tc>
          <w:tcPr>
            <w:tcW w:w="5130" w:type="dxa"/>
            <w:gridSpan w:val="2"/>
            <w:tcBorders>
              <w:top w:val="single" w:sz="8" w:space="0" w:color="000000"/>
              <w:left w:val="single" w:sz="8" w:space="0" w:color="000000"/>
              <w:bottom w:val="single" w:sz="8" w:space="0" w:color="000000"/>
              <w:right w:val="single" w:sz="8" w:space="0" w:color="000000"/>
            </w:tcBorders>
            <w:shd w:val="clear" w:color="auto" w:fill="C5D9F1"/>
            <w:tcMar>
              <w:top w:w="100" w:type="dxa"/>
              <w:left w:w="100" w:type="dxa"/>
              <w:bottom w:w="100" w:type="dxa"/>
              <w:right w:w="100" w:type="dxa"/>
            </w:tcMar>
            <w:vAlign w:val="bottom"/>
          </w:tcPr>
          <w:p w:rsidR="000E6666" w:rsidRPr="00BB2653" w:rsidRDefault="001A5FC5" w:rsidP="00754265">
            <w:pPr>
              <w:pStyle w:val="normal0"/>
              <w:spacing w:before="240" w:after="0"/>
              <w:ind w:left="100"/>
              <w:jc w:val="center"/>
              <w:rPr>
                <w:b/>
                <w:lang w:val="en-GB"/>
              </w:rPr>
            </w:pPr>
            <w:r w:rsidRPr="00BB2653">
              <w:rPr>
                <w:b/>
                <w:lang w:val="en-GB"/>
              </w:rPr>
              <w:t>Calculation of ARR</w:t>
            </w:r>
          </w:p>
        </w:tc>
      </w:tr>
      <w:tr w:rsidR="000E6666" w:rsidRPr="00BB2653">
        <w:trPr>
          <w:cantSplit/>
          <w:trHeight w:val="515"/>
          <w:tblHeader/>
          <w:jc w:val="center"/>
        </w:trPr>
        <w:tc>
          <w:tcPr>
            <w:tcW w:w="387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bottom"/>
          </w:tcPr>
          <w:p w:rsidR="000E6666" w:rsidRPr="00BB2653" w:rsidRDefault="001A5FC5" w:rsidP="00754265">
            <w:pPr>
              <w:pStyle w:val="normal0"/>
              <w:spacing w:before="240" w:after="0"/>
              <w:ind w:left="100"/>
              <w:rPr>
                <w:lang w:val="en-GB"/>
              </w:rPr>
            </w:pPr>
            <w:r w:rsidRPr="00BB2653">
              <w:rPr>
                <w:lang w:val="en-GB"/>
              </w:rPr>
              <w:t>Average Annual Profit</w:t>
            </w:r>
          </w:p>
        </w:tc>
        <w:tc>
          <w:tcPr>
            <w:tcW w:w="1260" w:type="dxa"/>
            <w:tcBorders>
              <w:top w:val="nil"/>
              <w:left w:val="nil"/>
              <w:bottom w:val="single" w:sz="8" w:space="0" w:color="000000"/>
              <w:right w:val="single" w:sz="8" w:space="0" w:color="000000"/>
            </w:tcBorders>
            <w:shd w:val="clear" w:color="auto" w:fill="FDE9D9"/>
            <w:tcMar>
              <w:top w:w="100" w:type="dxa"/>
              <w:left w:w="100" w:type="dxa"/>
              <w:bottom w:w="100" w:type="dxa"/>
              <w:right w:w="100" w:type="dxa"/>
            </w:tcMar>
            <w:vAlign w:val="bottom"/>
          </w:tcPr>
          <w:p w:rsidR="000E6666" w:rsidRPr="00BB2653" w:rsidRDefault="001A5FC5" w:rsidP="00754265">
            <w:pPr>
              <w:pStyle w:val="normal0"/>
              <w:spacing w:before="240" w:after="0"/>
              <w:ind w:left="100"/>
              <w:jc w:val="center"/>
              <w:rPr>
                <w:lang w:val="en-GB"/>
              </w:rPr>
            </w:pPr>
            <w:r w:rsidRPr="00BB2653">
              <w:rPr>
                <w:lang w:val="en-GB"/>
              </w:rPr>
              <w:t>48260</w:t>
            </w:r>
          </w:p>
        </w:tc>
      </w:tr>
      <w:tr w:rsidR="000E6666" w:rsidRPr="00BB2653">
        <w:trPr>
          <w:cantSplit/>
          <w:trHeight w:val="515"/>
          <w:tblHeader/>
          <w:jc w:val="center"/>
        </w:trPr>
        <w:tc>
          <w:tcPr>
            <w:tcW w:w="387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bottom"/>
          </w:tcPr>
          <w:p w:rsidR="000E6666" w:rsidRPr="00BB2653" w:rsidRDefault="001A5FC5" w:rsidP="00754265">
            <w:pPr>
              <w:pStyle w:val="normal0"/>
              <w:spacing w:before="240" w:after="0"/>
              <w:ind w:left="100"/>
              <w:rPr>
                <w:lang w:val="en-GB"/>
              </w:rPr>
            </w:pPr>
            <w:r w:rsidRPr="00BB2653">
              <w:rPr>
                <w:lang w:val="en-GB"/>
              </w:rPr>
              <w:t>Average Investment</w:t>
            </w:r>
          </w:p>
        </w:tc>
        <w:tc>
          <w:tcPr>
            <w:tcW w:w="1260" w:type="dxa"/>
            <w:tcBorders>
              <w:top w:val="nil"/>
              <w:left w:val="nil"/>
              <w:bottom w:val="single" w:sz="8" w:space="0" w:color="000000"/>
              <w:right w:val="single" w:sz="8" w:space="0" w:color="000000"/>
            </w:tcBorders>
            <w:shd w:val="clear" w:color="auto" w:fill="FDE9D9"/>
            <w:tcMar>
              <w:top w:w="100" w:type="dxa"/>
              <w:left w:w="100" w:type="dxa"/>
              <w:bottom w:w="100" w:type="dxa"/>
              <w:right w:w="100" w:type="dxa"/>
            </w:tcMar>
            <w:vAlign w:val="bottom"/>
          </w:tcPr>
          <w:p w:rsidR="000E6666" w:rsidRPr="00BB2653" w:rsidRDefault="001A5FC5" w:rsidP="00754265">
            <w:pPr>
              <w:pStyle w:val="normal0"/>
              <w:spacing w:before="240" w:after="0"/>
              <w:ind w:left="100"/>
              <w:jc w:val="center"/>
              <w:rPr>
                <w:lang w:val="en-GB"/>
              </w:rPr>
            </w:pPr>
            <w:r w:rsidRPr="00BB2653">
              <w:rPr>
                <w:lang w:val="en-GB"/>
              </w:rPr>
              <w:t>435000</w:t>
            </w:r>
          </w:p>
        </w:tc>
      </w:tr>
      <w:tr w:rsidR="000E6666" w:rsidRPr="00BB2653">
        <w:trPr>
          <w:cantSplit/>
          <w:trHeight w:val="515"/>
          <w:tblHeader/>
          <w:jc w:val="center"/>
        </w:trPr>
        <w:tc>
          <w:tcPr>
            <w:tcW w:w="387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bottom"/>
          </w:tcPr>
          <w:p w:rsidR="000E6666" w:rsidRPr="00BB2653" w:rsidRDefault="001A5FC5" w:rsidP="00754265">
            <w:pPr>
              <w:pStyle w:val="normal0"/>
              <w:spacing w:before="240" w:after="0"/>
              <w:ind w:left="100"/>
              <w:rPr>
                <w:b/>
                <w:lang w:val="en-GB"/>
              </w:rPr>
            </w:pPr>
            <w:r w:rsidRPr="00BB2653">
              <w:rPr>
                <w:b/>
                <w:lang w:val="en-GB"/>
              </w:rPr>
              <w:t>Accounting Rate of Return</w:t>
            </w:r>
          </w:p>
        </w:tc>
        <w:tc>
          <w:tcPr>
            <w:tcW w:w="1260" w:type="dxa"/>
            <w:tcBorders>
              <w:top w:val="nil"/>
              <w:left w:val="nil"/>
              <w:bottom w:val="single" w:sz="8" w:space="0" w:color="000000"/>
              <w:right w:val="single" w:sz="8" w:space="0" w:color="000000"/>
            </w:tcBorders>
            <w:shd w:val="clear" w:color="auto" w:fill="FDE9D9"/>
            <w:tcMar>
              <w:top w:w="100" w:type="dxa"/>
              <w:left w:w="100" w:type="dxa"/>
              <w:bottom w:w="100" w:type="dxa"/>
              <w:right w:w="100" w:type="dxa"/>
            </w:tcMar>
            <w:vAlign w:val="bottom"/>
          </w:tcPr>
          <w:p w:rsidR="000E6666" w:rsidRPr="00BB2653" w:rsidRDefault="001A5FC5" w:rsidP="00754265">
            <w:pPr>
              <w:pStyle w:val="normal0"/>
              <w:spacing w:before="240" w:after="0"/>
              <w:ind w:left="100"/>
              <w:jc w:val="center"/>
              <w:rPr>
                <w:b/>
                <w:lang w:val="en-GB"/>
              </w:rPr>
            </w:pPr>
            <w:r w:rsidRPr="00BB2653">
              <w:rPr>
                <w:b/>
                <w:lang w:val="en-GB"/>
              </w:rPr>
              <w:t>11.09%</w:t>
            </w:r>
          </w:p>
        </w:tc>
      </w:tr>
    </w:tbl>
    <w:p w:rsidR="000E6666" w:rsidRPr="00BB2653" w:rsidRDefault="008371CD" w:rsidP="00754265">
      <w:pPr>
        <w:pStyle w:val="normal0"/>
        <w:jc w:val="center"/>
        <w:rPr>
          <w:b/>
          <w:lang w:val="en-GB"/>
        </w:rPr>
      </w:pPr>
      <w:r w:rsidRPr="00BB2653">
        <w:rPr>
          <w:b/>
          <w:lang w:val="en-GB"/>
        </w:rPr>
        <w:t>Table 4</w:t>
      </w:r>
      <w:r w:rsidR="001A5FC5" w:rsidRPr="00BB2653">
        <w:rPr>
          <w:b/>
          <w:lang w:val="en-GB"/>
        </w:rPr>
        <w:t>: Calculation for the Accounting Rate of Return</w:t>
      </w:r>
    </w:p>
    <w:p w:rsidR="000E6666" w:rsidRPr="00BB2653" w:rsidRDefault="001A5FC5" w:rsidP="00754265">
      <w:pPr>
        <w:pStyle w:val="normal0"/>
        <w:jc w:val="center"/>
        <w:rPr>
          <w:lang w:val="en-GB"/>
        </w:rPr>
      </w:pPr>
      <w:r w:rsidRPr="00BB2653">
        <w:rPr>
          <w:lang w:val="en-GB"/>
        </w:rPr>
        <w:t>(Source: Created by the author)</w:t>
      </w:r>
    </w:p>
    <w:p w:rsidR="00557747" w:rsidRPr="00BB2653" w:rsidRDefault="001A5FC5" w:rsidP="00754265">
      <w:pPr>
        <w:pStyle w:val="normal0"/>
        <w:rPr>
          <w:lang w:val="en-GB"/>
        </w:rPr>
      </w:pPr>
      <w:r w:rsidRPr="00BB2653">
        <w:rPr>
          <w:lang w:val="en-GB"/>
        </w:rPr>
        <w:t xml:space="preserve">Calculation of the payback period shows that the estimated time to return the invested money will be 4 years and 5 months. As per the views Ainia </w:t>
      </w:r>
      <w:r w:rsidRPr="00BB2653">
        <w:rPr>
          <w:i/>
          <w:lang w:val="en-GB"/>
        </w:rPr>
        <w:t>et al</w:t>
      </w:r>
      <w:r w:rsidRPr="00BB2653">
        <w:rPr>
          <w:lang w:val="en-GB"/>
        </w:rPr>
        <w:t>., (2019), the risk is higher in terms of investing as the time estimated is higher which</w:t>
      </w:r>
      <w:r w:rsidR="00557747" w:rsidRPr="00BB2653">
        <w:rPr>
          <w:lang w:val="en-GB"/>
        </w:rPr>
        <w:t xml:space="preserve"> can make losses for the company. Payback period for this investment is not suitable or feasible for the company because the risk is too high for the company in this situation. </w:t>
      </w:r>
      <w:r w:rsidRPr="00BB2653">
        <w:rPr>
          <w:lang w:val="en-GB"/>
        </w:rPr>
        <w:t>It can face losses as the calculation has shown the future possibility. In reference to the words of Brodziński</w:t>
      </w:r>
      <w:r w:rsidRPr="00BB2653">
        <w:rPr>
          <w:i/>
          <w:lang w:val="en-GB"/>
        </w:rPr>
        <w:t xml:space="preserve"> et al.</w:t>
      </w:r>
      <w:r w:rsidRPr="00BB2653">
        <w:rPr>
          <w:lang w:val="en-GB"/>
        </w:rPr>
        <w:t xml:space="preserve">, (2021), the payback period indicates the risk is very high to be investing at this point in time. </w:t>
      </w:r>
    </w:p>
    <w:p w:rsidR="00462800" w:rsidRPr="00BB2653" w:rsidRDefault="001A5FC5" w:rsidP="00754265">
      <w:pPr>
        <w:pStyle w:val="normal0"/>
        <w:rPr>
          <w:lang w:val="en-GB"/>
        </w:rPr>
      </w:pPr>
      <w:r w:rsidRPr="00BB2653">
        <w:rPr>
          <w:lang w:val="en-GB"/>
        </w:rPr>
        <w:lastRenderedPageBreak/>
        <w:t>The calculation shows that the net present value of the company is negative. The negative NPV is the indication of not accepting the project as it will result in net losses. As suggested by D’Auria and De Smet (2020), the company should not accept the project further as it would raise losses for the company in the future.</w:t>
      </w:r>
      <w:r w:rsidR="003D3753" w:rsidRPr="00BB2653">
        <w:rPr>
          <w:lang w:val="en-GB"/>
        </w:rPr>
        <w:t xml:space="preserve"> After the calculation of NPV it can be derived that it is in negative figure which is £-6. Therefore, it is not suitable for the company to invest in this new machinery to be able to have an effective workforce going on. The unit should function as it is going or invest in some new machinery which does not cause harm to the financial performance to the company. It can be derived that the financial performance of the company is not ready to be able to afford the net loss which will come with the investment.</w:t>
      </w:r>
      <w:r w:rsidR="00C31738" w:rsidRPr="00BB2653">
        <w:rPr>
          <w:lang w:val="en-GB"/>
        </w:rPr>
        <w:t xml:space="preserve"> Cost of capital is 10% which affected in the derivation of NPV.</w:t>
      </w:r>
    </w:p>
    <w:p w:rsidR="000E6666" w:rsidRPr="00BB2653" w:rsidRDefault="001A5FC5" w:rsidP="00754265">
      <w:pPr>
        <w:pStyle w:val="normal0"/>
        <w:rPr>
          <w:lang w:val="en-GB"/>
        </w:rPr>
      </w:pPr>
      <w:r w:rsidRPr="00BB2653">
        <w:rPr>
          <w:lang w:val="en-GB"/>
        </w:rPr>
        <w:t>ARR is calculated to know about the return that is calculated from the net income of the suggested capital investment. The accounting rate of return that is calculated is 11.09% which is the average annual profit divided</w:t>
      </w:r>
      <w:r w:rsidR="00624C9E" w:rsidRPr="00BB2653">
        <w:rPr>
          <w:lang w:val="en-GB"/>
        </w:rPr>
        <w:t xml:space="preserve"> by the average investment done</w:t>
      </w:r>
      <w:r w:rsidRPr="00BB2653">
        <w:rPr>
          <w:lang w:val="en-GB"/>
        </w:rPr>
        <w:t>.</w:t>
      </w:r>
      <w:r w:rsidR="00557747" w:rsidRPr="00BB2653">
        <w:rPr>
          <w:lang w:val="en-GB"/>
        </w:rPr>
        <w:t xml:space="preserve"> High rate of return interests the company in this case</w:t>
      </w:r>
      <w:r w:rsidRPr="00BB2653">
        <w:rPr>
          <w:lang w:val="en-GB"/>
        </w:rPr>
        <w:t xml:space="preserve">. In this case, the ARR is low so it is not investable at this point in time. </w:t>
      </w:r>
    </w:p>
    <w:p w:rsidR="000E6666" w:rsidRPr="00BB2653" w:rsidRDefault="001A5FC5" w:rsidP="00754265">
      <w:pPr>
        <w:pStyle w:val="normal0"/>
        <w:rPr>
          <w:b/>
          <w:lang w:val="en-GB"/>
        </w:rPr>
      </w:pPr>
      <w:r w:rsidRPr="00BB2653">
        <w:rPr>
          <w:b/>
          <w:lang w:val="en-GB"/>
        </w:rPr>
        <w:t>8 non-financial factors that should be taken into consideration while investing in the new machinery:</w:t>
      </w:r>
    </w:p>
    <w:p w:rsidR="000E6666" w:rsidRPr="00BB2653" w:rsidRDefault="001A5FC5" w:rsidP="00754265">
      <w:pPr>
        <w:pStyle w:val="normal0"/>
        <w:numPr>
          <w:ilvl w:val="0"/>
          <w:numId w:val="3"/>
        </w:numPr>
        <w:rPr>
          <w:lang w:val="en-GB"/>
        </w:rPr>
      </w:pPr>
      <w:r w:rsidRPr="00BB2653">
        <w:rPr>
          <w:lang w:val="en-GB"/>
        </w:rPr>
        <w:t>One of the most important factors is having the requirements fulfilled for the current and future laws considered.</w:t>
      </w:r>
    </w:p>
    <w:p w:rsidR="000E6666" w:rsidRPr="00BB2653" w:rsidRDefault="001A5FC5" w:rsidP="00754265">
      <w:pPr>
        <w:pStyle w:val="normal0"/>
        <w:numPr>
          <w:ilvl w:val="0"/>
          <w:numId w:val="3"/>
        </w:numPr>
        <w:rPr>
          <w:lang w:val="en-GB"/>
        </w:rPr>
      </w:pPr>
      <w:r w:rsidRPr="00BB2653">
        <w:rPr>
          <w:lang w:val="en-GB"/>
        </w:rPr>
        <w:t>The company should be able to easily hire and retain workers or employees when required for the organisation.</w:t>
      </w:r>
    </w:p>
    <w:p w:rsidR="000E6666" w:rsidRPr="00BB2653" w:rsidRDefault="001A5FC5" w:rsidP="00754265">
      <w:pPr>
        <w:pStyle w:val="normal0"/>
        <w:numPr>
          <w:ilvl w:val="0"/>
          <w:numId w:val="3"/>
        </w:numPr>
        <w:rPr>
          <w:lang w:val="en-GB"/>
        </w:rPr>
      </w:pPr>
      <w:r w:rsidRPr="00BB2653">
        <w:rPr>
          <w:lang w:val="en-GB"/>
        </w:rPr>
        <w:t>Meeting the industry requirements and practices that help the company to grow in future projects.</w:t>
      </w:r>
    </w:p>
    <w:p w:rsidR="000E6666" w:rsidRPr="00BB2653" w:rsidRDefault="001A5FC5" w:rsidP="00754265">
      <w:pPr>
        <w:pStyle w:val="normal0"/>
        <w:numPr>
          <w:ilvl w:val="0"/>
          <w:numId w:val="3"/>
        </w:numPr>
        <w:rPr>
          <w:lang w:val="en-GB"/>
        </w:rPr>
      </w:pPr>
      <w:r w:rsidRPr="00BB2653">
        <w:rPr>
          <w:lang w:val="en-GB"/>
        </w:rPr>
        <w:t>Improvement in the relationship with suppliers and customers helps the company to grow in the future.</w:t>
      </w:r>
    </w:p>
    <w:p w:rsidR="000E6666" w:rsidRPr="00BB2653" w:rsidRDefault="001A5FC5" w:rsidP="00754265">
      <w:pPr>
        <w:pStyle w:val="normal0"/>
        <w:numPr>
          <w:ilvl w:val="0"/>
          <w:numId w:val="3"/>
        </w:numPr>
        <w:rPr>
          <w:lang w:val="en-GB"/>
        </w:rPr>
      </w:pPr>
      <w:r w:rsidRPr="00BB2653">
        <w:rPr>
          <w:lang w:val="en-GB"/>
        </w:rPr>
        <w:t>Focusing on the increase of the strength of the company to know about the capability of business can lead the company to be more effective in nature.</w:t>
      </w:r>
    </w:p>
    <w:p w:rsidR="000E6666" w:rsidRPr="00BB2653" w:rsidRDefault="001A5FC5" w:rsidP="00754265">
      <w:pPr>
        <w:pStyle w:val="normal0"/>
        <w:numPr>
          <w:ilvl w:val="0"/>
          <w:numId w:val="3"/>
        </w:numPr>
        <w:rPr>
          <w:lang w:val="en-GB"/>
        </w:rPr>
      </w:pPr>
      <w:r w:rsidRPr="00BB2653">
        <w:rPr>
          <w:lang w:val="en-GB"/>
        </w:rPr>
        <w:t xml:space="preserve">In the local communities, the business should aim to have a good reputation which gives a sense of goodwill to the company. </w:t>
      </w:r>
    </w:p>
    <w:p w:rsidR="000E6666" w:rsidRPr="00BB2653" w:rsidRDefault="001A5FC5" w:rsidP="00754265">
      <w:pPr>
        <w:pStyle w:val="normal0"/>
        <w:numPr>
          <w:ilvl w:val="0"/>
          <w:numId w:val="3"/>
        </w:numPr>
        <w:rPr>
          <w:lang w:val="en-GB"/>
        </w:rPr>
      </w:pPr>
      <w:r w:rsidRPr="00BB2653">
        <w:rPr>
          <w:lang w:val="en-GB"/>
        </w:rPr>
        <w:lastRenderedPageBreak/>
        <w:t>The threats that come over a period of time should be handled carefully and backed with good business decisions.</w:t>
      </w:r>
    </w:p>
    <w:p w:rsidR="000E6666" w:rsidRPr="00BB2653" w:rsidRDefault="001A5FC5" w:rsidP="00754265">
      <w:pPr>
        <w:pStyle w:val="normal0"/>
        <w:numPr>
          <w:ilvl w:val="0"/>
          <w:numId w:val="3"/>
        </w:numPr>
        <w:rPr>
          <w:lang w:val="en-GB"/>
        </w:rPr>
      </w:pPr>
      <w:r w:rsidRPr="00BB2653">
        <w:rPr>
          <w:lang w:val="en-GB"/>
        </w:rPr>
        <w:t>The company should protect the intellectual property of the company as it can hamper the reputation of the organisation in case it falls into the wrong hands.</w:t>
      </w:r>
    </w:p>
    <w:p w:rsidR="000E6666" w:rsidRPr="00BB2653" w:rsidRDefault="001A5FC5" w:rsidP="00754265">
      <w:pPr>
        <w:pStyle w:val="normal0"/>
        <w:rPr>
          <w:lang w:val="en-GB"/>
        </w:rPr>
      </w:pPr>
      <w:r w:rsidRPr="00BB2653">
        <w:rPr>
          <w:b/>
          <w:lang w:val="en-GB"/>
        </w:rPr>
        <w:t>SWOT Analysis</w:t>
      </w: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0E6666" w:rsidRPr="00BB2653">
        <w:trPr>
          <w:cantSplit/>
          <w:tblHeader/>
          <w:jc w:val="center"/>
        </w:trPr>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pBdr>
                <w:top w:val="nil"/>
                <w:left w:val="nil"/>
                <w:bottom w:val="nil"/>
                <w:right w:val="nil"/>
                <w:between w:val="nil"/>
              </w:pBdr>
              <w:spacing w:before="0" w:after="0"/>
              <w:jc w:val="center"/>
              <w:rPr>
                <w:b/>
                <w:lang w:val="en-GB"/>
              </w:rPr>
            </w:pPr>
            <w:r w:rsidRPr="00BB2653">
              <w:rPr>
                <w:b/>
                <w:lang w:val="en-GB"/>
              </w:rPr>
              <w:t>Strength</w:t>
            </w:r>
          </w:p>
        </w:tc>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pBdr>
                <w:top w:val="nil"/>
                <w:left w:val="nil"/>
                <w:bottom w:val="nil"/>
                <w:right w:val="nil"/>
                <w:between w:val="nil"/>
              </w:pBdr>
              <w:spacing w:before="0" w:after="0"/>
              <w:jc w:val="center"/>
              <w:rPr>
                <w:b/>
                <w:lang w:val="en-GB"/>
              </w:rPr>
            </w:pPr>
            <w:r w:rsidRPr="00BB2653">
              <w:rPr>
                <w:b/>
                <w:lang w:val="en-GB"/>
              </w:rPr>
              <w:t>Weakness</w:t>
            </w:r>
          </w:p>
        </w:tc>
      </w:tr>
      <w:tr w:rsidR="000E6666" w:rsidRPr="00BB2653">
        <w:trPr>
          <w:cantSplit/>
          <w:tblHeader/>
          <w:jc w:val="center"/>
        </w:trPr>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numPr>
                <w:ilvl w:val="0"/>
                <w:numId w:val="2"/>
              </w:numPr>
              <w:pBdr>
                <w:top w:val="nil"/>
                <w:left w:val="nil"/>
                <w:bottom w:val="nil"/>
                <w:right w:val="nil"/>
                <w:between w:val="nil"/>
              </w:pBdr>
              <w:rPr>
                <w:lang w:val="en-GB"/>
              </w:rPr>
            </w:pPr>
            <w:r w:rsidRPr="00BB2653">
              <w:rPr>
                <w:lang w:val="en-GB"/>
              </w:rPr>
              <w:t xml:space="preserve">Hyundai is an expert in marketing paying celebrities for the ads so that the customers </w:t>
            </w:r>
            <w:r w:rsidR="00161701" w:rsidRPr="00BB2653">
              <w:rPr>
                <w:lang w:val="en-GB"/>
              </w:rPr>
              <w:t>can feel</w:t>
            </w:r>
            <w:r w:rsidRPr="00BB2653">
              <w:rPr>
                <w:lang w:val="en-GB"/>
              </w:rPr>
              <w:t xml:space="preserve"> the user-friendly experience.</w:t>
            </w:r>
          </w:p>
          <w:p w:rsidR="000E6666" w:rsidRPr="00BB2653" w:rsidRDefault="001A5FC5" w:rsidP="00754265">
            <w:pPr>
              <w:pStyle w:val="normal0"/>
              <w:widowControl w:val="0"/>
              <w:numPr>
                <w:ilvl w:val="0"/>
                <w:numId w:val="2"/>
              </w:numPr>
              <w:pBdr>
                <w:top w:val="nil"/>
                <w:left w:val="nil"/>
                <w:bottom w:val="nil"/>
                <w:right w:val="nil"/>
                <w:between w:val="nil"/>
              </w:pBdr>
              <w:rPr>
                <w:lang w:val="en-GB"/>
              </w:rPr>
            </w:pPr>
            <w:r w:rsidRPr="00BB2653">
              <w:rPr>
                <w:lang w:val="en-GB"/>
              </w:rPr>
              <w:t>Hyundai is the world’s 6th largest car maker and makes a huge number of sales throughout the year across the world.</w:t>
            </w:r>
          </w:p>
        </w:tc>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numPr>
                <w:ilvl w:val="0"/>
                <w:numId w:val="2"/>
              </w:numPr>
              <w:pBdr>
                <w:top w:val="nil"/>
                <w:left w:val="nil"/>
                <w:bottom w:val="nil"/>
                <w:right w:val="nil"/>
                <w:between w:val="nil"/>
              </w:pBdr>
              <w:rPr>
                <w:lang w:val="en-GB"/>
              </w:rPr>
            </w:pPr>
            <w:r w:rsidRPr="00BB2653">
              <w:rPr>
                <w:lang w:val="en-GB"/>
              </w:rPr>
              <w:t xml:space="preserve">The advertisements </w:t>
            </w:r>
            <w:r w:rsidR="00161701" w:rsidRPr="00BB2653">
              <w:rPr>
                <w:lang w:val="en-GB"/>
              </w:rPr>
              <w:t>for fuel</w:t>
            </w:r>
            <w:r w:rsidRPr="00BB2653">
              <w:rPr>
                <w:lang w:val="en-GB"/>
              </w:rPr>
              <w:t>-</w:t>
            </w:r>
            <w:r w:rsidR="00161701" w:rsidRPr="00BB2653">
              <w:rPr>
                <w:lang w:val="en-GB"/>
              </w:rPr>
              <w:t>engine</w:t>
            </w:r>
            <w:r w:rsidRPr="00BB2653">
              <w:rPr>
                <w:lang w:val="en-GB"/>
              </w:rPr>
              <w:t xml:space="preserve"> cars cannot be shot anywhere, the place has to be set.</w:t>
            </w:r>
          </w:p>
          <w:p w:rsidR="000E6666" w:rsidRPr="00BB2653" w:rsidRDefault="001A5FC5" w:rsidP="00754265">
            <w:pPr>
              <w:pStyle w:val="normal0"/>
              <w:widowControl w:val="0"/>
              <w:numPr>
                <w:ilvl w:val="0"/>
                <w:numId w:val="2"/>
              </w:numPr>
              <w:pBdr>
                <w:top w:val="nil"/>
                <w:left w:val="nil"/>
                <w:bottom w:val="nil"/>
                <w:right w:val="nil"/>
                <w:between w:val="nil"/>
              </w:pBdr>
              <w:rPr>
                <w:lang w:val="en-GB"/>
              </w:rPr>
            </w:pPr>
            <w:r w:rsidRPr="00BB2653">
              <w:rPr>
                <w:lang w:val="en-GB"/>
              </w:rPr>
              <w:t xml:space="preserve">The market share of Hyundai has dropped due to competitors rising all over the world. </w:t>
            </w:r>
          </w:p>
        </w:tc>
      </w:tr>
      <w:tr w:rsidR="000E6666" w:rsidRPr="00BB2653">
        <w:trPr>
          <w:cantSplit/>
          <w:tblHeader/>
          <w:jc w:val="center"/>
        </w:trPr>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pBdr>
                <w:top w:val="nil"/>
                <w:left w:val="nil"/>
                <w:bottom w:val="nil"/>
                <w:right w:val="nil"/>
                <w:between w:val="nil"/>
              </w:pBdr>
              <w:spacing w:before="0" w:after="0"/>
              <w:jc w:val="center"/>
              <w:rPr>
                <w:b/>
                <w:lang w:val="en-GB"/>
              </w:rPr>
            </w:pPr>
            <w:r w:rsidRPr="00BB2653">
              <w:rPr>
                <w:b/>
                <w:lang w:val="en-GB"/>
              </w:rPr>
              <w:t>Opportunity</w:t>
            </w:r>
          </w:p>
        </w:tc>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pBdr>
                <w:top w:val="nil"/>
                <w:left w:val="nil"/>
                <w:bottom w:val="nil"/>
                <w:right w:val="nil"/>
                <w:between w:val="nil"/>
              </w:pBdr>
              <w:spacing w:before="0" w:after="0"/>
              <w:jc w:val="center"/>
              <w:rPr>
                <w:b/>
                <w:lang w:val="en-GB"/>
              </w:rPr>
            </w:pPr>
            <w:r w:rsidRPr="00BB2653">
              <w:rPr>
                <w:b/>
                <w:lang w:val="en-GB"/>
              </w:rPr>
              <w:t>Threat</w:t>
            </w:r>
          </w:p>
        </w:tc>
      </w:tr>
      <w:tr w:rsidR="000E6666" w:rsidRPr="00BB2653">
        <w:trPr>
          <w:cantSplit/>
          <w:tblHeader/>
          <w:jc w:val="center"/>
        </w:trPr>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numPr>
                <w:ilvl w:val="0"/>
                <w:numId w:val="1"/>
              </w:numPr>
              <w:pBdr>
                <w:top w:val="nil"/>
                <w:left w:val="nil"/>
                <w:bottom w:val="nil"/>
                <w:right w:val="nil"/>
                <w:between w:val="nil"/>
              </w:pBdr>
              <w:spacing w:before="0" w:after="0"/>
              <w:rPr>
                <w:lang w:val="en-GB"/>
              </w:rPr>
            </w:pPr>
            <w:r w:rsidRPr="00BB2653">
              <w:rPr>
                <w:lang w:val="en-GB"/>
              </w:rPr>
              <w:t>The economies of the countries have been growing and this seems to be a great potential for sales in these countries for Hyundai.</w:t>
            </w:r>
          </w:p>
          <w:p w:rsidR="000E6666" w:rsidRPr="00BB2653" w:rsidRDefault="001A5FC5" w:rsidP="00754265">
            <w:pPr>
              <w:pStyle w:val="normal0"/>
              <w:widowControl w:val="0"/>
              <w:numPr>
                <w:ilvl w:val="0"/>
                <w:numId w:val="1"/>
              </w:numPr>
              <w:pBdr>
                <w:top w:val="nil"/>
                <w:left w:val="nil"/>
                <w:bottom w:val="nil"/>
                <w:right w:val="nil"/>
                <w:between w:val="nil"/>
              </w:pBdr>
              <w:spacing w:before="0" w:after="0"/>
              <w:rPr>
                <w:lang w:val="en-GB"/>
              </w:rPr>
            </w:pPr>
            <w:r w:rsidRPr="00BB2653">
              <w:rPr>
                <w:lang w:val="en-GB"/>
              </w:rPr>
              <w:t>Electric cars are one of the best-selling cars of Hyundai and are the future causing less harm to the environment.</w:t>
            </w:r>
          </w:p>
        </w:tc>
        <w:tc>
          <w:tcPr>
            <w:tcW w:w="4514" w:type="dxa"/>
            <w:shd w:val="clear" w:color="auto" w:fill="auto"/>
            <w:tcMar>
              <w:top w:w="100" w:type="dxa"/>
              <w:left w:w="100" w:type="dxa"/>
              <w:bottom w:w="100" w:type="dxa"/>
              <w:right w:w="100" w:type="dxa"/>
            </w:tcMar>
          </w:tcPr>
          <w:p w:rsidR="000E6666" w:rsidRPr="00BB2653" w:rsidRDefault="001A5FC5" w:rsidP="00754265">
            <w:pPr>
              <w:pStyle w:val="normal0"/>
              <w:widowControl w:val="0"/>
              <w:numPr>
                <w:ilvl w:val="0"/>
                <w:numId w:val="1"/>
              </w:numPr>
              <w:pBdr>
                <w:top w:val="nil"/>
                <w:left w:val="nil"/>
                <w:bottom w:val="nil"/>
                <w:right w:val="nil"/>
                <w:between w:val="nil"/>
              </w:pBdr>
              <w:spacing w:before="0" w:after="0"/>
              <w:rPr>
                <w:lang w:val="en-GB"/>
              </w:rPr>
            </w:pPr>
            <w:r w:rsidRPr="00BB2653">
              <w:rPr>
                <w:lang w:val="en-GB"/>
              </w:rPr>
              <w:t>The competitors are selling the cars sometimes at lower cost and Hyundai does not do this.</w:t>
            </w:r>
          </w:p>
          <w:p w:rsidR="000E6666" w:rsidRPr="00BB2653" w:rsidRDefault="001A5FC5" w:rsidP="00754265">
            <w:pPr>
              <w:pStyle w:val="normal0"/>
              <w:widowControl w:val="0"/>
              <w:numPr>
                <w:ilvl w:val="0"/>
                <w:numId w:val="1"/>
              </w:numPr>
              <w:pBdr>
                <w:top w:val="nil"/>
                <w:left w:val="nil"/>
                <w:bottom w:val="nil"/>
                <w:right w:val="nil"/>
                <w:between w:val="nil"/>
              </w:pBdr>
              <w:spacing w:before="0" w:after="0"/>
              <w:rPr>
                <w:lang w:val="en-GB"/>
              </w:rPr>
            </w:pPr>
            <w:r w:rsidRPr="00BB2653">
              <w:rPr>
                <w:lang w:val="en-GB"/>
              </w:rPr>
              <w:t>Being present in many countries Hyundai has to deal with different government policies and have to follow each one of them.</w:t>
            </w:r>
          </w:p>
        </w:tc>
      </w:tr>
    </w:tbl>
    <w:p w:rsidR="000E6666" w:rsidRPr="00BB2653" w:rsidRDefault="008371CD" w:rsidP="00754265">
      <w:pPr>
        <w:pStyle w:val="normal0"/>
        <w:jc w:val="center"/>
        <w:rPr>
          <w:b/>
          <w:lang w:val="en-GB"/>
        </w:rPr>
      </w:pPr>
      <w:r w:rsidRPr="00BB2653">
        <w:rPr>
          <w:b/>
          <w:lang w:val="en-GB"/>
        </w:rPr>
        <w:t>Table 5</w:t>
      </w:r>
      <w:r w:rsidR="00161701" w:rsidRPr="00BB2653">
        <w:rPr>
          <w:b/>
          <w:lang w:val="en-GB"/>
        </w:rPr>
        <w:t>: SWOT analysis of Hyundai</w:t>
      </w:r>
    </w:p>
    <w:p w:rsidR="00161701" w:rsidRPr="00BB2653" w:rsidRDefault="00161701" w:rsidP="00754265">
      <w:pPr>
        <w:pStyle w:val="normal0"/>
        <w:jc w:val="center"/>
        <w:rPr>
          <w:lang w:val="en-GB"/>
        </w:rPr>
      </w:pPr>
      <w:r w:rsidRPr="00BB2653">
        <w:rPr>
          <w:lang w:val="en-GB"/>
        </w:rPr>
        <w:t>(Source: Created by author)</w:t>
      </w:r>
    </w:p>
    <w:p w:rsidR="004E5266" w:rsidRPr="00BB2653" w:rsidRDefault="004E5266" w:rsidP="00754265">
      <w:pPr>
        <w:pStyle w:val="Heading1"/>
        <w:rPr>
          <w:lang w:val="en-GB"/>
        </w:rPr>
      </w:pPr>
      <w:bookmarkStart w:id="16" w:name="_Toc133581958"/>
      <w:r w:rsidRPr="00BB2653">
        <w:rPr>
          <w:lang w:val="en-GB"/>
        </w:rPr>
        <w:lastRenderedPageBreak/>
        <w:t>Sensitivity Analysis: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1170"/>
        <w:gridCol w:w="1095"/>
        <w:gridCol w:w="1095"/>
        <w:gridCol w:w="1017"/>
        <w:gridCol w:w="1211"/>
        <w:gridCol w:w="1098"/>
        <w:gridCol w:w="1459"/>
      </w:tblGrid>
      <w:tr w:rsidR="00522394" w:rsidRPr="00BB2653" w:rsidTr="00403ADA">
        <w:trPr>
          <w:trHeight w:val="620"/>
        </w:trPr>
        <w:tc>
          <w:tcPr>
            <w:tcW w:w="595" w:type="pct"/>
            <w:shd w:val="clear" w:color="auto" w:fill="auto"/>
            <w:noWrap/>
            <w:vAlign w:val="bottom"/>
            <w:hideMark/>
          </w:tcPr>
          <w:p w:rsidR="00522394" w:rsidRPr="00BB2653" w:rsidRDefault="00522394" w:rsidP="00754265">
            <w:pPr>
              <w:spacing w:before="0" w:after="0"/>
              <w:jc w:val="left"/>
              <w:rPr>
                <w:sz w:val="20"/>
                <w:szCs w:val="20"/>
              </w:rPr>
            </w:pPr>
            <w:bookmarkStart w:id="17" w:name="_ur2zdqme8kz4" w:colFirst="0" w:colLast="0"/>
            <w:bookmarkEnd w:id="17"/>
          </w:p>
        </w:tc>
        <w:tc>
          <w:tcPr>
            <w:tcW w:w="633" w:type="pct"/>
            <w:shd w:val="clear" w:color="auto" w:fill="auto"/>
            <w:noWrap/>
            <w:vAlign w:val="bottom"/>
            <w:hideMark/>
          </w:tcPr>
          <w:p w:rsidR="00522394" w:rsidRPr="00BB2653" w:rsidRDefault="00522394" w:rsidP="00754265">
            <w:pPr>
              <w:spacing w:before="0" w:after="0"/>
              <w:jc w:val="left"/>
              <w:rPr>
                <w:sz w:val="20"/>
                <w:szCs w:val="20"/>
              </w:rPr>
            </w:pPr>
          </w:p>
        </w:tc>
        <w:tc>
          <w:tcPr>
            <w:tcW w:w="2389" w:type="pct"/>
            <w:gridSpan w:val="4"/>
            <w:shd w:val="clear" w:color="auto" w:fill="auto"/>
            <w:noWrap/>
            <w:vAlign w:val="bottom"/>
            <w:hideMark/>
          </w:tcPr>
          <w:p w:rsidR="00522394" w:rsidRPr="00BB2653" w:rsidRDefault="00522394" w:rsidP="00754265">
            <w:pPr>
              <w:spacing w:before="0" w:after="0"/>
              <w:jc w:val="center"/>
              <w:rPr>
                <w:b/>
                <w:bCs/>
                <w:sz w:val="40"/>
                <w:szCs w:val="40"/>
              </w:rPr>
            </w:pPr>
            <w:r w:rsidRPr="00BB2653">
              <w:rPr>
                <w:b/>
                <w:bCs/>
                <w:sz w:val="40"/>
                <w:szCs w:val="40"/>
              </w:rPr>
              <w:t>Sensitivity Analysis</w:t>
            </w:r>
          </w:p>
        </w:tc>
        <w:tc>
          <w:tcPr>
            <w:tcW w:w="594" w:type="pct"/>
            <w:shd w:val="clear" w:color="auto" w:fill="auto"/>
            <w:noWrap/>
            <w:vAlign w:val="bottom"/>
            <w:hideMark/>
          </w:tcPr>
          <w:p w:rsidR="00522394" w:rsidRPr="00BB2653" w:rsidRDefault="00522394" w:rsidP="00754265">
            <w:pPr>
              <w:spacing w:before="0" w:after="0"/>
              <w:jc w:val="left"/>
              <w:rPr>
                <w:sz w:val="20"/>
                <w:szCs w:val="20"/>
              </w:rPr>
            </w:pPr>
          </w:p>
        </w:tc>
        <w:tc>
          <w:tcPr>
            <w:tcW w:w="789" w:type="pct"/>
            <w:shd w:val="clear" w:color="auto" w:fill="auto"/>
            <w:noWrap/>
            <w:vAlign w:val="bottom"/>
            <w:hideMark/>
          </w:tcPr>
          <w:p w:rsidR="00522394" w:rsidRPr="00BB2653" w:rsidRDefault="00522394" w:rsidP="00754265">
            <w:pPr>
              <w:spacing w:before="0" w:after="0"/>
              <w:jc w:val="left"/>
              <w:rPr>
                <w:sz w:val="20"/>
                <w:szCs w:val="20"/>
              </w:rPr>
            </w:pPr>
          </w:p>
        </w:tc>
      </w:tr>
      <w:tr w:rsidR="00522394" w:rsidRPr="00BB2653" w:rsidTr="00403ADA">
        <w:trPr>
          <w:trHeight w:val="525"/>
        </w:trPr>
        <w:tc>
          <w:tcPr>
            <w:tcW w:w="595"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(6)</w:t>
            </w:r>
          </w:p>
        </w:tc>
        <w:tc>
          <w:tcPr>
            <w:tcW w:w="633"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-575</w:t>
            </w:r>
          </w:p>
        </w:tc>
        <w:tc>
          <w:tcPr>
            <w:tcW w:w="592"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-625</w:t>
            </w:r>
          </w:p>
        </w:tc>
        <w:tc>
          <w:tcPr>
            <w:tcW w:w="592"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-675</w:t>
            </w:r>
          </w:p>
        </w:tc>
        <w:tc>
          <w:tcPr>
            <w:tcW w:w="550"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-725</w:t>
            </w:r>
          </w:p>
        </w:tc>
        <w:tc>
          <w:tcPr>
            <w:tcW w:w="655"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-775</w:t>
            </w:r>
          </w:p>
        </w:tc>
        <w:tc>
          <w:tcPr>
            <w:tcW w:w="594"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-825</w:t>
            </w:r>
          </w:p>
        </w:tc>
        <w:tc>
          <w:tcPr>
            <w:tcW w:w="789" w:type="pct"/>
            <w:shd w:val="clear" w:color="000000" w:fill="FFEB9C"/>
            <w:noWrap/>
            <w:vAlign w:val="bottom"/>
            <w:hideMark/>
          </w:tcPr>
          <w:p w:rsidR="00522394" w:rsidRPr="00BB2653" w:rsidRDefault="00522394" w:rsidP="00754265">
            <w:pPr>
              <w:spacing w:before="0" w:after="0"/>
              <w:jc w:val="right"/>
              <w:rPr>
                <w:sz w:val="20"/>
                <w:szCs w:val="20"/>
              </w:rPr>
            </w:pPr>
            <w:r w:rsidRPr="00BB2653">
              <w:rPr>
                <w:sz w:val="20"/>
                <w:szCs w:val="20"/>
              </w:rPr>
              <w:t>-875</w:t>
            </w:r>
          </w:p>
        </w:tc>
      </w:tr>
      <w:tr w:rsidR="00522394" w:rsidRPr="00BB2653" w:rsidTr="00403ADA">
        <w:trPr>
          <w:trHeight w:val="435"/>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2%</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202.38</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152.38</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102.38</w:t>
            </w:r>
          </w:p>
        </w:tc>
        <w:tc>
          <w:tcPr>
            <w:tcW w:w="550"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52.38</w:t>
            </w:r>
          </w:p>
        </w:tc>
        <w:tc>
          <w:tcPr>
            <w:tcW w:w="65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2.38</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-47.62</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-97.62</w:t>
            </w:r>
          </w:p>
        </w:tc>
      </w:tr>
      <w:tr w:rsidR="00522394" w:rsidRPr="00BB2653" w:rsidTr="00403ADA">
        <w:trPr>
          <w:trHeight w:val="375"/>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3%</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181.89</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131.89</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81.89</w:t>
            </w:r>
          </w:p>
        </w:tc>
        <w:tc>
          <w:tcPr>
            <w:tcW w:w="550"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31.89</w:t>
            </w:r>
          </w:p>
        </w:tc>
        <w:tc>
          <w:tcPr>
            <w:tcW w:w="655"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-18.11</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-68.11</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-118.11</w:t>
            </w:r>
          </w:p>
        </w:tc>
      </w:tr>
      <w:tr w:rsidR="00522394" w:rsidRPr="00BB2653" w:rsidTr="00403ADA">
        <w:trPr>
          <w:trHeight w:val="420"/>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4%</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162.31</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112.31</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62.31</w:t>
            </w:r>
          </w:p>
        </w:tc>
        <w:tc>
          <w:tcPr>
            <w:tcW w:w="550"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12.31</w:t>
            </w:r>
          </w:p>
        </w:tc>
        <w:tc>
          <w:tcPr>
            <w:tcW w:w="655"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-37.69</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-87.69</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-137.69</w:t>
            </w:r>
          </w:p>
        </w:tc>
      </w:tr>
      <w:tr w:rsidR="00522394" w:rsidRPr="00BB2653" w:rsidTr="00403ADA">
        <w:trPr>
          <w:trHeight w:val="360"/>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5%</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143.58</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93.58</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43.58</w:t>
            </w:r>
          </w:p>
        </w:tc>
        <w:tc>
          <w:tcPr>
            <w:tcW w:w="550"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-6.42</w:t>
            </w:r>
          </w:p>
        </w:tc>
        <w:tc>
          <w:tcPr>
            <w:tcW w:w="655"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-56.42</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-106.42</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-156.42</w:t>
            </w:r>
          </w:p>
        </w:tc>
      </w:tr>
      <w:tr w:rsidR="00522394" w:rsidRPr="00BB2653" w:rsidTr="00403ADA">
        <w:trPr>
          <w:trHeight w:val="390"/>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6%</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125.66</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75.66</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25.66</w:t>
            </w:r>
          </w:p>
        </w:tc>
        <w:tc>
          <w:tcPr>
            <w:tcW w:w="550"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-24.34</w:t>
            </w:r>
          </w:p>
        </w:tc>
        <w:tc>
          <w:tcPr>
            <w:tcW w:w="655"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-74.34</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-124.34</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-174.34</w:t>
            </w:r>
          </w:p>
        </w:tc>
      </w:tr>
      <w:tr w:rsidR="00522394" w:rsidRPr="00BB2653" w:rsidTr="00403ADA">
        <w:trPr>
          <w:trHeight w:val="390"/>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7%</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108.50</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58.50</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8.50</w:t>
            </w:r>
          </w:p>
        </w:tc>
        <w:tc>
          <w:tcPr>
            <w:tcW w:w="550"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-41.50</w:t>
            </w:r>
          </w:p>
        </w:tc>
        <w:tc>
          <w:tcPr>
            <w:tcW w:w="655"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-91.50</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-141.50</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-191.50</w:t>
            </w:r>
          </w:p>
        </w:tc>
      </w:tr>
      <w:tr w:rsidR="00522394" w:rsidRPr="00BB2653" w:rsidTr="00403ADA">
        <w:trPr>
          <w:trHeight w:val="390"/>
        </w:trPr>
        <w:tc>
          <w:tcPr>
            <w:tcW w:w="595"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8%</w:t>
            </w:r>
          </w:p>
        </w:tc>
        <w:tc>
          <w:tcPr>
            <w:tcW w:w="633"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92.07</w:t>
            </w:r>
          </w:p>
        </w:tc>
        <w:tc>
          <w:tcPr>
            <w:tcW w:w="592" w:type="pct"/>
            <w:shd w:val="clear" w:color="000000" w:fill="C6EFCE"/>
            <w:noWrap/>
            <w:vAlign w:val="bottom"/>
            <w:hideMark/>
          </w:tcPr>
          <w:p w:rsidR="00522394" w:rsidRPr="00BB2653" w:rsidRDefault="00522394" w:rsidP="00754265">
            <w:pPr>
              <w:spacing w:before="0" w:after="0"/>
              <w:jc w:val="right"/>
              <w:rPr>
                <w:sz w:val="20"/>
                <w:szCs w:val="20"/>
              </w:rPr>
            </w:pPr>
            <w:r w:rsidRPr="00BB2653">
              <w:rPr>
                <w:sz w:val="20"/>
                <w:szCs w:val="20"/>
              </w:rPr>
              <w:t>42.07</w:t>
            </w:r>
          </w:p>
        </w:tc>
        <w:tc>
          <w:tcPr>
            <w:tcW w:w="592"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-7.93</w:t>
            </w:r>
          </w:p>
        </w:tc>
        <w:tc>
          <w:tcPr>
            <w:tcW w:w="550"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-57.93</w:t>
            </w:r>
          </w:p>
        </w:tc>
        <w:tc>
          <w:tcPr>
            <w:tcW w:w="655"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-107.93</w:t>
            </w:r>
          </w:p>
        </w:tc>
        <w:tc>
          <w:tcPr>
            <w:tcW w:w="594"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-157.93</w:t>
            </w:r>
          </w:p>
        </w:tc>
        <w:tc>
          <w:tcPr>
            <w:tcW w:w="789" w:type="pct"/>
            <w:shd w:val="clear" w:color="000000" w:fill="FFC7CE"/>
            <w:noWrap/>
            <w:vAlign w:val="bottom"/>
            <w:hideMark/>
          </w:tcPr>
          <w:p w:rsidR="00522394" w:rsidRPr="00BB2653" w:rsidRDefault="00522394" w:rsidP="00754265">
            <w:pPr>
              <w:spacing w:before="0" w:after="0"/>
              <w:jc w:val="right"/>
              <w:rPr>
                <w:sz w:val="20"/>
                <w:szCs w:val="20"/>
              </w:rPr>
            </w:pPr>
            <w:r w:rsidRPr="00BB2653">
              <w:rPr>
                <w:sz w:val="20"/>
                <w:szCs w:val="20"/>
              </w:rPr>
              <w:t>-207.93</w:t>
            </w:r>
          </w:p>
        </w:tc>
      </w:tr>
    </w:tbl>
    <w:p w:rsidR="008371CD" w:rsidRPr="00BB2653" w:rsidRDefault="008371CD" w:rsidP="00754265">
      <w:pPr>
        <w:jc w:val="center"/>
        <w:rPr>
          <w:b/>
          <w:lang w:val="en-GB"/>
        </w:rPr>
      </w:pPr>
      <w:r w:rsidRPr="00BB2653">
        <w:rPr>
          <w:b/>
          <w:lang w:val="en-GB"/>
        </w:rPr>
        <w:t>Table 6: Calculation of Sensitivity Analysis</w:t>
      </w:r>
    </w:p>
    <w:p w:rsidR="008371CD" w:rsidRPr="00BB2653" w:rsidRDefault="008371CD" w:rsidP="00754265">
      <w:pPr>
        <w:jc w:val="center"/>
        <w:rPr>
          <w:lang w:val="en-GB"/>
        </w:rPr>
      </w:pPr>
      <w:r w:rsidRPr="00BB2653">
        <w:rPr>
          <w:lang w:val="en-GB"/>
        </w:rPr>
        <w:t>(Source: Created by author)</w:t>
      </w:r>
    </w:p>
    <w:p w:rsidR="005C7E8F" w:rsidRPr="00BB2653" w:rsidRDefault="0019048F" w:rsidP="00754265">
      <w:pPr>
        <w:rPr>
          <w:sz w:val="22"/>
          <w:szCs w:val="22"/>
        </w:rPr>
      </w:pPr>
      <w:r w:rsidRPr="00BB2653">
        <w:rPr>
          <w:lang w:val="en-GB"/>
        </w:rPr>
        <w:t>The negative value indicates decrease in the dependant value in the sensitivity analysis</w:t>
      </w:r>
      <w:r w:rsidR="00565712" w:rsidRPr="00BB2653">
        <w:rPr>
          <w:lang w:val="en-GB"/>
        </w:rPr>
        <w:t>.</w:t>
      </w:r>
      <w:r w:rsidR="00462800" w:rsidRPr="00BB2653">
        <w:rPr>
          <w:lang w:val="en-GB"/>
        </w:rPr>
        <w:t xml:space="preserve"> The structure is decreased as shown in the sensitivity analysis. Scarp value shown in the data is </w:t>
      </w:r>
      <w:r w:rsidR="00462800" w:rsidRPr="00BB2653">
        <w:t>145000 where as the sensitivity analysis is data is negative. The negative figures in NPV and Sensitivity analysis shows that investing in new machinery will be difficult for the company in future.</w:t>
      </w:r>
      <w:r w:rsidR="00440E23" w:rsidRPr="00BB2653">
        <w:t xml:space="preserve"> After the calculation of Cost of capital the derived is 10% </w:t>
      </w:r>
      <w:r w:rsidR="008371CD" w:rsidRPr="00BB2653">
        <w:t xml:space="preserve">affecting the NPV and sensitivity analysis. </w:t>
      </w:r>
    </w:p>
    <w:p w:rsidR="000E6666" w:rsidRPr="00BB2653" w:rsidRDefault="001A5FC5" w:rsidP="00754265">
      <w:pPr>
        <w:pStyle w:val="Heading1"/>
        <w:rPr>
          <w:lang w:val="en-GB"/>
        </w:rPr>
      </w:pPr>
      <w:bookmarkStart w:id="18" w:name="_Toc133581959"/>
      <w:r w:rsidRPr="00BB2653">
        <w:rPr>
          <w:lang w:val="en-GB"/>
        </w:rPr>
        <w:t>Critical discussion of the risk and return and potential impact on the financial performance</w:t>
      </w:r>
      <w:bookmarkEnd w:id="18"/>
      <w:r w:rsidRPr="00BB2653">
        <w:rPr>
          <w:lang w:val="en-GB"/>
        </w:rPr>
        <w:t xml:space="preserve"> </w:t>
      </w:r>
    </w:p>
    <w:p w:rsidR="000E6666" w:rsidRPr="00BB2653" w:rsidRDefault="001A5FC5" w:rsidP="00754265">
      <w:pPr>
        <w:pStyle w:val="normal0"/>
        <w:rPr>
          <w:lang w:val="en-GB"/>
        </w:rPr>
      </w:pPr>
      <w:r w:rsidRPr="00BB2653">
        <w:rPr>
          <w:lang w:val="en-GB"/>
        </w:rPr>
        <w:t xml:space="preserve">The calculation and mentioned evaluation in this project shows that the investment is not feasible hence this project should be accepted. As per Kusuma </w:t>
      </w:r>
      <w:r w:rsidRPr="00BB2653">
        <w:rPr>
          <w:i/>
          <w:lang w:val="en-GB"/>
        </w:rPr>
        <w:t>et al</w:t>
      </w:r>
      <w:r w:rsidRPr="00BB2653">
        <w:rPr>
          <w:lang w:val="en-GB"/>
        </w:rPr>
        <w:t>. (2021), the risk is too high for the company to invest as the payback period shows 4 years and 5 months for the return on investment. The NPV is in the negative figure showing the possible losses that the company can incur in case it invests in the new machinery. ARR is seen to be 11.09% which makes it difficult for the company to invest. Investing in new machinery at this point in time can affect the financial performance of the company. The company will face net losses in case it invests in new machinery. In the long run, the machinery can be installed after a few years, also when the company6 financ</w:t>
      </w:r>
      <w:r w:rsidR="00557747" w:rsidRPr="00BB2653">
        <w:rPr>
          <w:lang w:val="en-GB"/>
        </w:rPr>
        <w:t>ial performance would be better</w:t>
      </w:r>
      <w:r w:rsidRPr="00BB2653">
        <w:rPr>
          <w:lang w:val="en-GB"/>
        </w:rPr>
        <w:t xml:space="preserve">. According to Sattar </w:t>
      </w:r>
      <w:r w:rsidRPr="00BB2653">
        <w:rPr>
          <w:i/>
          <w:lang w:val="en-GB"/>
        </w:rPr>
        <w:t>et al</w:t>
      </w:r>
      <w:r w:rsidRPr="00BB2653">
        <w:rPr>
          <w:lang w:val="en-GB"/>
        </w:rPr>
        <w:t xml:space="preserve">. (2020), with the ongoing opportunity in the continents of Asia, Europe and Latin America </w:t>
      </w:r>
      <w:r w:rsidRPr="00BB2653">
        <w:rPr>
          <w:lang w:val="en-GB"/>
        </w:rPr>
        <w:lastRenderedPageBreak/>
        <w:t>in developing countries the company should focus on this. New machinery will be able to be set up once the expansion in these countries is achieved. In the achievement of expanding in these countries, the company will need a good financial perfo</w:t>
      </w:r>
      <w:r w:rsidR="00557747" w:rsidRPr="00BB2653">
        <w:rPr>
          <w:lang w:val="en-GB"/>
        </w:rPr>
        <w:t>rmance to support its expenses.</w:t>
      </w:r>
    </w:p>
    <w:p w:rsidR="000E6666" w:rsidRPr="00BB2653" w:rsidRDefault="001A5FC5" w:rsidP="00754265">
      <w:pPr>
        <w:pStyle w:val="Heading1"/>
        <w:rPr>
          <w:lang w:val="en-GB"/>
        </w:rPr>
      </w:pPr>
      <w:bookmarkStart w:id="19" w:name="_36v8s4n9awja" w:colFirst="0" w:colLast="0"/>
      <w:bookmarkStart w:id="20" w:name="_Toc133581960"/>
      <w:bookmarkEnd w:id="19"/>
      <w:r w:rsidRPr="00BB2653">
        <w:rPr>
          <w:lang w:val="en-GB"/>
        </w:rPr>
        <w:t>Conclusion</w:t>
      </w:r>
      <w:bookmarkEnd w:id="20"/>
      <w:r w:rsidRPr="00BB2653">
        <w:rPr>
          <w:lang w:val="en-GB"/>
        </w:rPr>
        <w:t xml:space="preserve"> </w:t>
      </w:r>
    </w:p>
    <w:p w:rsidR="000E6666" w:rsidRPr="00BB2653" w:rsidRDefault="00161701" w:rsidP="00754265">
      <w:pPr>
        <w:pStyle w:val="normal0"/>
        <w:rPr>
          <w:lang w:val="en-GB"/>
        </w:rPr>
      </w:pPr>
      <w:r w:rsidRPr="00BB2653">
        <w:rPr>
          <w:lang w:val="en-GB"/>
        </w:rPr>
        <w:t xml:space="preserve">From the study it can be </w:t>
      </w:r>
      <w:r w:rsidR="00B31BE8" w:rsidRPr="00BB2653">
        <w:rPr>
          <w:lang w:val="en-GB"/>
        </w:rPr>
        <w:t>concluded</w:t>
      </w:r>
      <w:r w:rsidRPr="00BB2653">
        <w:rPr>
          <w:lang w:val="en-GB"/>
        </w:rPr>
        <w:t xml:space="preserve"> that financial </w:t>
      </w:r>
      <w:r w:rsidR="00B31BE8" w:rsidRPr="00BB2653">
        <w:rPr>
          <w:lang w:val="en-GB"/>
        </w:rPr>
        <w:t>performance</w:t>
      </w:r>
      <w:r w:rsidRPr="00BB2653">
        <w:rPr>
          <w:lang w:val="en-GB"/>
        </w:rPr>
        <w:t xml:space="preserve"> of a company like </w:t>
      </w:r>
      <w:r w:rsidR="00B31BE8" w:rsidRPr="00BB2653">
        <w:rPr>
          <w:lang w:val="en-GB"/>
        </w:rPr>
        <w:t>Hyundai</w:t>
      </w:r>
      <w:r w:rsidRPr="00BB2653">
        <w:rPr>
          <w:lang w:val="en-GB"/>
        </w:rPr>
        <w:t xml:space="preserve"> helps in </w:t>
      </w:r>
      <w:r w:rsidR="00B31BE8" w:rsidRPr="00BB2653">
        <w:rPr>
          <w:lang w:val="en-GB"/>
        </w:rPr>
        <w:t>emphasising</w:t>
      </w:r>
      <w:r w:rsidRPr="00BB2653">
        <w:rPr>
          <w:lang w:val="en-GB"/>
        </w:rPr>
        <w:t xml:space="preserve"> the </w:t>
      </w:r>
      <w:r w:rsidR="00B31BE8" w:rsidRPr="00BB2653">
        <w:rPr>
          <w:lang w:val="en-GB"/>
        </w:rPr>
        <w:t>future</w:t>
      </w:r>
      <w:r w:rsidRPr="00BB2653">
        <w:rPr>
          <w:lang w:val="en-GB"/>
        </w:rPr>
        <w:t xml:space="preserve"> </w:t>
      </w:r>
      <w:r w:rsidR="00B31BE8" w:rsidRPr="00BB2653">
        <w:rPr>
          <w:lang w:val="en-GB"/>
        </w:rPr>
        <w:t>opportunities</w:t>
      </w:r>
      <w:r w:rsidRPr="00BB2653">
        <w:rPr>
          <w:lang w:val="en-GB"/>
        </w:rPr>
        <w:t xml:space="preserve"> along with current financial status of the company </w:t>
      </w:r>
      <w:r w:rsidR="00B31BE8" w:rsidRPr="00BB2653">
        <w:rPr>
          <w:lang w:val="en-GB"/>
        </w:rPr>
        <w:t>so</w:t>
      </w:r>
      <w:r w:rsidRPr="00BB2653">
        <w:rPr>
          <w:lang w:val="en-GB"/>
        </w:rPr>
        <w:t xml:space="preserve"> </w:t>
      </w:r>
      <w:r w:rsidR="00B31BE8" w:rsidRPr="00BB2653">
        <w:rPr>
          <w:lang w:val="en-GB"/>
        </w:rPr>
        <w:t>a</w:t>
      </w:r>
      <w:r w:rsidRPr="00BB2653">
        <w:rPr>
          <w:lang w:val="en-GB"/>
        </w:rPr>
        <w:t xml:space="preserve">s to make strategic decisions. </w:t>
      </w:r>
      <w:r w:rsidR="001A5FC5" w:rsidRPr="00BB2653">
        <w:rPr>
          <w:lang w:val="en-GB"/>
        </w:rPr>
        <w:t xml:space="preserve">The discussion regarding the financial performance of the company has been mentioned in the project. Calculations of the payback period, NPV and ARR have been shown in the project. A critical discussion has been done regarding the risk of return and its potential risk of impacting the financial performance of the company. </w:t>
      </w:r>
      <w:r w:rsidR="001A5FC5" w:rsidRPr="00BB2653">
        <w:rPr>
          <w:lang w:val="en-GB"/>
        </w:rPr>
        <w:br w:type="page"/>
      </w:r>
    </w:p>
    <w:p w:rsidR="000E6666" w:rsidRPr="00BB2653" w:rsidRDefault="001A5FC5" w:rsidP="00754265">
      <w:pPr>
        <w:pStyle w:val="Heading1"/>
        <w:rPr>
          <w:lang w:val="en-GB"/>
        </w:rPr>
      </w:pPr>
      <w:bookmarkStart w:id="21" w:name="_tapv8waffwnl" w:colFirst="0" w:colLast="0"/>
      <w:bookmarkStart w:id="22" w:name="_Toc133581961"/>
      <w:bookmarkEnd w:id="21"/>
      <w:r w:rsidRPr="00BB2653">
        <w:rPr>
          <w:lang w:val="en-GB"/>
        </w:rPr>
        <w:lastRenderedPageBreak/>
        <w:t>Reference List</w:t>
      </w:r>
      <w:bookmarkEnd w:id="22"/>
    </w:p>
    <w:p w:rsidR="004C7AB5" w:rsidRPr="00BB2653" w:rsidRDefault="004C7AB5" w:rsidP="00754265">
      <w:pPr>
        <w:pStyle w:val="normal0"/>
        <w:rPr>
          <w:lang w:val="en-GB"/>
        </w:rPr>
      </w:pPr>
      <w:r w:rsidRPr="00BB2653">
        <w:rPr>
          <w:lang w:val="en-GB"/>
        </w:rPr>
        <w:t xml:space="preserve">Ainia, N.S.N. and Lutfi, L., (2019). The influence of risk perception, risk tolerance, overconfidence, and loss aversion towards investment decision making. </w:t>
      </w:r>
      <w:r w:rsidRPr="00BB2653">
        <w:rPr>
          <w:i/>
          <w:lang w:val="en-GB"/>
        </w:rPr>
        <w:t>Journal of Economics, Business, &amp; Accountancy Ventura, 21</w:t>
      </w:r>
      <w:r w:rsidRPr="00BB2653">
        <w:rPr>
          <w:lang w:val="en-GB"/>
        </w:rPr>
        <w:t>(3), pp.401-413.</w:t>
      </w:r>
    </w:p>
    <w:p w:rsidR="004C7AB5" w:rsidRPr="00BB2653" w:rsidRDefault="004C7AB5" w:rsidP="00754265">
      <w:pPr>
        <w:pStyle w:val="normal0"/>
        <w:rPr>
          <w:lang w:val="en-GB"/>
        </w:rPr>
      </w:pPr>
      <w:r w:rsidRPr="00BB2653">
        <w:rPr>
          <w:lang w:val="en-GB"/>
        </w:rPr>
        <w:t xml:space="preserve">Baker, S.R., Farrokhnia, R.A., Meyer, S., Pagel, M. and Yannelis, C., (2020). Income, liquidity, and the consumption response to the 2020 economic stimulus payments (No. w27097). </w:t>
      </w:r>
      <w:r w:rsidRPr="00BB2653">
        <w:rPr>
          <w:i/>
          <w:lang w:val="en-GB"/>
        </w:rPr>
        <w:t>National Bureau of Economic Research</w:t>
      </w:r>
      <w:r w:rsidRPr="00BB2653">
        <w:rPr>
          <w:lang w:val="en-GB"/>
        </w:rPr>
        <w:t>.</w:t>
      </w:r>
    </w:p>
    <w:p w:rsidR="004C7AB5" w:rsidRPr="00BB2653" w:rsidRDefault="004C7AB5" w:rsidP="00754265">
      <w:pPr>
        <w:pStyle w:val="normal0"/>
        <w:rPr>
          <w:lang w:val="en-GB"/>
        </w:rPr>
      </w:pPr>
      <w:r w:rsidRPr="00BB2653">
        <w:rPr>
          <w:lang w:val="en-GB"/>
        </w:rPr>
        <w:t xml:space="preserve">Brynjolfsson, E., (2023). The turing trap: The promise &amp; peril of human-like artificial intelligence. </w:t>
      </w:r>
      <w:r w:rsidRPr="00BB2653">
        <w:rPr>
          <w:i/>
          <w:lang w:val="en-GB"/>
        </w:rPr>
        <w:t>In Augmented Education in the Global Age</w:t>
      </w:r>
      <w:r w:rsidRPr="00BB2653">
        <w:rPr>
          <w:lang w:val="en-GB"/>
        </w:rPr>
        <w:t xml:space="preserve"> (pp. 103-116). Routledge.</w:t>
      </w:r>
    </w:p>
    <w:p w:rsidR="004C7AB5" w:rsidRPr="00BB2653" w:rsidRDefault="004C7AB5" w:rsidP="00754265">
      <w:pPr>
        <w:pStyle w:val="normal0"/>
        <w:rPr>
          <w:lang w:val="en-GB"/>
        </w:rPr>
      </w:pPr>
      <w:r w:rsidRPr="00BB2653">
        <w:rPr>
          <w:lang w:val="en-GB"/>
        </w:rPr>
        <w:t xml:space="preserve">Bushe, B., (2019). The causes and impact of business failure among small to micro and medium enterprises in South Africa. </w:t>
      </w:r>
      <w:r w:rsidRPr="00BB2653">
        <w:rPr>
          <w:i/>
          <w:lang w:val="en-GB"/>
        </w:rPr>
        <w:t>Africa’s Public Service Delivery and Performance Review, 7</w:t>
      </w:r>
      <w:r w:rsidRPr="00BB2653">
        <w:rPr>
          <w:lang w:val="en-GB"/>
        </w:rPr>
        <w:t>(1), pp.1-26.</w:t>
      </w:r>
    </w:p>
    <w:p w:rsidR="004C7AB5" w:rsidRPr="00BB2653" w:rsidRDefault="004C7AB5" w:rsidP="00754265">
      <w:pPr>
        <w:pStyle w:val="normal0"/>
        <w:rPr>
          <w:lang w:val="en-GB"/>
        </w:rPr>
      </w:pPr>
      <w:r w:rsidRPr="00BB2653">
        <w:rPr>
          <w:lang w:val="en-GB"/>
        </w:rPr>
        <w:t xml:space="preserve">D’Auria, G. and De Smet, A., (2020). Leadership in a crisis: Responding to the coronavirus outbreak and future challenges. </w:t>
      </w:r>
      <w:r w:rsidRPr="00BB2653">
        <w:rPr>
          <w:i/>
          <w:lang w:val="en-GB"/>
        </w:rPr>
        <w:t>Psychology, 22</w:t>
      </w:r>
      <w:r w:rsidRPr="00BB2653">
        <w:rPr>
          <w:lang w:val="en-GB"/>
        </w:rPr>
        <w:t>(2), pp.273-287.</w:t>
      </w:r>
    </w:p>
    <w:p w:rsidR="004C7AB5" w:rsidRPr="00BB2653" w:rsidRDefault="004C7AB5" w:rsidP="00754265">
      <w:pPr>
        <w:pStyle w:val="normal0"/>
        <w:rPr>
          <w:lang w:val="en-GB"/>
        </w:rPr>
      </w:pPr>
      <w:r w:rsidRPr="00BB2653">
        <w:rPr>
          <w:lang w:val="en-GB"/>
        </w:rPr>
        <w:t xml:space="preserve">Kabeyi, M., (2019). Organizational strategic planning, implementation and evaluation with analysis of challenges and benefits. </w:t>
      </w:r>
      <w:r w:rsidRPr="00BB2653">
        <w:rPr>
          <w:i/>
          <w:lang w:val="en-GB"/>
        </w:rPr>
        <w:t>International Journal of Applied Research and Studies, 5</w:t>
      </w:r>
      <w:r w:rsidRPr="00BB2653">
        <w:rPr>
          <w:lang w:val="en-GB"/>
        </w:rPr>
        <w:t>(6), pp.27-32.</w:t>
      </w:r>
    </w:p>
    <w:p w:rsidR="004C7AB5" w:rsidRPr="00BB2653" w:rsidRDefault="004C7AB5" w:rsidP="00754265">
      <w:pPr>
        <w:pStyle w:val="normal0"/>
        <w:rPr>
          <w:lang w:val="en-GB"/>
        </w:rPr>
      </w:pPr>
      <w:r w:rsidRPr="00BB2653">
        <w:rPr>
          <w:lang w:val="en-GB"/>
        </w:rPr>
        <w:t xml:space="preserve">Kusuma, A., Syah, T.Y.R., Indradewa, R. and Fajarwati, D., 2021. Implementation of Financial Strategy Business Plan Arena Corner. </w:t>
      </w:r>
      <w:r w:rsidRPr="00BB2653">
        <w:rPr>
          <w:i/>
          <w:lang w:val="en-GB"/>
        </w:rPr>
        <w:t>American International Journal of Business Management (AIJBM), 4</w:t>
      </w:r>
      <w:r w:rsidRPr="00BB2653">
        <w:rPr>
          <w:lang w:val="en-GB"/>
        </w:rPr>
        <w:t>(07), pp.86-89.</w:t>
      </w:r>
    </w:p>
    <w:p w:rsidR="004C7AB5" w:rsidRPr="00BB2653" w:rsidRDefault="004C7AB5" w:rsidP="00754265">
      <w:pPr>
        <w:pStyle w:val="normal0"/>
        <w:rPr>
          <w:lang w:val="en-GB"/>
        </w:rPr>
      </w:pPr>
      <w:r w:rsidRPr="00BB2653">
        <w:rPr>
          <w:lang w:val="en-GB"/>
        </w:rPr>
        <w:t xml:space="preserve">Lyytinen, K., Nickerson, J.V. and King, J.L., (2021). Metahuman systems= humans+ machines that learn. </w:t>
      </w:r>
      <w:r w:rsidRPr="00BB2653">
        <w:rPr>
          <w:i/>
          <w:lang w:val="en-GB"/>
        </w:rPr>
        <w:t>Journal of Information Technology, 36</w:t>
      </w:r>
      <w:r w:rsidRPr="00BB2653">
        <w:rPr>
          <w:lang w:val="en-GB"/>
        </w:rPr>
        <w:t>(4), pp.427-445.</w:t>
      </w:r>
    </w:p>
    <w:p w:rsidR="004C7AB5" w:rsidRPr="00BB2653" w:rsidRDefault="004C7AB5" w:rsidP="00754265">
      <w:pPr>
        <w:pStyle w:val="normal0"/>
        <w:rPr>
          <w:lang w:val="en-GB"/>
        </w:rPr>
      </w:pPr>
      <w:r w:rsidRPr="00BB2653">
        <w:rPr>
          <w:lang w:val="en-GB"/>
        </w:rPr>
        <w:t xml:space="preserve">Menz, M., Kunisch, S., Birkinshaw, J., Collis, D.J., Foss, N.J., Hoskisson, R.E. and Prescott, J.E., (2021). Corporate Strategy and the Theory of the Firm in the Digital Age. </w:t>
      </w:r>
      <w:r w:rsidRPr="00BB2653">
        <w:rPr>
          <w:i/>
          <w:lang w:val="en-GB"/>
        </w:rPr>
        <w:t>Journal of Management Studies, 58</w:t>
      </w:r>
      <w:r w:rsidRPr="00BB2653">
        <w:rPr>
          <w:lang w:val="en-GB"/>
        </w:rPr>
        <w:t>(7), pp.1695-1720.</w:t>
      </w:r>
    </w:p>
    <w:p w:rsidR="004C7AB5" w:rsidRPr="00BB2653" w:rsidRDefault="004C7AB5" w:rsidP="00754265">
      <w:pPr>
        <w:pStyle w:val="normal0"/>
        <w:rPr>
          <w:lang w:val="en-GB"/>
        </w:rPr>
      </w:pPr>
      <w:r w:rsidRPr="00BB2653">
        <w:rPr>
          <w:lang w:val="en-GB"/>
        </w:rPr>
        <w:t xml:space="preserve">Sattar, M.A., Toseef, M. and Sattar, M.F., 2020. Behavioral finance biases in investment decision making. </w:t>
      </w:r>
      <w:r w:rsidRPr="00BB2653">
        <w:rPr>
          <w:i/>
          <w:lang w:val="en-GB"/>
        </w:rPr>
        <w:t>International Journal of Accounting, Finance and Risk Management, 5</w:t>
      </w:r>
      <w:r w:rsidRPr="00BB2653">
        <w:rPr>
          <w:lang w:val="en-GB"/>
        </w:rPr>
        <w:t>(2), p.69.</w:t>
      </w:r>
    </w:p>
    <w:sectPr w:rsidR="004C7AB5" w:rsidRPr="00BB2653" w:rsidSect="000E6666">
      <w:footerReference w:type="default" r:id="rId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459" w:rsidRDefault="00043459" w:rsidP="0060602E">
      <w:pPr>
        <w:spacing w:before="0" w:after="0" w:line="240" w:lineRule="auto"/>
      </w:pPr>
      <w:r>
        <w:separator/>
      </w:r>
    </w:p>
  </w:endnote>
  <w:endnote w:type="continuationSeparator" w:id="1">
    <w:p w:rsidR="00043459" w:rsidRDefault="00043459" w:rsidP="0060602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8862"/>
      <w:docPartObj>
        <w:docPartGallery w:val="Page Numbers (Bottom of Page)"/>
        <w:docPartUnique/>
      </w:docPartObj>
    </w:sdtPr>
    <w:sdtContent>
      <w:p w:rsidR="00754265" w:rsidRDefault="00754265">
        <w:pPr>
          <w:pStyle w:val="Footer"/>
          <w:jc w:val="right"/>
        </w:pPr>
        <w:fldSimple w:instr=" PAGE   \* MERGEFORMAT ">
          <w:r>
            <w:rPr>
              <w:noProof/>
            </w:rPr>
            <w:t>12</w:t>
          </w:r>
        </w:fldSimple>
      </w:p>
    </w:sdtContent>
  </w:sdt>
  <w:p w:rsidR="0060602E" w:rsidRDefault="006060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459" w:rsidRDefault="00043459" w:rsidP="0060602E">
      <w:pPr>
        <w:spacing w:before="0" w:after="0" w:line="240" w:lineRule="auto"/>
      </w:pPr>
      <w:r>
        <w:separator/>
      </w:r>
    </w:p>
  </w:footnote>
  <w:footnote w:type="continuationSeparator" w:id="1">
    <w:p w:rsidR="00043459" w:rsidRDefault="00043459" w:rsidP="0060602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45CDE"/>
    <w:multiLevelType w:val="multilevel"/>
    <w:tmpl w:val="0AD8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A27224D"/>
    <w:multiLevelType w:val="hybridMultilevel"/>
    <w:tmpl w:val="286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E57AB"/>
    <w:multiLevelType w:val="multilevel"/>
    <w:tmpl w:val="18082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9218"/>
  </w:hdrShapeDefaults>
  <w:footnotePr>
    <w:footnote w:id="0"/>
    <w:footnote w:id="1"/>
  </w:footnotePr>
  <w:endnotePr>
    <w:endnote w:id="0"/>
    <w:endnote w:id="1"/>
  </w:endnotePr>
  <w:compat/>
  <w:rsids>
    <w:rsidRoot w:val="000E6666"/>
    <w:rsid w:val="00005A28"/>
    <w:rsid w:val="00043459"/>
    <w:rsid w:val="000E6666"/>
    <w:rsid w:val="00161701"/>
    <w:rsid w:val="0019048F"/>
    <w:rsid w:val="001A5FC5"/>
    <w:rsid w:val="003D3753"/>
    <w:rsid w:val="00403ADA"/>
    <w:rsid w:val="00440E23"/>
    <w:rsid w:val="00462800"/>
    <w:rsid w:val="004B5DA0"/>
    <w:rsid w:val="004C7AB5"/>
    <w:rsid w:val="004E5266"/>
    <w:rsid w:val="00522394"/>
    <w:rsid w:val="00557747"/>
    <w:rsid w:val="00565712"/>
    <w:rsid w:val="005776CD"/>
    <w:rsid w:val="005C2389"/>
    <w:rsid w:val="005C7E8F"/>
    <w:rsid w:val="0060602E"/>
    <w:rsid w:val="00624C9E"/>
    <w:rsid w:val="0062645E"/>
    <w:rsid w:val="00640E3C"/>
    <w:rsid w:val="00754265"/>
    <w:rsid w:val="00794B97"/>
    <w:rsid w:val="007E0D2F"/>
    <w:rsid w:val="008306BC"/>
    <w:rsid w:val="008371CD"/>
    <w:rsid w:val="00974368"/>
    <w:rsid w:val="009A2559"/>
    <w:rsid w:val="00B31BE8"/>
    <w:rsid w:val="00B926D1"/>
    <w:rsid w:val="00BB2653"/>
    <w:rsid w:val="00C31738"/>
    <w:rsid w:val="00E717EE"/>
    <w:rsid w:val="00EC7EDD"/>
    <w:rsid w:val="00F31838"/>
    <w:rsid w:val="00F47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20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89"/>
  </w:style>
  <w:style w:type="paragraph" w:styleId="Heading1">
    <w:name w:val="heading 1"/>
    <w:basedOn w:val="normal0"/>
    <w:next w:val="normal0"/>
    <w:rsid w:val="000E6666"/>
    <w:pPr>
      <w:keepNext/>
      <w:keepLines/>
      <w:spacing w:before="400" w:after="120"/>
      <w:outlineLvl w:val="0"/>
    </w:pPr>
    <w:rPr>
      <w:b/>
    </w:rPr>
  </w:style>
  <w:style w:type="paragraph" w:styleId="Heading2">
    <w:name w:val="heading 2"/>
    <w:basedOn w:val="normal0"/>
    <w:next w:val="normal0"/>
    <w:rsid w:val="000E6666"/>
    <w:pPr>
      <w:keepNext/>
      <w:keepLines/>
      <w:spacing w:before="360" w:after="120"/>
      <w:outlineLvl w:val="1"/>
    </w:pPr>
    <w:rPr>
      <w:b/>
    </w:rPr>
  </w:style>
  <w:style w:type="paragraph" w:styleId="Heading3">
    <w:name w:val="heading 3"/>
    <w:basedOn w:val="normal0"/>
    <w:next w:val="normal0"/>
    <w:rsid w:val="000E6666"/>
    <w:pPr>
      <w:keepNext/>
      <w:keepLines/>
      <w:spacing w:before="320" w:after="80"/>
      <w:outlineLvl w:val="2"/>
    </w:pPr>
    <w:rPr>
      <w:color w:val="434343"/>
      <w:sz w:val="28"/>
      <w:szCs w:val="28"/>
    </w:rPr>
  </w:style>
  <w:style w:type="paragraph" w:styleId="Heading4">
    <w:name w:val="heading 4"/>
    <w:basedOn w:val="normal0"/>
    <w:next w:val="normal0"/>
    <w:rsid w:val="000E6666"/>
    <w:pPr>
      <w:keepNext/>
      <w:keepLines/>
      <w:spacing w:before="280" w:after="80"/>
      <w:outlineLvl w:val="3"/>
    </w:pPr>
    <w:rPr>
      <w:color w:val="666666"/>
    </w:rPr>
  </w:style>
  <w:style w:type="paragraph" w:styleId="Heading5">
    <w:name w:val="heading 5"/>
    <w:basedOn w:val="normal0"/>
    <w:next w:val="normal0"/>
    <w:rsid w:val="000E6666"/>
    <w:pPr>
      <w:keepNext/>
      <w:keepLines/>
      <w:spacing w:before="240" w:after="80"/>
      <w:outlineLvl w:val="4"/>
    </w:pPr>
    <w:rPr>
      <w:color w:val="666666"/>
      <w:sz w:val="22"/>
      <w:szCs w:val="22"/>
    </w:rPr>
  </w:style>
  <w:style w:type="paragraph" w:styleId="Heading6">
    <w:name w:val="heading 6"/>
    <w:basedOn w:val="normal0"/>
    <w:next w:val="normal0"/>
    <w:rsid w:val="000E666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6666"/>
  </w:style>
  <w:style w:type="paragraph" w:styleId="Title">
    <w:name w:val="Title"/>
    <w:basedOn w:val="normal0"/>
    <w:next w:val="normal0"/>
    <w:rsid w:val="000E6666"/>
    <w:pPr>
      <w:keepNext/>
      <w:keepLines/>
      <w:spacing w:before="0" w:after="60"/>
    </w:pPr>
    <w:rPr>
      <w:sz w:val="52"/>
      <w:szCs w:val="52"/>
    </w:rPr>
  </w:style>
  <w:style w:type="paragraph" w:styleId="Subtitle">
    <w:name w:val="Subtitle"/>
    <w:basedOn w:val="normal0"/>
    <w:next w:val="normal0"/>
    <w:rsid w:val="000E6666"/>
    <w:pPr>
      <w:keepNext/>
      <w:keepLines/>
      <w:spacing w:before="0" w:after="320"/>
    </w:pPr>
    <w:rPr>
      <w:rFonts w:ascii="Arial" w:eastAsia="Arial" w:hAnsi="Arial" w:cs="Arial"/>
      <w:color w:val="666666"/>
      <w:sz w:val="30"/>
      <w:szCs w:val="30"/>
    </w:rPr>
  </w:style>
  <w:style w:type="table" w:customStyle="1" w:styleId="a">
    <w:basedOn w:val="TableNormal"/>
    <w:rsid w:val="000E666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E666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0E666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0E6666"/>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0E6666"/>
    <w:pPr>
      <w:spacing w:line="240" w:lineRule="auto"/>
    </w:pPr>
    <w:rPr>
      <w:sz w:val="20"/>
      <w:szCs w:val="20"/>
    </w:rPr>
  </w:style>
  <w:style w:type="character" w:customStyle="1" w:styleId="CommentTextChar">
    <w:name w:val="Comment Text Char"/>
    <w:basedOn w:val="DefaultParagraphFont"/>
    <w:link w:val="CommentText"/>
    <w:uiPriority w:val="99"/>
    <w:semiHidden/>
    <w:rsid w:val="000E6666"/>
    <w:rPr>
      <w:sz w:val="20"/>
      <w:szCs w:val="20"/>
    </w:rPr>
  </w:style>
  <w:style w:type="character" w:styleId="CommentReference">
    <w:name w:val="annotation reference"/>
    <w:basedOn w:val="DefaultParagraphFont"/>
    <w:uiPriority w:val="99"/>
    <w:semiHidden/>
    <w:unhideWhenUsed/>
    <w:rsid w:val="000E6666"/>
    <w:rPr>
      <w:sz w:val="16"/>
      <w:szCs w:val="16"/>
    </w:rPr>
  </w:style>
  <w:style w:type="paragraph" w:styleId="BalloonText">
    <w:name w:val="Balloon Text"/>
    <w:basedOn w:val="Normal"/>
    <w:link w:val="BalloonTextChar"/>
    <w:uiPriority w:val="99"/>
    <w:semiHidden/>
    <w:unhideWhenUsed/>
    <w:rsid w:val="00640E3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E3C"/>
    <w:rPr>
      <w:rFonts w:ascii="Tahoma" w:hAnsi="Tahoma" w:cs="Tahoma"/>
      <w:sz w:val="16"/>
      <w:szCs w:val="16"/>
    </w:rPr>
  </w:style>
  <w:style w:type="paragraph" w:styleId="TOCHeading">
    <w:name w:val="TOC Heading"/>
    <w:basedOn w:val="Heading1"/>
    <w:next w:val="Normal"/>
    <w:uiPriority w:val="39"/>
    <w:semiHidden/>
    <w:unhideWhenUsed/>
    <w:qFormat/>
    <w:rsid w:val="001A5FC5"/>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1A5FC5"/>
    <w:pPr>
      <w:spacing w:after="100"/>
    </w:pPr>
  </w:style>
  <w:style w:type="paragraph" w:styleId="TOC2">
    <w:name w:val="toc 2"/>
    <w:basedOn w:val="Normal"/>
    <w:next w:val="Normal"/>
    <w:autoRedefine/>
    <w:uiPriority w:val="39"/>
    <w:unhideWhenUsed/>
    <w:rsid w:val="001A5FC5"/>
    <w:pPr>
      <w:spacing w:after="100"/>
      <w:ind w:left="240"/>
    </w:pPr>
  </w:style>
  <w:style w:type="character" w:styleId="Hyperlink">
    <w:name w:val="Hyperlink"/>
    <w:basedOn w:val="DefaultParagraphFont"/>
    <w:uiPriority w:val="99"/>
    <w:unhideWhenUsed/>
    <w:rsid w:val="001A5FC5"/>
    <w:rPr>
      <w:color w:val="0000FF" w:themeColor="hyperlink"/>
      <w:u w:val="single"/>
    </w:rPr>
  </w:style>
  <w:style w:type="paragraph" w:styleId="Header">
    <w:name w:val="header"/>
    <w:basedOn w:val="Normal"/>
    <w:link w:val="HeaderChar"/>
    <w:uiPriority w:val="99"/>
    <w:semiHidden/>
    <w:unhideWhenUsed/>
    <w:rsid w:val="0060602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60602E"/>
  </w:style>
  <w:style w:type="paragraph" w:styleId="Footer">
    <w:name w:val="footer"/>
    <w:basedOn w:val="Normal"/>
    <w:link w:val="FooterChar"/>
    <w:uiPriority w:val="99"/>
    <w:unhideWhenUsed/>
    <w:rsid w:val="006060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0602E"/>
  </w:style>
</w:styles>
</file>

<file path=word/webSettings.xml><?xml version="1.0" encoding="utf-8"?>
<w:webSettings xmlns:r="http://schemas.openxmlformats.org/officeDocument/2006/relationships" xmlns:w="http://schemas.openxmlformats.org/wordprocessingml/2006/main">
  <w:divs>
    <w:div w:id="53700307">
      <w:bodyDiv w:val="1"/>
      <w:marLeft w:val="0"/>
      <w:marRight w:val="0"/>
      <w:marTop w:val="0"/>
      <w:marBottom w:val="0"/>
      <w:divBdr>
        <w:top w:val="none" w:sz="0" w:space="0" w:color="auto"/>
        <w:left w:val="none" w:sz="0" w:space="0" w:color="auto"/>
        <w:bottom w:val="none" w:sz="0" w:space="0" w:color="auto"/>
        <w:right w:val="none" w:sz="0" w:space="0" w:color="auto"/>
      </w:divBdr>
    </w:div>
    <w:div w:id="372850658">
      <w:bodyDiv w:val="1"/>
      <w:marLeft w:val="0"/>
      <w:marRight w:val="0"/>
      <w:marTop w:val="0"/>
      <w:marBottom w:val="0"/>
      <w:divBdr>
        <w:top w:val="none" w:sz="0" w:space="0" w:color="auto"/>
        <w:left w:val="none" w:sz="0" w:space="0" w:color="auto"/>
        <w:bottom w:val="none" w:sz="0" w:space="0" w:color="auto"/>
        <w:right w:val="none" w:sz="0" w:space="0" w:color="auto"/>
      </w:divBdr>
    </w:div>
    <w:div w:id="623080208">
      <w:bodyDiv w:val="1"/>
      <w:marLeft w:val="0"/>
      <w:marRight w:val="0"/>
      <w:marTop w:val="0"/>
      <w:marBottom w:val="0"/>
      <w:divBdr>
        <w:top w:val="none" w:sz="0" w:space="0" w:color="auto"/>
        <w:left w:val="none" w:sz="0" w:space="0" w:color="auto"/>
        <w:bottom w:val="none" w:sz="0" w:space="0" w:color="auto"/>
        <w:right w:val="none" w:sz="0" w:space="0" w:color="auto"/>
      </w:divBdr>
    </w:div>
    <w:div w:id="1211261431">
      <w:bodyDiv w:val="1"/>
      <w:marLeft w:val="0"/>
      <w:marRight w:val="0"/>
      <w:marTop w:val="0"/>
      <w:marBottom w:val="0"/>
      <w:divBdr>
        <w:top w:val="none" w:sz="0" w:space="0" w:color="auto"/>
        <w:left w:val="none" w:sz="0" w:space="0" w:color="auto"/>
        <w:bottom w:val="none" w:sz="0" w:space="0" w:color="auto"/>
        <w:right w:val="none" w:sz="0" w:space="0" w:color="auto"/>
      </w:divBdr>
    </w:div>
    <w:div w:id="1554661768">
      <w:bodyDiv w:val="1"/>
      <w:marLeft w:val="0"/>
      <w:marRight w:val="0"/>
      <w:marTop w:val="0"/>
      <w:marBottom w:val="0"/>
      <w:divBdr>
        <w:top w:val="none" w:sz="0" w:space="0" w:color="auto"/>
        <w:left w:val="none" w:sz="0" w:space="0" w:color="auto"/>
        <w:bottom w:val="none" w:sz="0" w:space="0" w:color="auto"/>
        <w:right w:val="none" w:sz="0" w:space="0" w:color="auto"/>
      </w:divBdr>
    </w:div>
    <w:div w:id="1589386077">
      <w:bodyDiv w:val="1"/>
      <w:marLeft w:val="0"/>
      <w:marRight w:val="0"/>
      <w:marTop w:val="0"/>
      <w:marBottom w:val="0"/>
      <w:divBdr>
        <w:top w:val="none" w:sz="0" w:space="0" w:color="auto"/>
        <w:left w:val="none" w:sz="0" w:space="0" w:color="auto"/>
        <w:bottom w:val="none" w:sz="0" w:space="0" w:color="auto"/>
        <w:right w:val="none" w:sz="0" w:space="0" w:color="auto"/>
      </w:divBdr>
    </w:div>
    <w:div w:id="1922448492">
      <w:bodyDiv w:val="1"/>
      <w:marLeft w:val="0"/>
      <w:marRight w:val="0"/>
      <w:marTop w:val="0"/>
      <w:marBottom w:val="0"/>
      <w:divBdr>
        <w:top w:val="none" w:sz="0" w:space="0" w:color="auto"/>
        <w:left w:val="none" w:sz="0" w:space="0" w:color="auto"/>
        <w:bottom w:val="none" w:sz="0" w:space="0" w:color="auto"/>
        <w:right w:val="none" w:sz="0" w:space="0" w:color="auto"/>
      </w:divBdr>
    </w:div>
    <w:div w:id="205569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ourav\28.04.23\MBB7008M%20Investment%20Appraisal%20NPV%20and%20Sensitivity%20Analysis%20template%20for%20Assessment%202%20(2).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40792364803120412"/>
          <c:y val="6.6508313539192399E-2"/>
        </c:manualLayout>
      </c:layout>
      <c:txPr>
        <a:bodyPr/>
        <a:lstStyle/>
        <a:p>
          <a:pPr>
            <a:defRPr sz="1400" b="1"/>
          </a:pPr>
          <a:endParaRPr lang="en-US"/>
        </a:p>
      </c:txPr>
    </c:title>
    <c:plotArea>
      <c:layout>
        <c:manualLayout>
          <c:layoutTarget val="inner"/>
          <c:xMode val="edge"/>
          <c:yMode val="edge"/>
          <c:x val="0.12346097395705712"/>
          <c:y val="3.4448828801030375E-2"/>
          <c:w val="0.87430478309232451"/>
          <c:h val="0.89977321034712687"/>
        </c:manualLayout>
      </c:layout>
      <c:lineChart>
        <c:grouping val="standard"/>
        <c:ser>
          <c:idx val="0"/>
          <c:order val="0"/>
          <c:tx>
            <c:strRef>
              <c:f>DCF!$A$15</c:f>
              <c:strCache>
                <c:ptCount val="1"/>
                <c:pt idx="0">
                  <c:v>HYUNDAI</c:v>
                </c:pt>
              </c:strCache>
            </c:strRef>
          </c:tx>
          <c:spPr>
            <a:ln w="25400">
              <a:solidFill>
                <a:srgbClr val="333333"/>
              </a:solidFill>
              <a:prstDash val="solid"/>
            </a:ln>
          </c:spPr>
          <c:marker>
            <c:symbol val="none"/>
          </c:marker>
          <c:cat>
            <c:strRef>
              <c:f>DCF!$B$14:$G$14</c:f>
              <c:strCache>
                <c:ptCount val="6"/>
                <c:pt idx="0">
                  <c:v>Year 0 
(£K)</c:v>
                </c:pt>
                <c:pt idx="1">
                  <c:v>Year 1
(£K)</c:v>
                </c:pt>
                <c:pt idx="2">
                  <c:v>Year 2
(£K)</c:v>
                </c:pt>
                <c:pt idx="3">
                  <c:v>Year 3
(£K)</c:v>
                </c:pt>
                <c:pt idx="4">
                  <c:v>Year 4
(£K)</c:v>
                </c:pt>
                <c:pt idx="5">
                  <c:v>Year 5
(£K)</c:v>
                </c:pt>
              </c:strCache>
            </c:strRef>
          </c:cat>
          <c:val>
            <c:numRef>
              <c:f>DCF!$B$15:$G$15</c:f>
              <c:numCache>
                <c:formatCode>#,##0;\(#,##0\)</c:formatCode>
                <c:ptCount val="6"/>
                <c:pt idx="0">
                  <c:v>-725</c:v>
                </c:pt>
                <c:pt idx="1">
                  <c:v>-447.19047619047632</c:v>
                </c:pt>
                <c:pt idx="2">
                  <c:v>-351.77097505668866</c:v>
                </c:pt>
                <c:pt idx="3">
                  <c:v>-287.41507396609364</c:v>
                </c:pt>
                <c:pt idx="4">
                  <c:v>-143.77122186743205</c:v>
                </c:pt>
                <c:pt idx="5">
                  <c:v>-6.4190848855109826</c:v>
                </c:pt>
              </c:numCache>
            </c:numRef>
          </c:val>
          <c:extLst xmlns:c16r2="http://schemas.microsoft.com/office/drawing/2015/06/chart">
            <c:ext xmlns:c16="http://schemas.microsoft.com/office/drawing/2014/chart" uri="{C3380CC4-5D6E-409C-BE32-E72D297353CC}">
              <c16:uniqueId val="{00000000-9897-4C25-94D2-EDC01B6D1C99}"/>
            </c:ext>
          </c:extLst>
        </c:ser>
        <c:marker val="1"/>
        <c:axId val="72746496"/>
        <c:axId val="72748416"/>
        <c:extLst xmlns:c16r2="http://schemas.microsoft.com/office/drawing/2015/06/chart">
          <c:ext xmlns:c15="http://schemas.microsoft.com/office/drawing/2012/chart" uri="{02D57815-91ED-43cb-92C2-25804820EDAC}">
            <c15:filteredLineSeries>
              <c15:ser>
                <c:idx val="1"/>
                <c:order val="1"/>
                <c:tx>
                  <c:strRef>
                    <c:extLst>
                      <c:ext uri="{02D57815-91ED-43cb-92C2-25804820EDAC}">
                        <c15:formulaRef>
                          <c15:sqref>DCF!#REF!</c15:sqref>
                        </c15:formulaRef>
                      </c:ext>
                    </c:extLst>
                    <c:strCache>
                      <c:ptCount val="1"/>
                      <c:pt idx="0">
                        <c:v>#REF!</c:v>
                      </c:pt>
                    </c:strCache>
                  </c:strRef>
                </c:tx>
                <c:spPr>
                  <a:ln w="25400">
                    <a:solidFill>
                      <a:srgbClr val="FF00FF"/>
                    </a:solidFill>
                    <a:prstDash val="solid"/>
                  </a:ln>
                </c:spPr>
                <c:marker>
                  <c:symbol val="none"/>
                </c:marker>
                <c:val>
                  <c:numRef>
                    <c:extLst>
                      <c:ext uri="{02D57815-91ED-43cb-92C2-25804820EDAC}">
                        <c15:formulaRef>
                          <c15:sqref>DCF!#REF!</c15:sqref>
                        </c15:formulaRef>
                      </c:ext>
                    </c:extLst>
                    <c:numCache>
                      <c:formatCode>General</c:formatCode>
                      <c:ptCount val="1"/>
                      <c:pt idx="0">
                        <c:v>1</c:v>
                      </c:pt>
                    </c:numCache>
                  </c:numRef>
                </c:val>
                <c:smooth val="0"/>
                <c:extLst>
                  <c:ext xmlns:c16="http://schemas.microsoft.com/office/drawing/2014/chart" uri="{C3380CC4-5D6E-409C-BE32-E72D297353CC}">
                    <c16:uniqueId val="{00000001-9897-4C25-94D2-EDC01B6D1C99}"/>
                  </c:ext>
                </c:extLst>
              </c15:ser>
            </c15:filteredLineSeries>
          </c:ext>
        </c:extLst>
      </c:lineChart>
      <c:catAx>
        <c:axId val="72746496"/>
        <c:scaling>
          <c:orientation val="minMax"/>
        </c:scaling>
        <c:axPos val="b"/>
        <c:numFmt formatCode="General" sourceLinked="1"/>
        <c:tickLblPos val="nextTo"/>
        <c:spPr>
          <a:ln w="3175">
            <a:solidFill>
              <a:srgbClr val="000000"/>
            </a:solidFill>
            <a:prstDash val="solid"/>
          </a:ln>
        </c:spPr>
        <c:txPr>
          <a:bodyPr rot="0" vert="horz"/>
          <a:lstStyle/>
          <a:p>
            <a:pPr>
              <a:defRPr sz="1125" b="1" i="0" u="none" strike="noStrike" baseline="0">
                <a:solidFill>
                  <a:srgbClr val="000000"/>
                </a:solidFill>
                <a:latin typeface="Arial" panose="020B0604020202020204" pitchFamily="34" charset="0"/>
                <a:ea typeface="Comic Sans MS"/>
                <a:cs typeface="Arial" panose="020B0604020202020204" pitchFamily="34" charset="0"/>
              </a:defRPr>
            </a:pPr>
            <a:endParaRPr lang="en-US"/>
          </a:p>
        </c:txPr>
        <c:crossAx val="72748416"/>
        <c:crosses val="autoZero"/>
        <c:auto val="1"/>
        <c:lblAlgn val="ctr"/>
        <c:lblOffset val="100"/>
        <c:tickLblSkip val="1"/>
        <c:tickMarkSkip val="1"/>
      </c:catAx>
      <c:valAx>
        <c:axId val="72748416"/>
        <c:scaling>
          <c:orientation val="minMax"/>
          <c:max val="1000"/>
          <c:min val="-1000"/>
        </c:scaling>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n-GB"/>
                  <a:t>£K</a:t>
                </a:r>
              </a:p>
            </c:rich>
          </c:tx>
          <c:layout>
            <c:manualLayout>
              <c:xMode val="edge"/>
              <c:yMode val="edge"/>
              <c:x val="1.0011123470522802E-2"/>
              <c:y val="0.47152667419989608"/>
            </c:manualLayout>
          </c:layout>
          <c:spPr>
            <a:noFill/>
            <a:ln w="25400">
              <a:noFill/>
            </a:ln>
          </c:spPr>
        </c:title>
        <c:numFmt formatCode="#,##0;\(#,##0\)" sourceLinked="1"/>
        <c:tickLblPos val="nextTo"/>
        <c:spPr>
          <a:ln w="3175">
            <a:solidFill>
              <a:srgbClr val="000000"/>
            </a:solidFill>
            <a:prstDash val="solid"/>
          </a:ln>
        </c:spPr>
        <c:txPr>
          <a:bodyPr rot="0" vert="horz"/>
          <a:lstStyle/>
          <a:p>
            <a:pPr>
              <a:defRPr sz="1125" b="1" i="0" u="none" strike="noStrike" baseline="0">
                <a:solidFill>
                  <a:srgbClr val="000000"/>
                </a:solidFill>
                <a:latin typeface="Arial" panose="020B0604020202020204" pitchFamily="34" charset="0"/>
                <a:ea typeface="Comic Sans MS"/>
                <a:cs typeface="Arial" panose="020B0604020202020204" pitchFamily="34" charset="0"/>
              </a:defRPr>
            </a:pPr>
            <a:endParaRPr lang="en-US"/>
          </a:p>
        </c:txPr>
        <c:crossAx val="72746496"/>
        <c:crosses val="autoZero"/>
        <c:crossBetween val="between"/>
      </c:valAx>
      <c:spPr>
        <a:solidFill>
          <a:srgbClr val="C0C0C0"/>
        </a:solidFill>
        <a:ln w="12700">
          <a:solidFill>
            <a:srgbClr val="808080"/>
          </a:solidFill>
          <a:prstDash val="solid"/>
        </a:ln>
      </c:spPr>
    </c:plotArea>
    <c:legend>
      <c:legendPos val="r"/>
      <c:layout>
        <c:manualLayout>
          <c:xMode val="edge"/>
          <c:yMode val="edge"/>
          <c:x val="0.15350389321468297"/>
          <c:y val="8.8838268792711242E-2"/>
          <c:w val="0.16129032258064543"/>
          <c:h val="9.7949886104783626E-2"/>
        </c:manualLayout>
      </c:layout>
      <c:spPr>
        <a:solidFill>
          <a:srgbClr val="FFFFFF"/>
        </a:solidFill>
        <a:ln w="3175">
          <a:solidFill>
            <a:srgbClr val="000000"/>
          </a:solidFill>
          <a:prstDash val="solid"/>
        </a:ln>
      </c:spPr>
      <c:txPr>
        <a:bodyPr/>
        <a:lstStyle/>
        <a:p>
          <a:pPr>
            <a:defRPr sz="845" b="0" i="0" u="none" strike="noStrike" baseline="0">
              <a:solidFill>
                <a:srgbClr val="000000"/>
              </a:solidFill>
              <a:latin typeface="Arial"/>
              <a:ea typeface="Arial"/>
              <a:cs typeface="Arial"/>
            </a:defRPr>
          </a:pPr>
          <a:endParaRPr lang="en-US"/>
        </a:p>
      </c:txPr>
    </c:legend>
    <c:plotVisOnly val="1"/>
    <c:dispBlanksAs val="gap"/>
  </c:chart>
  <c:spPr>
    <a:gradFill rotWithShape="0">
      <a:gsLst>
        <a:gs pos="0">
          <a:srgbClr val="FFFFFF"/>
        </a:gs>
        <a:gs pos="100000">
          <a:srgbClr val="FFFFFF">
            <a:gamma/>
            <a:shade val="46275"/>
            <a:invGamma/>
          </a:srgbClr>
        </a:gs>
      </a:gsLst>
      <a:lin ang="2700000" scaled="1"/>
    </a:gra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DAAAE-B8C9-46AE-B6D5-D6CE3098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2023-04-28T06:51:00Z</dcterms:created>
  <dcterms:modified xsi:type="dcterms:W3CDTF">2023-04-28T08:15:00Z</dcterms:modified>
</cp:coreProperties>
</file>