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EAC" w:rsidRPr="00073052" w:rsidRDefault="008D1EAC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1EAC" w:rsidRPr="00073052" w:rsidRDefault="008D1EAC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1EAC" w:rsidRPr="00073052" w:rsidRDefault="008D1EAC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178" w:rsidRPr="00073052" w:rsidRDefault="00B90178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178" w:rsidRPr="00073052" w:rsidRDefault="00B90178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178" w:rsidRPr="00073052" w:rsidRDefault="00B90178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1EAC" w:rsidRPr="00073052" w:rsidRDefault="008D1EAC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1EAC" w:rsidRPr="00073052" w:rsidRDefault="008D1EAC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1EAC" w:rsidRPr="00073052" w:rsidRDefault="008D1EAC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178" w:rsidRPr="00073052" w:rsidRDefault="00B90178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178" w:rsidRPr="00073052" w:rsidRDefault="00B90178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178" w:rsidRPr="00073052" w:rsidRDefault="00B90178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178" w:rsidRPr="00073052" w:rsidRDefault="00B90178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178" w:rsidRPr="00073052" w:rsidRDefault="00B90178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178" w:rsidRPr="00073052" w:rsidRDefault="00B90178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0178" w:rsidRPr="00073052" w:rsidRDefault="00B90178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1EAC" w:rsidRPr="00073052" w:rsidRDefault="008D1EAC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1EAC" w:rsidRPr="00073052" w:rsidRDefault="008D1EAC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1EAC" w:rsidRPr="00073052" w:rsidRDefault="002A3367" w:rsidP="008D1E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32"/>
          <w:szCs w:val="32"/>
        </w:rPr>
        <w:t>ASSIGNMENT A - PREPARE AN OUTLINE BUSINESS CASE FOR A RENEWABLE ENERGY PROJECT</w:t>
      </w: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sdt>
      <w:sdtPr>
        <w:id w:val="206995725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bCs w:val="0"/>
          <w:color w:val="auto"/>
          <w:sz w:val="22"/>
          <w:szCs w:val="22"/>
        </w:rPr>
      </w:sdtEndPr>
      <w:sdtContent>
        <w:p w:rsidR="003015A1" w:rsidRPr="003015A1" w:rsidRDefault="003015A1" w:rsidP="003015A1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C2AE7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3C162A" w:rsidRPr="003C162A" w:rsidRDefault="003015A1" w:rsidP="003C162A">
          <w:pPr>
            <w:pStyle w:val="TOC1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r w:rsidRPr="003015A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015A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015A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478106" w:history="1">
            <w:r w:rsidR="003C162A" w:rsidRPr="003C16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Project Environment Analysis</w:t>
            </w:r>
            <w:r w:rsidR="003C162A"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162A"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162A"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_Toc132478106 \h </w:instrText>
            </w:r>
            <w:r w:rsidR="003C162A"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162A"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162A"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C162A"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162A" w:rsidRPr="003C162A" w:rsidRDefault="003C162A" w:rsidP="003C162A">
          <w:pPr>
            <w:pStyle w:val="TOC1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32478107" w:history="1">
            <w:r w:rsidRPr="003C16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Project scheduling and organization (Gantt, CPA &amp; RACI) 20 marks</w: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_Toc132478107 \h </w:instrTex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162A" w:rsidRPr="003C162A" w:rsidRDefault="003C162A" w:rsidP="003C162A">
          <w:pPr>
            <w:pStyle w:val="TOC1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32478108" w:history="1">
            <w:r w:rsidRPr="003C16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Financial forecasting (cash flow, Payback period, NPV) 20 marks</w: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_Toc132478108 \h </w:instrTex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162A" w:rsidRPr="003C162A" w:rsidRDefault="003C162A" w:rsidP="003C162A">
          <w:pPr>
            <w:pStyle w:val="TOC1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32478109" w:history="1">
            <w:r w:rsidRPr="003C16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Operational management (WBS, Risk register) 20 mark</w: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_Toc132478109 \h </w:instrTex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162A" w:rsidRPr="003C162A" w:rsidRDefault="003C162A" w:rsidP="003C162A">
          <w:pPr>
            <w:pStyle w:val="TOC1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32478110" w:history="1">
            <w:r w:rsidRPr="003C16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Stakeholder management (at least 3 key stakeholders)</w: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_Toc132478110 \h </w:instrTex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162A" w:rsidRPr="003C162A" w:rsidRDefault="003C162A" w:rsidP="003C162A">
          <w:pPr>
            <w:pStyle w:val="TOC1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132478111" w:history="1">
            <w:r w:rsidRPr="003C16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 List</w: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_Toc132478111 \h </w:instrTex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C16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015A1" w:rsidRDefault="003015A1" w:rsidP="003015A1">
          <w:pPr>
            <w:spacing w:line="360" w:lineRule="auto"/>
            <w:jc w:val="both"/>
          </w:pPr>
          <w:r w:rsidRPr="003015A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3015A1" w:rsidRDefault="003015A1" w:rsidP="00884B54">
      <w:pPr>
        <w:pStyle w:val="Heading1"/>
      </w:pPr>
      <w:r>
        <w:br/>
      </w:r>
    </w:p>
    <w:p w:rsidR="003015A1" w:rsidRDefault="003015A1" w:rsidP="003015A1">
      <w:pPr>
        <w:rPr>
          <w:rFonts w:ascii="Times New Roman" w:hAnsi="Times New Roman"/>
          <w:sz w:val="28"/>
          <w:szCs w:val="40"/>
        </w:rPr>
      </w:pPr>
      <w:r>
        <w:br w:type="page"/>
      </w:r>
    </w:p>
    <w:p w:rsidR="009A46EC" w:rsidRPr="00073052" w:rsidRDefault="002A3367" w:rsidP="00884B54">
      <w:pPr>
        <w:pStyle w:val="Heading1"/>
      </w:pPr>
      <w:bookmarkStart w:id="0" w:name="_Toc132478106"/>
      <w:r w:rsidRPr="00073052">
        <w:lastRenderedPageBreak/>
        <w:t>1. Project Environment Analysis</w:t>
      </w:r>
      <w:bookmarkEnd w:id="0"/>
      <w:r w:rsidRPr="00073052">
        <w:t xml:space="preserve">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9E1047" w:rsidRPr="00073052" w:rsidTr="00DE69A7">
        <w:tc>
          <w:tcPr>
            <w:tcW w:w="4514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 w:rsidP="009E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Strength</w:t>
            </w:r>
          </w:p>
          <w:p w:rsidR="009A46EC" w:rsidRPr="00073052" w:rsidRDefault="002A336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utilization of rich solar resources </w:t>
            </w:r>
          </w:p>
          <w:p w:rsidR="009A46EC" w:rsidRPr="00073052" w:rsidRDefault="002A336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Rich resources of land and space </w:t>
            </w:r>
          </w:p>
          <w:p w:rsidR="009A46EC" w:rsidRPr="00073052" w:rsidRDefault="002A336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for suitable pv solar system</w:t>
            </w:r>
          </w:p>
          <w:p w:rsidR="009A46EC" w:rsidRPr="00073052" w:rsidRDefault="009A4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 w:rsidP="009E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Weakness</w:t>
            </w:r>
          </w:p>
          <w:p w:rsidR="009A46EC" w:rsidRPr="00073052" w:rsidRDefault="002A336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Renewable energy investment from the government has been low. </w:t>
            </w:r>
          </w:p>
          <w:p w:rsidR="009A46EC" w:rsidRPr="00073052" w:rsidRDefault="002A336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Insufficient knowledge of environmental and social benefits</w:t>
            </w: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</w:tr>
      <w:tr w:rsidR="009E1047" w:rsidRPr="00073052" w:rsidTr="00DE69A7">
        <w:tc>
          <w:tcPr>
            <w:tcW w:w="4514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 w:rsidP="009E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Opportunity</w:t>
            </w:r>
          </w:p>
          <w:p w:rsidR="009A46EC" w:rsidRPr="00073052" w:rsidRDefault="002A336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increase awareness for Changing climate. </w:t>
            </w:r>
          </w:p>
          <w:p w:rsidR="009A46EC" w:rsidRPr="00073052" w:rsidRDefault="002A336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Increased gap between demand and energy supply</w:t>
            </w: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4514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 w:rsidP="009E3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Threat</w:t>
            </w:r>
          </w:p>
          <w:p w:rsidR="009A46EC" w:rsidRPr="00073052" w:rsidRDefault="002A336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dominant situation of fossil fuel </w:t>
            </w:r>
          </w:p>
          <w:p w:rsidR="009A46EC" w:rsidRPr="00073052" w:rsidRDefault="002A336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Discontinuity on policies related to energy transfer </w:t>
            </w:r>
          </w:p>
        </w:tc>
      </w:tr>
    </w:tbl>
    <w:p w:rsidR="009A46EC" w:rsidRPr="00073052" w:rsidRDefault="002A3367" w:rsidP="00DE69A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="00884B54" w:rsidRPr="000730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73052">
        <w:rPr>
          <w:rFonts w:ascii="Times New Roman" w:eastAsia="Times New Roman" w:hAnsi="Times New Roman" w:cs="Times New Roman"/>
          <w:b/>
          <w:bCs/>
          <w:sz w:val="24"/>
          <w:szCs w:val="24"/>
        </w:rPr>
        <w:t>1: SWOT</w:t>
      </w:r>
    </w:p>
    <w:p w:rsidR="00DE69A7" w:rsidRPr="00073052" w:rsidRDefault="002A3367" w:rsidP="00DE69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>(Source: Self-created)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>Speaker Note: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 xml:space="preserve">The richness of solar resources exhibits depreciated remarkable advantages for this project in terms of finding 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>potential. Compared to traditional power generation methods that use fossil fuels, PV solar power generation requires more land per unit capacity</w:t>
      </w:r>
      <w:r w:rsidR="007C0183" w:rsidRPr="000730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C0183"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Ahmed</w:t>
      </w:r>
      <w:r w:rsidR="007C0183" w:rsidRPr="000730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et al. </w:t>
      </w:r>
      <w:r w:rsidR="007C0183"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2020</w:t>
      </w:r>
      <w:r w:rsidR="007C0183" w:rsidRPr="0007305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>. For instance, a 1 MW solar PV system that uses polycrystalline PV modules needs around 1 hectare of land. The large bulk of investment must be a weakness for this PV Solar power project. Rising consumption</w:t>
      </w:r>
      <w:r w:rsidR="004F37ED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 xml:space="preserve"> of energy deficit energy trade more. Large-scale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 xml:space="preserve"> adoption of solar PV may inevitably clash with the interests of the major fossil fuel-based electricity generators. </w:t>
      </w:r>
    </w:p>
    <w:p w:rsidR="009A46EC" w:rsidRPr="00073052" w:rsidRDefault="002A3367" w:rsidP="00884B54">
      <w:pPr>
        <w:pStyle w:val="Heading1"/>
      </w:pPr>
      <w:bookmarkStart w:id="1" w:name="_Toc132478107"/>
      <w:r w:rsidRPr="00073052">
        <w:t>2. Project scheduling and organization (Gantt, CPA &amp; RACI) 20 marks</w:t>
      </w:r>
      <w:bookmarkEnd w:id="1"/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114300" distB="114300" distL="114300" distR="114300">
            <wp:extent cx="5731200" cy="1435100"/>
            <wp:effectExtent l="19050" t="0" r="285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8D" w:rsidRPr="00073052" w:rsidRDefault="002A3367" w:rsidP="0092088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Figure </w:t>
      </w:r>
      <w:r w:rsidRPr="000730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1: </w:t>
      </w:r>
      <w:r w:rsidRPr="00073052">
        <w:rPr>
          <w:rFonts w:ascii="Times New Roman" w:eastAsia="Times New Roman" w:hAnsi="Times New Roman" w:cs="Times New Roman"/>
          <w:b/>
          <w:bCs/>
          <w:sz w:val="24"/>
          <w:szCs w:val="24"/>
        </w:rPr>
        <w:t>Gantt chart</w:t>
      </w:r>
    </w:p>
    <w:p w:rsidR="0092088D" w:rsidRPr="00073052" w:rsidRDefault="002A3367" w:rsidP="0092088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lastRenderedPageBreak/>
        <w:t>(Source: Self-created)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 xml:space="preserve">Speaker Note: 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>effectively managing time with tasks, the project can achieve its goals while minimizing any negative impacts on the project</w:t>
      </w:r>
      <w:r w:rsidR="007C0183" w:rsidRPr="000730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C0183"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Suhanda and Pratami, 2021</w:t>
      </w:r>
      <w:r w:rsidR="007C0183" w:rsidRPr="0007305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>. CPA would connect from the site survey to the installation of PV panels and battery then closure to th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 xml:space="preserve">e project. </w:t>
      </w:r>
    </w:p>
    <w:tbl>
      <w:tblPr>
        <w:tblStyle w:val="a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DBE5F1" w:themeFill="accent1" w:themeFillTint="33"/>
        <w:tblLayout w:type="fixed"/>
        <w:tblLook w:val="0600"/>
      </w:tblPr>
      <w:tblGrid>
        <w:gridCol w:w="1935"/>
        <w:gridCol w:w="1755"/>
        <w:gridCol w:w="1785"/>
        <w:gridCol w:w="1665"/>
        <w:gridCol w:w="1785"/>
      </w:tblGrid>
      <w:tr w:rsidR="009E1047" w:rsidRPr="00073052" w:rsidTr="00BB33A4">
        <w:trPr>
          <w:trHeight w:val="75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Responsible (R)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Accountable (A)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Consulted (C)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Informed (I)</w:t>
            </w:r>
          </w:p>
        </w:tc>
      </w:tr>
      <w:tr w:rsidR="009E1047" w:rsidRPr="00073052" w:rsidTr="00BB33A4">
        <w:trPr>
          <w:trHeight w:val="7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Initiation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Finance Manager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</w:p>
        </w:tc>
      </w:tr>
      <w:tr w:rsidR="009E1047" w:rsidRPr="00073052" w:rsidTr="00BB33A4">
        <w:trPr>
          <w:trHeight w:val="7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Site Survey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Eng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 Eng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</w:tr>
      <w:tr w:rsidR="009E1047" w:rsidRPr="00073052" w:rsidTr="00BB33A4">
        <w:trPr>
          <w:trHeight w:val="7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 Planning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Eng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 Eng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</w:tr>
      <w:tr w:rsidR="009E1047" w:rsidRPr="00073052" w:rsidTr="00BB33A4">
        <w:trPr>
          <w:trHeight w:val="7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Procurement of Materials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Supply Chain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Finance Manager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</w:tr>
      <w:tr w:rsidR="009E1047" w:rsidRPr="00073052" w:rsidTr="00BB33A4">
        <w:trPr>
          <w:trHeight w:val="7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 Delivery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Supply Chain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Finance Manager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</w:tr>
      <w:tr w:rsidR="009E1047" w:rsidRPr="00073052" w:rsidTr="00BB33A4">
        <w:trPr>
          <w:trHeight w:val="102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Installation of PV Panels and Battery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Electrical </w:t>
            </w: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 Eng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</w:tr>
      <w:tr w:rsidR="009E1047" w:rsidRPr="00073052" w:rsidTr="00BB33A4">
        <w:trPr>
          <w:trHeight w:val="102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Installation of Charging Stations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Eng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 Eng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</w:tr>
      <w:tr w:rsidR="009E1047" w:rsidRPr="00073052" w:rsidTr="00BB33A4">
        <w:trPr>
          <w:trHeight w:val="7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Testing and </w:t>
            </w: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Commissioning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Electrical Eng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 Eng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</w:tr>
      <w:tr w:rsidR="009E1047" w:rsidRPr="00073052" w:rsidTr="00BB33A4">
        <w:trPr>
          <w:trHeight w:val="7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Training and Handover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Electrical </w:t>
            </w: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Finance Manager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</w:tr>
      <w:tr w:rsidR="009E1047" w:rsidRPr="00073052" w:rsidTr="00BB33A4">
        <w:trPr>
          <w:trHeight w:val="7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Closure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Finance Manager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</w:p>
        </w:tc>
      </w:tr>
    </w:tbl>
    <w:p w:rsidR="0092088D" w:rsidRPr="00073052" w:rsidRDefault="002A3367" w:rsidP="0092088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07305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0730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73052">
        <w:rPr>
          <w:rFonts w:ascii="Times New Roman" w:eastAsia="Times New Roman" w:hAnsi="Times New Roman" w:cs="Times New Roman"/>
          <w:b/>
          <w:bCs/>
          <w:sz w:val="24"/>
          <w:szCs w:val="24"/>
        </w:rPr>
        <w:t>RACI</w:t>
      </w:r>
    </w:p>
    <w:p w:rsidR="0092088D" w:rsidRPr="00073052" w:rsidRDefault="002A3367" w:rsidP="0092088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>(Source: Self-created)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>Speaker note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 xml:space="preserve">: RACI Matrix has highlighted each role of their terms denotes who is responsible 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>for project management in their actions</w:t>
      </w:r>
      <w:r w:rsidR="007C0183" w:rsidRPr="000730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C0183"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Dai</w:t>
      </w:r>
      <w:r w:rsidR="007C0183" w:rsidRPr="000730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et al. </w:t>
      </w:r>
      <w:r w:rsidR="007C0183"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2022</w:t>
      </w:r>
      <w:r w:rsidR="007C0183" w:rsidRPr="0007305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9A46EC" w:rsidRPr="00073052" w:rsidRDefault="002A3367" w:rsidP="00884B54">
      <w:pPr>
        <w:pStyle w:val="Heading1"/>
      </w:pPr>
      <w:bookmarkStart w:id="2" w:name="_Toc132478108"/>
      <w:r w:rsidRPr="00073052">
        <w:t>3. Financial forecasting (cash flow, Payback period, NPV) 20 marks</w:t>
      </w:r>
      <w:bookmarkEnd w:id="2"/>
    </w:p>
    <w:tbl>
      <w:tblPr>
        <w:tblStyle w:val="a1"/>
        <w:tblW w:w="684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E5DFEC" w:themeFill="accent4" w:themeFillTint="33"/>
        <w:tblLayout w:type="fixed"/>
        <w:tblLook w:val="0600"/>
      </w:tblPr>
      <w:tblGrid>
        <w:gridCol w:w="3330"/>
        <w:gridCol w:w="3510"/>
      </w:tblGrid>
      <w:tr w:rsidR="009E1047" w:rsidRPr="00073052" w:rsidTr="00BB33A4">
        <w:trPr>
          <w:trHeight w:val="515"/>
          <w:jc w:val="center"/>
        </w:trPr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Electricity Generated</w:t>
            </w:r>
          </w:p>
        </w:tc>
        <w:tc>
          <w:tcPr>
            <w:tcW w:w="3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1000000 units</w:t>
            </w:r>
          </w:p>
        </w:tc>
      </w:tr>
      <w:tr w:rsidR="009E1047" w:rsidRPr="00073052" w:rsidTr="00BB33A4">
        <w:trPr>
          <w:trHeight w:val="515"/>
          <w:jc w:val="center"/>
        </w:trPr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Electricity Stored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10000 units</w:t>
            </w:r>
          </w:p>
        </w:tc>
      </w:tr>
      <w:tr w:rsidR="009E1047" w:rsidRPr="00073052" w:rsidTr="00BB33A4">
        <w:trPr>
          <w:trHeight w:val="515"/>
          <w:jc w:val="center"/>
        </w:trPr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Electricity cost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£151500</w:t>
            </w:r>
          </w:p>
        </w:tc>
      </w:tr>
      <w:tr w:rsidR="009E1047" w:rsidRPr="00073052" w:rsidTr="00BB33A4">
        <w:trPr>
          <w:trHeight w:val="515"/>
          <w:jc w:val="center"/>
        </w:trPr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Cash Flow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£5338500</w:t>
            </w:r>
          </w:p>
        </w:tc>
      </w:tr>
      <w:tr w:rsidR="009E1047" w:rsidRPr="00073052" w:rsidTr="00BB33A4">
        <w:trPr>
          <w:trHeight w:val="515"/>
          <w:jc w:val="center"/>
        </w:trPr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Payback period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£9.365926758</w:t>
            </w:r>
          </w:p>
        </w:tc>
      </w:tr>
      <w:tr w:rsidR="009E1047" w:rsidRPr="00073052" w:rsidTr="00BB33A4">
        <w:trPr>
          <w:trHeight w:val="515"/>
          <w:jc w:val="center"/>
        </w:trPr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NPV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£51914179.93</w:t>
            </w:r>
          </w:p>
        </w:tc>
      </w:tr>
    </w:tbl>
    <w:p w:rsidR="0092088D" w:rsidRPr="00073052" w:rsidRDefault="002A3367" w:rsidP="0092088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 xml:space="preserve">Table 3: </w:t>
      </w: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>Financial forecasting</w:t>
      </w:r>
    </w:p>
    <w:p w:rsidR="0092088D" w:rsidRPr="00073052" w:rsidRDefault="002A3367" w:rsidP="0092088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>(Source: Self-created)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>Speaker Note: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73052">
        <w:rPr>
          <w:rFonts w:ascii="Times New Roman" w:eastAsia="Times New Roman" w:hAnsi="Times New Roman" w:cs="Times New Roman"/>
          <w:sz w:val="24"/>
          <w:szCs w:val="24"/>
          <w:highlight w:val="white"/>
        </w:rPr>
        <w:t>Electricity Generated = 200,000 units / 0.2 = 1,000,000 units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>Electricity Stored = 10,000 units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Assuming an electricity price of £0.15 per unit, the total 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>electricity cost for the project will be = (Electricity Generated + Electricity Stored) * £0.15 = £151500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>Cash Flow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>Cash Flow = Total Revenue - Total Costs = £6,000,000 - (£500,000 + £10,000 + £150,150) = £5338500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>Payback Period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 xml:space="preserve">Payback Period = Capital 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>Cost / Annual Cash Flow = 9.37 years</w:t>
      </w:r>
      <w:r w:rsidR="007C0183" w:rsidRPr="000730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>NPV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>NPV = (Cash Flow / (1 + Discount Rate)^20) - Capital Cost = (£5338500/ (1 + 0.08)^1) + (£5338500 / (1 + 0.08)^2) + ... + (£5338500 / (1 + 0.08)^20) - £500,000 = £51914179.93</w:t>
      </w:r>
    </w:p>
    <w:p w:rsidR="009A46EC" w:rsidRPr="00073052" w:rsidRDefault="002A3367" w:rsidP="00884B54">
      <w:pPr>
        <w:pStyle w:val="Heading1"/>
      </w:pPr>
      <w:bookmarkStart w:id="3" w:name="_Toc132478109"/>
      <w:r w:rsidRPr="00073052">
        <w:t>4. Operational management (WBS, Risk reg</w:t>
      </w:r>
      <w:r w:rsidRPr="00073052">
        <w:t>ister) 20 mark</w:t>
      </w:r>
      <w:bookmarkEnd w:id="3"/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 xml:space="preserve">WBS </w:t>
      </w:r>
    </w:p>
    <w:p w:rsidR="009A46EC" w:rsidRPr="00073052" w:rsidRDefault="003633D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3415" cy="3095406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9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88D" w:rsidRPr="00073052" w:rsidRDefault="002A3367" w:rsidP="0092088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>Figure2: WBS</w:t>
      </w:r>
    </w:p>
    <w:p w:rsidR="0092088D" w:rsidRPr="00073052" w:rsidRDefault="002A3367" w:rsidP="0092088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>(Source: Self-created)</w:t>
      </w:r>
    </w:p>
    <w:p w:rsidR="00713A60" w:rsidRPr="00073052" w:rsidRDefault="002A3367" w:rsidP="00713A6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>Speaker Note: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>The above figure is for WBS structure will be the main task-based activity that will enforce the project faster</w:t>
      </w:r>
      <w:r w:rsidR="000105B7" w:rsidRPr="00073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0183" w:rsidRPr="00073052">
        <w:rPr>
          <w:rFonts w:ascii="Times New Roman" w:eastAsia="Times New Roman" w:hAnsi="Times New Roman" w:cs="Times New Roman"/>
          <w:sz w:val="24"/>
          <w:szCs w:val="24"/>
        </w:rPr>
        <w:t>(</w:t>
      </w:r>
      <w:r w:rsidR="007C0183"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Wang, 2020</w:t>
      </w:r>
      <w:r w:rsidR="007C0183" w:rsidRPr="0007305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3837" w:rsidRPr="00073052" w:rsidRDefault="0044383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 xml:space="preserve">Risk registration 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2DBDB" w:themeFill="accent2" w:themeFillTint="33"/>
        <w:tblLayout w:type="fixed"/>
        <w:tblLook w:val="0600"/>
      </w:tblPr>
      <w:tblGrid>
        <w:gridCol w:w="2258"/>
        <w:gridCol w:w="2257"/>
        <w:gridCol w:w="2257"/>
        <w:gridCol w:w="2257"/>
      </w:tblGrid>
      <w:tr w:rsidR="009E1047" w:rsidRPr="00073052" w:rsidTr="00BB33A4">
        <w:tc>
          <w:tcPr>
            <w:tcW w:w="2258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Risk </w:t>
            </w:r>
          </w:p>
        </w:tc>
        <w:tc>
          <w:tcPr>
            <w:tcW w:w="2257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Probability </w:t>
            </w:r>
          </w:p>
        </w:tc>
        <w:tc>
          <w:tcPr>
            <w:tcW w:w="2257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Severity </w:t>
            </w:r>
          </w:p>
        </w:tc>
        <w:tc>
          <w:tcPr>
            <w:tcW w:w="2257" w:type="dxa"/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Mitigation </w:t>
            </w:r>
          </w:p>
        </w:tc>
      </w:tr>
      <w:tr w:rsidR="009E1047" w:rsidRPr="00073052" w:rsidTr="00BB33A4">
        <w:tc>
          <w:tcPr>
            <w:tcW w:w="2258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Delays in equipment delivery</w:t>
            </w:r>
          </w:p>
        </w:tc>
        <w:tc>
          <w:tcPr>
            <w:tcW w:w="225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225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lot of alternate suppliers and maintain regular communication with team members to ensure timely delivery. </w:t>
            </w:r>
          </w:p>
        </w:tc>
      </w:tr>
      <w:tr w:rsidR="009E1047" w:rsidRPr="00073052" w:rsidTr="00BB33A4">
        <w:tc>
          <w:tcPr>
            <w:tcW w:w="2258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Changes in government policies</w:t>
            </w:r>
          </w:p>
        </w:tc>
        <w:tc>
          <w:tcPr>
            <w:tcW w:w="225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225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>Monitor government policies and develop contingency plans to</w:t>
            </w:r>
            <w:r w:rsidRPr="000730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adapt to changes.</w:t>
            </w:r>
          </w:p>
        </w:tc>
      </w:tr>
      <w:tr w:rsidR="009E1047" w:rsidRPr="00073052" w:rsidTr="00BB33A4">
        <w:tc>
          <w:tcPr>
            <w:tcW w:w="2258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Technology obsolescence</w:t>
            </w:r>
          </w:p>
        </w:tc>
        <w:tc>
          <w:tcPr>
            <w:tcW w:w="225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Medium </w:t>
            </w:r>
          </w:p>
        </w:tc>
        <w:tc>
          <w:tcPr>
            <w:tcW w:w="225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High</w:t>
            </w:r>
          </w:p>
        </w:tc>
        <w:tc>
          <w:tcPr>
            <w:tcW w:w="225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Regularly evaluate new technologies and plan for regular updates. </w:t>
            </w:r>
          </w:p>
        </w:tc>
      </w:tr>
      <w:tr w:rsidR="009E1047" w:rsidRPr="00073052" w:rsidTr="00BB33A4">
        <w:tc>
          <w:tcPr>
            <w:tcW w:w="2258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Power outages</w:t>
            </w:r>
          </w:p>
        </w:tc>
        <w:tc>
          <w:tcPr>
            <w:tcW w:w="225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Low</w:t>
            </w:r>
          </w:p>
        </w:tc>
        <w:tc>
          <w:tcPr>
            <w:tcW w:w="225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High </w:t>
            </w:r>
          </w:p>
        </w:tc>
        <w:tc>
          <w:tcPr>
            <w:tcW w:w="2257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6EC" w:rsidRPr="00073052" w:rsidRDefault="002A3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73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Implement backup power solutions</w:t>
            </w:r>
          </w:p>
        </w:tc>
      </w:tr>
    </w:tbl>
    <w:p w:rsidR="0092088D" w:rsidRPr="00073052" w:rsidRDefault="002A3367" w:rsidP="0092088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 xml:space="preserve">Table 4: </w:t>
      </w: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>Risk registration</w:t>
      </w:r>
    </w:p>
    <w:p w:rsidR="0092088D" w:rsidRPr="00073052" w:rsidRDefault="002A3367" w:rsidP="0092088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>(Source: Self-created)</w:t>
      </w:r>
    </w:p>
    <w:p w:rsidR="009A46EC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>Speaker Notes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 xml:space="preserve">: By 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>identifying and planning for potential risks, the project team can minimize the likelihood and impact of negative events and ensure the project's success</w:t>
      </w:r>
      <w:r w:rsidRPr="0007305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A46EC" w:rsidRPr="00073052" w:rsidRDefault="002A3367" w:rsidP="00884B54">
      <w:pPr>
        <w:pStyle w:val="Heading1"/>
      </w:pPr>
      <w:bookmarkStart w:id="4" w:name="_Toc132478110"/>
      <w:r w:rsidRPr="00073052">
        <w:t>5. Stakeholder management (at least 3 key stakeholders)</w:t>
      </w:r>
      <w:bookmarkEnd w:id="4"/>
    </w:p>
    <w:p w:rsidR="009A46EC" w:rsidRPr="00073052" w:rsidRDefault="002A336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>Identification of stakeholder</w:t>
      </w:r>
      <w:r w:rsidR="006B7AA7" w:rsidRPr="00073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AA7" w:rsidRPr="00073052">
        <w:rPr>
          <w:rFonts w:ascii="Times New Roman" w:eastAsia="Times New Roman" w:hAnsi="Times New Roman" w:cs="Times New Roman"/>
          <w:b/>
          <w:i/>
          <w:sz w:val="24"/>
          <w:szCs w:val="24"/>
        </w:rPr>
        <w:t>(Government, Employees, Investors)</w:t>
      </w:r>
    </w:p>
    <w:p w:rsidR="009A46EC" w:rsidRPr="00073052" w:rsidRDefault="002A336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>Developing thei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 xml:space="preserve">r activity </w:t>
      </w:r>
    </w:p>
    <w:p w:rsidR="009A46EC" w:rsidRPr="00073052" w:rsidRDefault="002A336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 xml:space="preserve">Forecasting of budget and planning support </w:t>
      </w:r>
    </w:p>
    <w:p w:rsidR="009A46EC" w:rsidRPr="00073052" w:rsidRDefault="002A336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t>Management plan and progress</w:t>
      </w:r>
    </w:p>
    <w:p w:rsidR="00713A60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b/>
          <w:bCs/>
          <w:sz w:val="24"/>
          <w:szCs w:val="24"/>
        </w:rPr>
        <w:t>Speaker Note:</w:t>
      </w:r>
    </w:p>
    <w:p w:rsidR="00D54BD6" w:rsidRPr="00073052" w:rsidRDefault="002A33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lastRenderedPageBreak/>
        <w:t>For PV installation and battery storage installation, it will be necessary to identify customers, investors, local communities, government, suppliers, employ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>ees, etc</w:t>
      </w:r>
      <w:r w:rsidR="007C0183" w:rsidRPr="000730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C0183"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Martinsuo and Ahola, 2022</w:t>
      </w:r>
      <w:r w:rsidR="007C0183" w:rsidRPr="0007305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>. Employees like mechanical engineers, electrical, transport, and finance engineers will help to robust the work procedures perfectly. Engagement activities like surveys, focus groups, and meetings would bring concern ov</w:t>
      </w:r>
      <w:r w:rsidRPr="00073052">
        <w:rPr>
          <w:rFonts w:ascii="Times New Roman" w:eastAsia="Times New Roman" w:hAnsi="Times New Roman" w:cs="Times New Roman"/>
          <w:sz w:val="24"/>
          <w:szCs w:val="24"/>
        </w:rPr>
        <w:t>er project progress.</w:t>
      </w:r>
    </w:p>
    <w:p w:rsidR="00D54BD6" w:rsidRPr="00073052" w:rsidRDefault="002A3367">
      <w:pPr>
        <w:rPr>
          <w:rFonts w:ascii="Times New Roman" w:eastAsia="Times New Roman" w:hAnsi="Times New Roman" w:cs="Times New Roman"/>
          <w:sz w:val="24"/>
          <w:szCs w:val="24"/>
        </w:rPr>
      </w:pPr>
      <w:r w:rsidRPr="0007305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54BD6" w:rsidRPr="00073052" w:rsidRDefault="002A3367" w:rsidP="004D7E0D">
      <w:pPr>
        <w:pStyle w:val="Heading1"/>
      </w:pPr>
      <w:bookmarkStart w:id="5" w:name="_Toc132478111"/>
      <w:r w:rsidRPr="00073052">
        <w:lastRenderedPageBreak/>
        <w:t>Reference List</w:t>
      </w:r>
      <w:bookmarkEnd w:id="5"/>
    </w:p>
    <w:p w:rsidR="00D54BD6" w:rsidRPr="00073052" w:rsidRDefault="002A3367" w:rsidP="00D54B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3052">
        <w:rPr>
          <w:rFonts w:ascii="Times New Roman" w:hAnsi="Times New Roman" w:cs="Times New Roman"/>
          <w:b/>
          <w:bCs/>
          <w:sz w:val="24"/>
          <w:szCs w:val="24"/>
        </w:rPr>
        <w:t>Journals</w:t>
      </w:r>
    </w:p>
    <w:p w:rsidR="00D54BD6" w:rsidRPr="00073052" w:rsidRDefault="002A3367" w:rsidP="00D54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Ahmed, R., Sreeram, V., Mishra, Y. and Arif, M.D., 2020. A review and evaluation of the state-of-the-art in PV solar power forecasting: Techniques and optimization. </w:t>
      </w:r>
      <w:r w:rsidRPr="000730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Renewable and Sustainable Energy Reviews</w:t>
      </w: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0730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124</w:t>
      </w: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, p.109792.</w:t>
      </w:r>
    </w:p>
    <w:p w:rsidR="00D54BD6" w:rsidRPr="00073052" w:rsidRDefault="002A3367" w:rsidP="00D54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Suhanda, R.D.P. and Pratami, D., 2021. RACI matrix design for managing stakeholders in project case study of PT. XYZ. </w:t>
      </w:r>
      <w:r w:rsidRPr="000730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International Journal of Innovation in Enterprise System</w:t>
      </w: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0730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5</w:t>
      </w: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(02), pp.122-133.</w:t>
      </w:r>
    </w:p>
    <w:p w:rsidR="00D54BD6" w:rsidRPr="00073052" w:rsidRDefault="002A3367" w:rsidP="00D54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Dai, H., Li, N., Wang, Y. and Zhao, X., 2022, </w:t>
      </w: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March. The Analysis of Three Main Investment Criteria: NPV IRR and Payback Period. In </w:t>
      </w:r>
      <w:r w:rsidRPr="000730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2022 7th International Conference on Financial Innovation and Economic Development (ICFIED 2022)</w:t>
      </w: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 (pp. 185-189). Atlantis Press.</w:t>
      </w:r>
    </w:p>
    <w:p w:rsidR="00D54BD6" w:rsidRPr="00073052" w:rsidRDefault="002A3367" w:rsidP="00D54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Wang, J., 2020. Construction of risk evalu</w:t>
      </w: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ation index system for power grid engineering cost by applying WBS-RBS and membership degree methods. </w:t>
      </w:r>
      <w:r w:rsidRPr="000730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Mathematical Problems in Engineering</w:t>
      </w: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0730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2020</w:t>
      </w: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54BD6" w:rsidRPr="00073052" w:rsidRDefault="002A3367" w:rsidP="00D54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Martinsuo, M. and Ahola, T., 2022. Multi-project management in inter-organizational contexts. </w:t>
      </w:r>
      <w:r w:rsidRPr="000730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International </w:t>
      </w:r>
      <w:r w:rsidRPr="000730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Project Management</w:t>
      </w: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0730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40</w:t>
      </w:r>
      <w:r w:rsidRPr="00073052">
        <w:rPr>
          <w:rFonts w:ascii="Times New Roman" w:hAnsi="Times New Roman" w:cs="Times New Roman"/>
          <w:sz w:val="24"/>
          <w:szCs w:val="24"/>
          <w:shd w:val="clear" w:color="auto" w:fill="FFFFFF"/>
        </w:rPr>
        <w:t>(7), pp.813-826.</w:t>
      </w:r>
    </w:p>
    <w:p w:rsidR="009A46EC" w:rsidRPr="00073052" w:rsidRDefault="009A46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6EC" w:rsidRPr="00073052" w:rsidRDefault="009A46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46EC" w:rsidRPr="00073052" w:rsidRDefault="009A46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46EC" w:rsidRPr="00073052" w:rsidRDefault="009A46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A46EC" w:rsidRPr="00073052" w:rsidSect="008D1EAC">
      <w:footerReference w:type="default" r:id="rId10"/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367" w:rsidRDefault="002A3367" w:rsidP="009E1047">
      <w:pPr>
        <w:spacing w:line="240" w:lineRule="auto"/>
      </w:pPr>
      <w:r>
        <w:separator/>
      </w:r>
    </w:p>
  </w:endnote>
  <w:endnote w:type="continuationSeparator" w:id="1">
    <w:p w:rsidR="002A3367" w:rsidRDefault="002A3367" w:rsidP="009E10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9683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1EAC" w:rsidRDefault="009E1047">
        <w:pPr>
          <w:pStyle w:val="Footer"/>
          <w:jc w:val="right"/>
        </w:pPr>
        <w:r>
          <w:fldChar w:fldCharType="begin"/>
        </w:r>
        <w:r w:rsidR="002A3367">
          <w:instrText xml:space="preserve"> PAGE   \* MERGEFORMAT </w:instrText>
        </w:r>
        <w:r>
          <w:fldChar w:fldCharType="separate"/>
        </w:r>
        <w:r w:rsidR="003C16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1EAC" w:rsidRDefault="008D1E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367" w:rsidRDefault="002A3367" w:rsidP="009E1047">
      <w:pPr>
        <w:spacing w:line="240" w:lineRule="auto"/>
      </w:pPr>
      <w:r>
        <w:separator/>
      </w:r>
    </w:p>
  </w:footnote>
  <w:footnote w:type="continuationSeparator" w:id="1">
    <w:p w:rsidR="002A3367" w:rsidRDefault="002A3367" w:rsidP="009E10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8A3"/>
    <w:multiLevelType w:val="multilevel"/>
    <w:tmpl w:val="8F3A4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8138F0"/>
    <w:multiLevelType w:val="multilevel"/>
    <w:tmpl w:val="14EE5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6D4405"/>
    <w:multiLevelType w:val="multilevel"/>
    <w:tmpl w:val="4F6E7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B447A1D"/>
    <w:multiLevelType w:val="multilevel"/>
    <w:tmpl w:val="0ED09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AD16494"/>
    <w:multiLevelType w:val="multilevel"/>
    <w:tmpl w:val="A4BC6B3A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6EC"/>
    <w:rsid w:val="000105B7"/>
    <w:rsid w:val="00073052"/>
    <w:rsid w:val="000C384E"/>
    <w:rsid w:val="0020056F"/>
    <w:rsid w:val="002A3367"/>
    <w:rsid w:val="003015A1"/>
    <w:rsid w:val="003633DD"/>
    <w:rsid w:val="00382726"/>
    <w:rsid w:val="003C162A"/>
    <w:rsid w:val="00443837"/>
    <w:rsid w:val="004D7E0D"/>
    <w:rsid w:val="004F37ED"/>
    <w:rsid w:val="00593B62"/>
    <w:rsid w:val="006224F8"/>
    <w:rsid w:val="006B7AA7"/>
    <w:rsid w:val="00713A60"/>
    <w:rsid w:val="007C0183"/>
    <w:rsid w:val="00884B54"/>
    <w:rsid w:val="008D1EAC"/>
    <w:rsid w:val="0092088D"/>
    <w:rsid w:val="009A46EC"/>
    <w:rsid w:val="009E1047"/>
    <w:rsid w:val="009E3C3C"/>
    <w:rsid w:val="00AB5DE1"/>
    <w:rsid w:val="00B90178"/>
    <w:rsid w:val="00BB33A4"/>
    <w:rsid w:val="00C872A4"/>
    <w:rsid w:val="00D54BD6"/>
    <w:rsid w:val="00D667F6"/>
    <w:rsid w:val="00DE0798"/>
    <w:rsid w:val="00DE69A7"/>
    <w:rsid w:val="00E01A76"/>
    <w:rsid w:val="00EC3AFA"/>
    <w:rsid w:val="00EE380E"/>
    <w:rsid w:val="00FC2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47"/>
  </w:style>
  <w:style w:type="paragraph" w:styleId="Heading1">
    <w:name w:val="heading 1"/>
    <w:basedOn w:val="Normal"/>
    <w:next w:val="Normal"/>
    <w:uiPriority w:val="9"/>
    <w:qFormat/>
    <w:rsid w:val="00884B54"/>
    <w:pPr>
      <w:keepNext/>
      <w:keepLines/>
      <w:spacing w:before="400" w:after="120" w:line="360" w:lineRule="auto"/>
      <w:jc w:val="both"/>
      <w:outlineLvl w:val="0"/>
    </w:pPr>
    <w:rPr>
      <w:rFonts w:ascii="Times New Roman" w:hAnsi="Times New Roman"/>
      <w:b/>
      <w:sz w:val="28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E10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E10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E10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E10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E10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E10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E104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name w:val="a"/>
    <w:basedOn w:val="TableNormal"/>
    <w:rsid w:val="009E104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rsid w:val="009E104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name w:val="a1"/>
    <w:basedOn w:val="TableNormal"/>
    <w:rsid w:val="009E104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name w:val="a2"/>
    <w:basedOn w:val="TableNormal"/>
    <w:rsid w:val="009E104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1E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AC"/>
  </w:style>
  <w:style w:type="paragraph" w:styleId="Footer">
    <w:name w:val="footer"/>
    <w:basedOn w:val="Normal"/>
    <w:link w:val="FooterChar"/>
    <w:uiPriority w:val="99"/>
    <w:unhideWhenUsed/>
    <w:rsid w:val="008D1E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AC"/>
  </w:style>
  <w:style w:type="paragraph" w:styleId="ListParagraph">
    <w:name w:val="List Paragraph"/>
    <w:basedOn w:val="Normal"/>
    <w:uiPriority w:val="34"/>
    <w:qFormat/>
    <w:rsid w:val="00713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1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7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5A1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01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5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FFA1A-5BB3-4616-90F9-6B43A4A1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1062</Words>
  <Characters>6054</Characters>
  <Application>Microsoft Office Word</Application>
  <DocSecurity>0</DocSecurity>
  <Lines>50</Lines>
  <Paragraphs>14</Paragraphs>
  <ScaleCrop>false</ScaleCrop>
  <Company>Grizli777</Company>
  <LinksUpToDate>false</LinksUpToDate>
  <CharactersWithSpaces>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2023-04-15T13:35:00Z</dcterms:created>
  <dcterms:modified xsi:type="dcterms:W3CDTF">2023-04-15T13:38:00Z</dcterms:modified>
</cp:coreProperties>
</file>