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685BD6" w:rsidRPr="00FE1B0C" w:rsidRDefault="00685BD6" w:rsidP="00685BD6">
      <w:pPr>
        <w:spacing w:line="360" w:lineRule="auto"/>
        <w:jc w:val="center"/>
        <w:rPr>
          <w:rFonts w:ascii="Times New Roman" w:hAnsi="Times New Roman" w:cs="Times New Roman"/>
          <w:b/>
          <w:sz w:val="32"/>
          <w:szCs w:val="32"/>
          <w:lang w:val="en-US"/>
        </w:rPr>
      </w:pPr>
    </w:p>
    <w:p w:rsidR="00DE2C06" w:rsidRPr="00FE1B0C" w:rsidRDefault="001F7604" w:rsidP="00685BD6">
      <w:pPr>
        <w:spacing w:line="360" w:lineRule="auto"/>
        <w:jc w:val="center"/>
        <w:rPr>
          <w:rFonts w:ascii="Times New Roman" w:hAnsi="Times New Roman" w:cs="Times New Roman"/>
          <w:b/>
          <w:sz w:val="32"/>
          <w:szCs w:val="32"/>
          <w:lang w:val="en-US"/>
        </w:rPr>
      </w:pPr>
      <w:r w:rsidRPr="00FE1B0C">
        <w:rPr>
          <w:rFonts w:ascii="Times New Roman" w:hAnsi="Times New Roman" w:cs="Times New Roman"/>
          <w:b/>
          <w:sz w:val="32"/>
          <w:szCs w:val="32"/>
          <w:lang w:val="en-US"/>
        </w:rPr>
        <w:t>MB701 INTERNATIONAL MANAGEMENT OF FINANCE</w:t>
      </w:r>
    </w:p>
    <w:p w:rsidR="00FE1B0C" w:rsidRPr="00FE1B0C" w:rsidRDefault="001F7604" w:rsidP="00685BD6">
      <w:pPr>
        <w:spacing w:line="360" w:lineRule="auto"/>
        <w:jc w:val="center"/>
        <w:rPr>
          <w:rFonts w:ascii="Times New Roman" w:hAnsi="Times New Roman" w:cs="Times New Roman"/>
          <w:b/>
          <w:sz w:val="32"/>
          <w:szCs w:val="32"/>
          <w:lang w:val="en-US"/>
        </w:rPr>
      </w:pPr>
      <w:r w:rsidRPr="00FE1B0C">
        <w:rPr>
          <w:rFonts w:ascii="Times New Roman" w:hAnsi="Times New Roman" w:cs="Times New Roman"/>
          <w:b/>
          <w:sz w:val="32"/>
          <w:szCs w:val="32"/>
          <w:lang w:val="en-US"/>
        </w:rPr>
        <w:t>CW1: COURSEWORK</w:t>
      </w:r>
    </w:p>
    <w:p w:rsidR="00FE1B0C" w:rsidRPr="00FE1B0C" w:rsidRDefault="00FE1B0C">
      <w:pPr>
        <w:rPr>
          <w:rFonts w:ascii="Times New Roman" w:hAnsi="Times New Roman" w:cs="Times New Roman"/>
          <w:b/>
          <w:sz w:val="32"/>
          <w:szCs w:val="32"/>
          <w:lang w:val="en-US"/>
        </w:rPr>
      </w:pPr>
      <w:r w:rsidRPr="00FE1B0C">
        <w:rPr>
          <w:rFonts w:ascii="Times New Roman" w:hAnsi="Times New Roman" w:cs="Times New Roman"/>
          <w:b/>
          <w:sz w:val="32"/>
          <w:szCs w:val="32"/>
          <w:lang w:val="en-US"/>
        </w:rPr>
        <w:br w:type="page"/>
      </w:r>
    </w:p>
    <w:sdt>
      <w:sdtPr>
        <w:rPr>
          <w:color w:val="auto"/>
        </w:rPr>
        <w:id w:val="-235406179"/>
        <w:docPartObj>
          <w:docPartGallery w:val="Table of Contents"/>
          <w:docPartUnique/>
        </w:docPartObj>
      </w:sdtPr>
      <w:sdtEndPr>
        <w:rPr>
          <w:rFonts w:ascii="Times New Roman" w:eastAsiaTheme="minorHAnsi" w:hAnsi="Times New Roman" w:cs="Times New Roman"/>
          <w:b/>
          <w:bCs/>
          <w:noProof/>
          <w:sz w:val="22"/>
          <w:szCs w:val="22"/>
          <w:lang w:val="en-IN"/>
        </w:rPr>
      </w:sdtEndPr>
      <w:sdtContent>
        <w:p w:rsidR="00FE1B0C" w:rsidRPr="00FE1B0C" w:rsidRDefault="00FE1B0C" w:rsidP="00FE1B0C">
          <w:pPr>
            <w:pStyle w:val="TOCHeading"/>
            <w:jc w:val="center"/>
            <w:rPr>
              <w:rFonts w:ascii="Times New Roman" w:hAnsi="Times New Roman" w:cs="Times New Roman"/>
              <w:b/>
              <w:color w:val="auto"/>
              <w:sz w:val="22"/>
              <w:szCs w:val="22"/>
            </w:rPr>
          </w:pPr>
          <w:r w:rsidRPr="00FE1B0C">
            <w:rPr>
              <w:rFonts w:ascii="Times New Roman" w:hAnsi="Times New Roman" w:cs="Times New Roman"/>
              <w:b/>
              <w:color w:val="auto"/>
              <w:sz w:val="22"/>
              <w:szCs w:val="22"/>
            </w:rPr>
            <w:t>Table of Contents</w:t>
          </w:r>
        </w:p>
        <w:p w:rsidR="00FE1B0C" w:rsidRPr="00FE1B0C" w:rsidRDefault="00FE1B0C" w:rsidP="00FE1B0C">
          <w:pPr>
            <w:pStyle w:val="TOC1"/>
            <w:tabs>
              <w:tab w:val="right" w:leader="dot" w:pos="9016"/>
            </w:tabs>
            <w:spacing w:line="360" w:lineRule="auto"/>
            <w:jc w:val="both"/>
            <w:rPr>
              <w:rFonts w:ascii="Times New Roman" w:hAnsi="Times New Roman" w:cs="Times New Roman"/>
              <w:noProof/>
            </w:rPr>
          </w:pPr>
          <w:r w:rsidRPr="00FE1B0C">
            <w:rPr>
              <w:rFonts w:ascii="Times New Roman" w:hAnsi="Times New Roman" w:cs="Times New Roman"/>
            </w:rPr>
            <w:fldChar w:fldCharType="begin"/>
          </w:r>
          <w:r w:rsidRPr="00FE1B0C">
            <w:rPr>
              <w:rFonts w:ascii="Times New Roman" w:hAnsi="Times New Roman" w:cs="Times New Roman"/>
            </w:rPr>
            <w:instrText xml:space="preserve"> TOC \o "1-3" \h \z \u </w:instrText>
          </w:r>
          <w:r w:rsidRPr="00FE1B0C">
            <w:rPr>
              <w:rFonts w:ascii="Times New Roman" w:hAnsi="Times New Roman" w:cs="Times New Roman"/>
            </w:rPr>
            <w:fldChar w:fldCharType="separate"/>
          </w:r>
          <w:hyperlink w:anchor="_Toc135326454" w:history="1">
            <w:r w:rsidRPr="00FE1B0C">
              <w:rPr>
                <w:rStyle w:val="Hyperlink"/>
                <w:rFonts w:ascii="Times New Roman" w:hAnsi="Times New Roman" w:cs="Times New Roman"/>
                <w:noProof/>
                <w:color w:val="auto"/>
              </w:rPr>
              <w:t>Introduction</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_Toc135326454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3</w:t>
            </w:r>
            <w:r w:rsidRPr="00FE1B0C">
              <w:rPr>
                <w:rFonts w:ascii="Times New Roman" w:hAnsi="Times New Roman" w:cs="Times New Roman"/>
                <w:noProof/>
                <w:webHidden/>
              </w:rPr>
              <w:fldChar w:fldCharType="end"/>
            </w:r>
          </w:hyperlink>
        </w:p>
        <w:p w:rsidR="00FE1B0C" w:rsidRPr="00FE1B0C" w:rsidRDefault="00FE1B0C" w:rsidP="00FE1B0C">
          <w:pPr>
            <w:pStyle w:val="TOC1"/>
            <w:tabs>
              <w:tab w:val="right" w:leader="dot" w:pos="9016"/>
            </w:tabs>
            <w:spacing w:line="360" w:lineRule="auto"/>
            <w:jc w:val="both"/>
            <w:rPr>
              <w:rFonts w:ascii="Times New Roman" w:hAnsi="Times New Roman" w:cs="Times New Roman"/>
              <w:noProof/>
            </w:rPr>
          </w:pPr>
          <w:hyperlink w:anchor="_Toc135326455" w:history="1">
            <w:r w:rsidRPr="00FE1B0C">
              <w:rPr>
                <w:rStyle w:val="Hyperlink"/>
                <w:rFonts w:ascii="Times New Roman" w:hAnsi="Times New Roman" w:cs="Times New Roman"/>
                <w:noProof/>
                <w:color w:val="auto"/>
              </w:rPr>
              <w:t>Main Body</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_Toc135326455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3</w:t>
            </w:r>
            <w:r w:rsidRPr="00FE1B0C">
              <w:rPr>
                <w:rFonts w:ascii="Times New Roman" w:hAnsi="Times New Roman" w:cs="Times New Roman"/>
                <w:noProof/>
                <w:webHidden/>
              </w:rPr>
              <w:fldChar w:fldCharType="end"/>
            </w:r>
          </w:hyperlink>
        </w:p>
        <w:p w:rsidR="00FE1B0C" w:rsidRPr="00FE1B0C" w:rsidRDefault="00FE1B0C" w:rsidP="00FE1B0C">
          <w:pPr>
            <w:pStyle w:val="TOC2"/>
            <w:tabs>
              <w:tab w:val="right" w:leader="dot" w:pos="9016"/>
            </w:tabs>
            <w:spacing w:line="360" w:lineRule="auto"/>
            <w:jc w:val="both"/>
            <w:rPr>
              <w:rFonts w:ascii="Times New Roman" w:hAnsi="Times New Roman" w:cs="Times New Roman"/>
              <w:noProof/>
            </w:rPr>
          </w:pPr>
          <w:hyperlink w:anchor="_Toc135326456" w:history="1">
            <w:r w:rsidRPr="00FE1B0C">
              <w:rPr>
                <w:rStyle w:val="Hyperlink"/>
                <w:rFonts w:ascii="Times New Roman" w:hAnsi="Times New Roman" w:cs="Times New Roman"/>
                <w:noProof/>
                <w:color w:val="auto"/>
              </w:rPr>
              <w:t>1. Critically examination the factors that contributed to the decrease in sales and profitability structure of Hardware-UK Plc</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_Toc135326456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3</w:t>
            </w:r>
            <w:r w:rsidRPr="00FE1B0C">
              <w:rPr>
                <w:rFonts w:ascii="Times New Roman" w:hAnsi="Times New Roman" w:cs="Times New Roman"/>
                <w:noProof/>
                <w:webHidden/>
              </w:rPr>
              <w:fldChar w:fldCharType="end"/>
            </w:r>
          </w:hyperlink>
        </w:p>
        <w:p w:rsidR="00FE1B0C" w:rsidRPr="00FE1B0C" w:rsidRDefault="00FE1B0C" w:rsidP="00FE1B0C">
          <w:pPr>
            <w:pStyle w:val="TOC2"/>
            <w:tabs>
              <w:tab w:val="right" w:leader="dot" w:pos="9016"/>
            </w:tabs>
            <w:spacing w:line="360" w:lineRule="auto"/>
            <w:jc w:val="both"/>
            <w:rPr>
              <w:rFonts w:ascii="Times New Roman" w:hAnsi="Times New Roman" w:cs="Times New Roman"/>
              <w:noProof/>
            </w:rPr>
          </w:pPr>
          <w:hyperlink w:anchor="_Toc135326457" w:history="1">
            <w:r w:rsidRPr="00FE1B0C">
              <w:rPr>
                <w:rStyle w:val="Hyperlink"/>
                <w:rFonts w:ascii="Times New Roman" w:hAnsi="Times New Roman" w:cs="Times New Roman"/>
                <w:noProof/>
                <w:color w:val="auto"/>
                <w:lang w:val="en-US"/>
              </w:rPr>
              <w:t>2. Critically evaluation of investment appraisal approaches utilised by Hardware – UK Plc</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_Toc135326457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4</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58" w:history="1">
            <w:r w:rsidRPr="00FE1B0C">
              <w:rPr>
                <w:rStyle w:val="Hyperlink"/>
                <w:rFonts w:ascii="Times New Roman" w:eastAsia="Times New Roman" w:hAnsi="Times New Roman" w:cs="Times New Roman"/>
                <w:noProof/>
                <w:color w:val="auto"/>
                <w:shd w:val="clear" w:color="auto" w:fill="FFFFFF"/>
                <w:lang w:eastAsia="en-IN"/>
              </w:rPr>
              <w:t>Net present value (NPV)</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_Toc135326458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4</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59" w:history="1">
            <w:r w:rsidRPr="00FE1B0C">
              <w:rPr>
                <w:rStyle w:val="Hyperlink"/>
                <w:rFonts w:ascii="Times New Roman" w:hAnsi="Times New Roman" w:cs="Times New Roman"/>
                <w:noProof/>
                <w:color w:val="auto"/>
                <w:shd w:val="clear" w:color="auto" w:fill="FFFFFF"/>
              </w:rPr>
              <w:t>Internal rate of return (IRR)</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_Toc135326459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5</w:t>
            </w:r>
            <w:r w:rsidRPr="00FE1B0C">
              <w:rPr>
                <w:rFonts w:ascii="Times New Roman" w:hAnsi="Times New Roman" w:cs="Times New Roman"/>
                <w:noProof/>
                <w:webHidden/>
              </w:rPr>
              <w:fldChar w:fldCharType="end"/>
            </w:r>
          </w:hyperlink>
        </w:p>
        <w:p w:rsidR="00FE1B0C" w:rsidRPr="00FE1B0C" w:rsidRDefault="00FE1B0C" w:rsidP="00FE1B0C">
          <w:pPr>
            <w:pStyle w:val="TOC2"/>
            <w:tabs>
              <w:tab w:val="right" w:leader="dot" w:pos="9016"/>
            </w:tabs>
            <w:spacing w:line="360" w:lineRule="auto"/>
            <w:jc w:val="both"/>
            <w:rPr>
              <w:rFonts w:ascii="Times New Roman" w:hAnsi="Times New Roman" w:cs="Times New Roman"/>
              <w:noProof/>
            </w:rPr>
          </w:pPr>
          <w:hyperlink w:anchor="_Toc135326460" w:history="1">
            <w:r w:rsidRPr="00FE1B0C">
              <w:rPr>
                <w:rStyle w:val="Hyperlink"/>
                <w:rFonts w:ascii="Times New Roman" w:hAnsi="Times New Roman" w:cs="Times New Roman"/>
                <w:noProof/>
                <w:color w:val="auto"/>
                <w:lang w:val="en-US"/>
              </w:rPr>
              <w:t>3. Methods for abroad investments protection against foreign exchange risks</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_Toc135326460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6</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1" w:history="1">
            <w:r w:rsidRPr="00FE1B0C">
              <w:rPr>
                <w:rStyle w:val="Hyperlink"/>
                <w:rFonts w:ascii="Times New Roman" w:eastAsia="Times New Roman" w:hAnsi="Times New Roman" w:cs="Times New Roman"/>
                <w:noProof/>
                <w:color w:val="auto"/>
                <w:shd w:val="clear" w:color="auto" w:fill="FFFFFF"/>
                <w:lang w:eastAsia="en-IN"/>
              </w:rPr>
              <w:t>Currency diversification</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_Toc135326461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6</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2" w:history="1">
            <w:r w:rsidRPr="00FE1B0C">
              <w:rPr>
                <w:rStyle w:val="Hyperlink"/>
                <w:rFonts w:ascii="Times New Roman" w:eastAsia="Times New Roman" w:hAnsi="Times New Roman" w:cs="Times New Roman"/>
                <w:noProof/>
                <w:color w:val="auto"/>
                <w:shd w:val="clear" w:color="auto" w:fill="FFFFFF"/>
                <w:lang w:eastAsia="en-IN"/>
              </w:rPr>
              <w:t>Hedging</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_Toc135326462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7</w:t>
            </w:r>
            <w:r w:rsidRPr="00FE1B0C">
              <w:rPr>
                <w:rFonts w:ascii="Times New Roman" w:hAnsi="Times New Roman" w:cs="Times New Roman"/>
                <w:noProof/>
                <w:webHidden/>
              </w:rPr>
              <w:fldChar w:fldCharType="end"/>
            </w:r>
          </w:hyperlink>
        </w:p>
        <w:p w:rsidR="00FE1B0C" w:rsidRPr="00FE1B0C" w:rsidRDefault="00FE1B0C" w:rsidP="00FE1B0C">
          <w:pPr>
            <w:pStyle w:val="TOC2"/>
            <w:tabs>
              <w:tab w:val="right" w:leader="dot" w:pos="9016"/>
            </w:tabs>
            <w:spacing w:line="360" w:lineRule="auto"/>
            <w:jc w:val="both"/>
            <w:rPr>
              <w:rFonts w:ascii="Times New Roman" w:hAnsi="Times New Roman" w:cs="Times New Roman"/>
              <w:noProof/>
            </w:rPr>
          </w:pPr>
          <w:hyperlink w:anchor="_Toc135326463" w:history="1">
            <w:r w:rsidRPr="00FE1B0C">
              <w:rPr>
                <w:rStyle w:val="Hyperlink"/>
                <w:rFonts w:ascii="Times New Roman" w:hAnsi="Times New Roman" w:cs="Times New Roman"/>
                <w:noProof/>
                <w:color w:val="auto"/>
                <w:lang w:val="en-US"/>
              </w:rPr>
              <w:t>4. Critically discussion of ethical, financial, regulatory, and strategic implications for overseas investment</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_Toc135326463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8</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4" w:history="1">
            <w:r w:rsidRPr="00FE1B0C">
              <w:rPr>
                <w:rStyle w:val="Hyperlink"/>
                <w:rFonts w:ascii="Times New Roman" w:hAnsi="Times New Roman" w:cs="Times New Roman"/>
                <w:noProof/>
                <w:color w:val="auto"/>
                <w:lang w:val="en-US"/>
              </w:rPr>
              <w:t>Strategic implications</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_Toc135326464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8</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5" w:history="1">
            <w:r w:rsidRPr="00FE1B0C">
              <w:rPr>
                <w:rStyle w:val="Hyperlink"/>
                <w:rFonts w:ascii="Times New Roman" w:hAnsi="Times New Roman" w:cs="Times New Roman"/>
                <w:noProof/>
                <w:color w:val="auto"/>
                <w:lang w:val="en-US"/>
              </w:rPr>
              <w:t>Ethical implications</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_Toc135326465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9</w:t>
            </w:r>
            <w:r w:rsidRPr="00FE1B0C">
              <w:rPr>
                <w:rFonts w:ascii="Times New Roman" w:hAnsi="Times New Roman" w:cs="Times New Roman"/>
                <w:noProof/>
                <w:webHidden/>
              </w:rPr>
              <w:fldChar w:fldCharType="end"/>
            </w:r>
          </w:hyperlink>
          <w:bookmarkStart w:id="0" w:name="_GoBack"/>
          <w:bookmarkEnd w:id="0"/>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6" w:history="1">
            <w:r w:rsidRPr="00FE1B0C">
              <w:rPr>
                <w:rStyle w:val="Hyperlink"/>
                <w:rFonts w:ascii="Times New Roman" w:hAnsi="Times New Roman" w:cs="Times New Roman"/>
                <w:noProof/>
                <w:color w:val="auto"/>
                <w:lang w:val="en-US"/>
              </w:rPr>
              <w:t>Regulatory implications</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_Toc135326466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9</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7" w:history="1">
            <w:r w:rsidRPr="00FE1B0C">
              <w:rPr>
                <w:rStyle w:val="Hyperlink"/>
                <w:rFonts w:ascii="Times New Roman" w:hAnsi="Times New Roman" w:cs="Times New Roman"/>
                <w:noProof/>
                <w:color w:val="auto"/>
                <w:lang w:val="en-US"/>
              </w:rPr>
              <w:t>Financial implications</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_Toc135326467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9</w:t>
            </w:r>
            <w:r w:rsidRPr="00FE1B0C">
              <w:rPr>
                <w:rFonts w:ascii="Times New Roman" w:hAnsi="Times New Roman" w:cs="Times New Roman"/>
                <w:noProof/>
                <w:webHidden/>
              </w:rPr>
              <w:fldChar w:fldCharType="end"/>
            </w:r>
          </w:hyperlink>
        </w:p>
        <w:p w:rsidR="00FE1B0C" w:rsidRPr="00FE1B0C" w:rsidRDefault="00FE1B0C" w:rsidP="00FE1B0C">
          <w:pPr>
            <w:pStyle w:val="TOC3"/>
            <w:tabs>
              <w:tab w:val="right" w:leader="dot" w:pos="9016"/>
            </w:tabs>
            <w:spacing w:line="360" w:lineRule="auto"/>
            <w:jc w:val="both"/>
            <w:rPr>
              <w:rFonts w:ascii="Times New Roman" w:hAnsi="Times New Roman" w:cs="Times New Roman"/>
              <w:noProof/>
            </w:rPr>
          </w:pPr>
          <w:hyperlink w:anchor="_Toc135326468" w:history="1">
            <w:r w:rsidRPr="00FE1B0C">
              <w:rPr>
                <w:rStyle w:val="Hyperlink"/>
                <w:rFonts w:ascii="Times New Roman" w:hAnsi="Times New Roman" w:cs="Times New Roman"/>
                <w:noProof/>
                <w:color w:val="auto"/>
                <w:lang w:val="en-US"/>
              </w:rPr>
              <w:t>Specific examples associated with India relocating</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_Toc135326468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9</w:t>
            </w:r>
            <w:r w:rsidRPr="00FE1B0C">
              <w:rPr>
                <w:rFonts w:ascii="Times New Roman" w:hAnsi="Times New Roman" w:cs="Times New Roman"/>
                <w:noProof/>
                <w:webHidden/>
              </w:rPr>
              <w:fldChar w:fldCharType="end"/>
            </w:r>
          </w:hyperlink>
        </w:p>
        <w:p w:rsidR="00FE1B0C" w:rsidRPr="00FE1B0C" w:rsidRDefault="00FE1B0C" w:rsidP="00FE1B0C">
          <w:pPr>
            <w:pStyle w:val="TOC1"/>
            <w:tabs>
              <w:tab w:val="right" w:leader="dot" w:pos="9016"/>
            </w:tabs>
            <w:spacing w:line="360" w:lineRule="auto"/>
            <w:jc w:val="both"/>
            <w:rPr>
              <w:rFonts w:ascii="Times New Roman" w:hAnsi="Times New Roman" w:cs="Times New Roman"/>
              <w:noProof/>
            </w:rPr>
          </w:pPr>
          <w:hyperlink w:anchor="_Toc135326469" w:history="1">
            <w:r w:rsidRPr="00FE1B0C">
              <w:rPr>
                <w:rStyle w:val="Hyperlink"/>
                <w:rFonts w:ascii="Times New Roman" w:hAnsi="Times New Roman" w:cs="Times New Roman"/>
                <w:noProof/>
                <w:color w:val="auto"/>
                <w:lang w:val="en-US"/>
              </w:rPr>
              <w:t>Conclusion</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_Toc135326469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10</w:t>
            </w:r>
            <w:r w:rsidRPr="00FE1B0C">
              <w:rPr>
                <w:rFonts w:ascii="Times New Roman" w:hAnsi="Times New Roman" w:cs="Times New Roman"/>
                <w:noProof/>
                <w:webHidden/>
              </w:rPr>
              <w:fldChar w:fldCharType="end"/>
            </w:r>
          </w:hyperlink>
        </w:p>
        <w:p w:rsidR="00FE1B0C" w:rsidRPr="00FE1B0C" w:rsidRDefault="00FE1B0C" w:rsidP="00FE1B0C">
          <w:pPr>
            <w:pStyle w:val="TOC1"/>
            <w:tabs>
              <w:tab w:val="right" w:leader="dot" w:pos="9016"/>
            </w:tabs>
            <w:spacing w:line="360" w:lineRule="auto"/>
            <w:jc w:val="both"/>
            <w:rPr>
              <w:rFonts w:ascii="Times New Roman" w:hAnsi="Times New Roman" w:cs="Times New Roman"/>
              <w:noProof/>
            </w:rPr>
          </w:pPr>
          <w:hyperlink w:anchor="_Toc135326470" w:history="1">
            <w:r w:rsidRPr="00FE1B0C">
              <w:rPr>
                <w:rStyle w:val="Hyperlink"/>
                <w:rFonts w:ascii="Times New Roman" w:hAnsi="Times New Roman" w:cs="Times New Roman"/>
                <w:noProof/>
                <w:color w:val="auto"/>
                <w:lang w:val="en-US"/>
              </w:rPr>
              <w:t>References</w:t>
            </w:r>
            <w:r w:rsidRPr="00FE1B0C">
              <w:rPr>
                <w:rFonts w:ascii="Times New Roman" w:hAnsi="Times New Roman" w:cs="Times New Roman"/>
                <w:noProof/>
                <w:webHidden/>
              </w:rPr>
              <w:tab/>
            </w:r>
            <w:r w:rsidRPr="00FE1B0C">
              <w:rPr>
                <w:rFonts w:ascii="Times New Roman" w:hAnsi="Times New Roman" w:cs="Times New Roman"/>
                <w:noProof/>
                <w:webHidden/>
              </w:rPr>
              <w:fldChar w:fldCharType="begin"/>
            </w:r>
            <w:r w:rsidRPr="00FE1B0C">
              <w:rPr>
                <w:rFonts w:ascii="Times New Roman" w:hAnsi="Times New Roman" w:cs="Times New Roman"/>
                <w:noProof/>
                <w:webHidden/>
              </w:rPr>
              <w:instrText xml:space="preserve"> PAGEREF _Toc135326470 \h </w:instrText>
            </w:r>
            <w:r w:rsidRPr="00FE1B0C">
              <w:rPr>
                <w:rFonts w:ascii="Times New Roman" w:hAnsi="Times New Roman" w:cs="Times New Roman"/>
                <w:noProof/>
                <w:webHidden/>
              </w:rPr>
            </w:r>
            <w:r w:rsidRPr="00FE1B0C">
              <w:rPr>
                <w:rFonts w:ascii="Times New Roman" w:hAnsi="Times New Roman" w:cs="Times New Roman"/>
                <w:noProof/>
                <w:webHidden/>
              </w:rPr>
              <w:fldChar w:fldCharType="separate"/>
            </w:r>
            <w:r>
              <w:rPr>
                <w:rFonts w:ascii="Times New Roman" w:hAnsi="Times New Roman" w:cs="Times New Roman"/>
                <w:noProof/>
                <w:webHidden/>
              </w:rPr>
              <w:t>11</w:t>
            </w:r>
            <w:r w:rsidRPr="00FE1B0C">
              <w:rPr>
                <w:rFonts w:ascii="Times New Roman" w:hAnsi="Times New Roman" w:cs="Times New Roman"/>
                <w:noProof/>
                <w:webHidden/>
              </w:rPr>
              <w:fldChar w:fldCharType="end"/>
            </w:r>
          </w:hyperlink>
        </w:p>
        <w:p w:rsidR="00FE1B0C" w:rsidRPr="00FE1B0C" w:rsidRDefault="00FE1B0C" w:rsidP="00FE1B0C">
          <w:pPr>
            <w:spacing w:line="360" w:lineRule="auto"/>
            <w:jc w:val="both"/>
            <w:rPr>
              <w:rFonts w:ascii="Times New Roman" w:hAnsi="Times New Roman" w:cs="Times New Roman"/>
            </w:rPr>
          </w:pPr>
          <w:r w:rsidRPr="00FE1B0C">
            <w:rPr>
              <w:rFonts w:ascii="Times New Roman" w:hAnsi="Times New Roman" w:cs="Times New Roman"/>
              <w:b/>
              <w:bCs/>
              <w:noProof/>
            </w:rPr>
            <w:fldChar w:fldCharType="end"/>
          </w:r>
        </w:p>
      </w:sdtContent>
    </w:sdt>
    <w:p w:rsidR="00677FC9" w:rsidRPr="00FE1B0C" w:rsidRDefault="00677FC9" w:rsidP="00685BD6">
      <w:pPr>
        <w:spacing w:line="360" w:lineRule="auto"/>
        <w:jc w:val="center"/>
        <w:rPr>
          <w:rFonts w:ascii="Times New Roman" w:hAnsi="Times New Roman" w:cs="Times New Roman"/>
          <w:b/>
          <w:sz w:val="32"/>
          <w:szCs w:val="32"/>
          <w:lang w:val="en-US"/>
        </w:rPr>
      </w:pPr>
    </w:p>
    <w:p w:rsidR="00685BD6" w:rsidRPr="00FE1B0C" w:rsidRDefault="001F7604">
      <w:pPr>
        <w:rPr>
          <w:rFonts w:ascii="Times New Roman" w:hAnsi="Times New Roman" w:cs="Times New Roman"/>
          <w:b/>
          <w:lang w:val="en-US"/>
        </w:rPr>
      </w:pPr>
      <w:r w:rsidRPr="00FE1B0C">
        <w:rPr>
          <w:rFonts w:ascii="Times New Roman" w:hAnsi="Times New Roman" w:cs="Times New Roman"/>
          <w:b/>
          <w:lang w:val="en-US"/>
        </w:rPr>
        <w:br w:type="page"/>
      </w:r>
    </w:p>
    <w:p w:rsidR="00677FC9" w:rsidRPr="00FE1B0C" w:rsidRDefault="001F7604" w:rsidP="00685BD6">
      <w:pPr>
        <w:pStyle w:val="Heading1"/>
      </w:pPr>
      <w:bookmarkStart w:id="1" w:name="_Toc135326454"/>
      <w:r w:rsidRPr="00FE1B0C">
        <w:lastRenderedPageBreak/>
        <w:t>Introduction</w:t>
      </w:r>
      <w:bookmarkEnd w:id="1"/>
      <w:r w:rsidR="009E12FF" w:rsidRPr="00FE1B0C">
        <w:t xml:space="preserve"> </w:t>
      </w:r>
    </w:p>
    <w:p w:rsidR="009E12FF"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 xml:space="preserve">The United Kingdom (UK) </w:t>
      </w:r>
      <w:r w:rsidR="00685BD6" w:rsidRPr="00FE1B0C">
        <w:rPr>
          <w:sz w:val="22"/>
          <w:szCs w:val="22"/>
          <w:shd w:val="clear" w:color="auto" w:fill="FFFFFF"/>
        </w:rPr>
        <w:t>listed organisation, Hardware–</w:t>
      </w:r>
      <w:r w:rsidRPr="00FE1B0C">
        <w:rPr>
          <w:sz w:val="22"/>
          <w:szCs w:val="22"/>
          <w:shd w:val="clear" w:color="auto" w:fill="FFFFFF"/>
        </w:rPr>
        <w:t>UK Plc</w:t>
      </w:r>
      <w:r w:rsidRPr="00FE1B0C">
        <w:rPr>
          <w:sz w:val="22"/>
          <w:szCs w:val="22"/>
          <w:shd w:val="clear" w:color="auto" w:fill="FFFFFF"/>
        </w:rPr>
        <w:t xml:space="preserve"> is a successful and long-standing company that specialises in the production and selling of high-quality building materials. </w:t>
      </w:r>
      <w:r w:rsidRPr="00FE1B0C">
        <w:rPr>
          <w:sz w:val="22"/>
          <w:szCs w:val="22"/>
          <w:shd w:val="clear" w:color="auto" w:fill="FFFFFF"/>
        </w:rPr>
        <w:t>In terms of seizing new opportunities and addressing iden</w:t>
      </w:r>
      <w:r w:rsidR="00685BD6" w:rsidRPr="00FE1B0C">
        <w:rPr>
          <w:sz w:val="22"/>
          <w:szCs w:val="22"/>
          <w:shd w:val="clear" w:color="auto" w:fill="FFFFFF"/>
        </w:rPr>
        <w:t>tified challenges, Hardware–</w:t>
      </w:r>
      <w:r w:rsidRPr="00FE1B0C">
        <w:rPr>
          <w:sz w:val="22"/>
          <w:szCs w:val="22"/>
          <w:shd w:val="clear" w:color="auto" w:fill="FFFFFF"/>
        </w:rPr>
        <w:t>UK Plc’s directors have decided to ensure international expansion. Hence, the assignment proceed</w:t>
      </w:r>
      <w:r w:rsidRPr="00FE1B0C">
        <w:rPr>
          <w:sz w:val="22"/>
          <w:szCs w:val="22"/>
          <w:shd w:val="clear" w:color="auto" w:fill="FFFFFF"/>
        </w:rPr>
        <w:t>s to critically discuss various factors for decreasing sales and profitability, investment appraisal approaches, methods for investment protection, and investing overseas i</w:t>
      </w:r>
      <w:r w:rsidR="00685BD6" w:rsidRPr="00FE1B0C">
        <w:rPr>
          <w:sz w:val="22"/>
          <w:szCs w:val="22"/>
          <w:shd w:val="clear" w:color="auto" w:fill="FFFFFF"/>
        </w:rPr>
        <w:t>mplications concerning Hardware–</w:t>
      </w:r>
      <w:r w:rsidRPr="00FE1B0C">
        <w:rPr>
          <w:sz w:val="22"/>
          <w:szCs w:val="22"/>
          <w:shd w:val="clear" w:color="auto" w:fill="FFFFFF"/>
        </w:rPr>
        <w:t>UK Plc. </w:t>
      </w:r>
    </w:p>
    <w:p w:rsidR="00677FC9" w:rsidRPr="00FE1B0C" w:rsidRDefault="001F7604" w:rsidP="00685BD6">
      <w:pPr>
        <w:pStyle w:val="Heading1"/>
      </w:pPr>
      <w:bookmarkStart w:id="2" w:name="_Toc135326455"/>
      <w:r w:rsidRPr="00FE1B0C">
        <w:t>Main Body</w:t>
      </w:r>
      <w:bookmarkEnd w:id="2"/>
    </w:p>
    <w:p w:rsidR="00677FC9" w:rsidRPr="00FE1B0C" w:rsidRDefault="001F7604" w:rsidP="00685BD6">
      <w:pPr>
        <w:pStyle w:val="Heading2"/>
      </w:pPr>
      <w:bookmarkStart w:id="3" w:name="_Toc135326456"/>
      <w:r w:rsidRPr="00FE1B0C">
        <w:t>1. Critically examination the fac</w:t>
      </w:r>
      <w:r w:rsidRPr="00FE1B0C">
        <w:t>tors that contributed to the decrease in sales and profitabi</w:t>
      </w:r>
      <w:r w:rsidR="00685BD6" w:rsidRPr="00FE1B0C">
        <w:t>lity structure of Hardware-</w:t>
      </w:r>
      <w:r w:rsidRPr="00FE1B0C">
        <w:t>UK Plc</w:t>
      </w:r>
      <w:bookmarkEnd w:id="3"/>
      <w:r w:rsidR="0033610B" w:rsidRPr="00FE1B0C">
        <w:t xml:space="preserve"> </w:t>
      </w:r>
    </w:p>
    <w:p w:rsidR="00393656"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The fall in sales and profit</w:t>
      </w:r>
      <w:r w:rsidR="00685BD6" w:rsidRPr="00FE1B0C">
        <w:rPr>
          <w:sz w:val="22"/>
          <w:szCs w:val="22"/>
          <w:shd w:val="clear" w:color="auto" w:fill="FFFFFF"/>
        </w:rPr>
        <w:t>ability structure of Hardware–</w:t>
      </w:r>
      <w:r w:rsidRPr="00FE1B0C">
        <w:rPr>
          <w:sz w:val="22"/>
          <w:szCs w:val="22"/>
          <w:shd w:val="clear" w:color="auto" w:fill="FFFFFF"/>
        </w:rPr>
        <w:t>UK Plc is attributed to numerous factors comprising Brexit, the Covid-19 pandemic, the increase in fuel</w:t>
      </w:r>
      <w:r w:rsidRPr="00FE1B0C">
        <w:rPr>
          <w:sz w:val="22"/>
          <w:szCs w:val="22"/>
          <w:shd w:val="clear" w:color="auto" w:fill="FFFFFF"/>
        </w:rPr>
        <w:t xml:space="preserve"> prices, and increased competition from foreign enterprises. All these factors have developed a challenging</w:t>
      </w:r>
      <w:r w:rsidR="00685BD6" w:rsidRPr="00FE1B0C">
        <w:rPr>
          <w:sz w:val="22"/>
          <w:szCs w:val="22"/>
          <w:shd w:val="clear" w:color="auto" w:fill="FFFFFF"/>
        </w:rPr>
        <w:t xml:space="preserve"> business scenario for Hardware–</w:t>
      </w:r>
      <w:r w:rsidRPr="00FE1B0C">
        <w:rPr>
          <w:sz w:val="22"/>
          <w:szCs w:val="22"/>
          <w:shd w:val="clear" w:color="auto" w:fill="FFFFFF"/>
        </w:rPr>
        <w:t>UK Plc, causing a decline in financial performance.</w:t>
      </w:r>
    </w:p>
    <w:p w:rsidR="00393656"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Firstly, Brexit poses a crucial impact on the UK's economy, compr</w:t>
      </w:r>
      <w:r w:rsidRPr="00FE1B0C">
        <w:rPr>
          <w:sz w:val="22"/>
          <w:szCs w:val="22"/>
          <w:shd w:val="clear" w:color="auto" w:fill="FFFFFF"/>
        </w:rPr>
        <w:t>ising the infrastructure and building industry. The uncertainty scenario in the context of the UK's withdrawal from the European Union has resulted in volatility in the financial markets and hereby results in the decline of investor and consumer confidence</w:t>
      </w:r>
      <w:r w:rsidRPr="00FE1B0C">
        <w:rPr>
          <w:sz w:val="22"/>
          <w:szCs w:val="22"/>
          <w:shd w:val="clear" w:color="auto" w:fill="FFFFFF"/>
        </w:rPr>
        <w:t xml:space="preserve">. </w:t>
      </w:r>
      <w:r w:rsidR="00D6195B" w:rsidRPr="00FE1B0C">
        <w:rPr>
          <w:sz w:val="22"/>
          <w:szCs w:val="22"/>
          <w:shd w:val="clear" w:color="auto" w:fill="FFFFFF"/>
        </w:rPr>
        <w:t xml:space="preserve">As opined by Wilkes </w:t>
      </w:r>
      <w:r w:rsidR="00D6195B" w:rsidRPr="00FE1B0C">
        <w:rPr>
          <w:shd w:val="clear" w:color="auto" w:fill="FFFFFF"/>
        </w:rPr>
        <w:t>(</w:t>
      </w:r>
      <w:r w:rsidR="00D6195B" w:rsidRPr="00FE1B0C">
        <w:rPr>
          <w:sz w:val="22"/>
          <w:szCs w:val="22"/>
          <w:shd w:val="clear" w:color="auto" w:fill="FFFFFF"/>
        </w:rPr>
        <w:t>2019</w:t>
      </w:r>
      <w:r w:rsidR="00D6195B" w:rsidRPr="00FE1B0C">
        <w:rPr>
          <w:shd w:val="clear" w:color="auto" w:fill="FFFFFF"/>
        </w:rPr>
        <w:t>)</w:t>
      </w:r>
      <w:r w:rsidR="00D6195B" w:rsidRPr="00FE1B0C">
        <w:rPr>
          <w:sz w:val="22"/>
          <w:szCs w:val="22"/>
          <w:shd w:val="clear" w:color="auto" w:fill="FFFFFF"/>
        </w:rPr>
        <w:t>, t</w:t>
      </w:r>
      <w:r w:rsidRPr="00FE1B0C">
        <w:rPr>
          <w:sz w:val="22"/>
          <w:szCs w:val="22"/>
          <w:shd w:val="clear" w:color="auto" w:fill="FFFFFF"/>
        </w:rPr>
        <w:t>his uncertainty has contributed to reduced investment in the construction sector, causing a decrease in demand for building materials. However, the imposition of new trade barriers, for instance, customs and tariff checks has influenced the complexity a</w:t>
      </w:r>
      <w:r w:rsidRPr="00FE1B0C">
        <w:rPr>
          <w:sz w:val="22"/>
          <w:szCs w:val="22"/>
          <w:shd w:val="clear" w:color="auto" w:fill="FFFFFF"/>
        </w:rPr>
        <w:t>nd cost of exporting and importing goods. This in return contributes to more difficulty for Hard</w:t>
      </w:r>
      <w:r w:rsidR="00685BD6" w:rsidRPr="00FE1B0C">
        <w:rPr>
          <w:sz w:val="22"/>
          <w:szCs w:val="22"/>
          <w:shd w:val="clear" w:color="auto" w:fill="FFFFFF"/>
        </w:rPr>
        <w:t>war–</w:t>
      </w:r>
      <w:r w:rsidRPr="00FE1B0C">
        <w:rPr>
          <w:sz w:val="22"/>
          <w:szCs w:val="22"/>
          <w:shd w:val="clear" w:color="auto" w:fill="FFFFFF"/>
        </w:rPr>
        <w:t>UK Plc for international trade engagement.</w:t>
      </w:r>
    </w:p>
    <w:p w:rsidR="00393656"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Secondly, the Covid-19 pandemic poses a profound consequence on the global economy, comprising the construction s</w:t>
      </w:r>
      <w:r w:rsidRPr="00FE1B0C">
        <w:rPr>
          <w:sz w:val="22"/>
          <w:szCs w:val="22"/>
          <w:shd w:val="clear" w:color="auto" w:fill="FFFFFF"/>
        </w:rPr>
        <w:t>ector</w:t>
      </w:r>
      <w:r w:rsidR="00FC4CE0" w:rsidRPr="00FE1B0C">
        <w:rPr>
          <w:sz w:val="22"/>
          <w:szCs w:val="22"/>
          <w:shd w:val="clear" w:color="auto" w:fill="FFFFFF"/>
        </w:rPr>
        <w:t xml:space="preserve"> (Fabeil </w:t>
      </w:r>
      <w:r w:rsidR="00FC4CE0" w:rsidRPr="00FE1B0C">
        <w:rPr>
          <w:i/>
          <w:sz w:val="22"/>
          <w:szCs w:val="22"/>
          <w:shd w:val="clear" w:color="auto" w:fill="FFFFFF"/>
        </w:rPr>
        <w:t>et al.</w:t>
      </w:r>
      <w:r w:rsidR="00FC4CE0" w:rsidRPr="00FE1B0C">
        <w:rPr>
          <w:sz w:val="22"/>
          <w:szCs w:val="22"/>
          <w:shd w:val="clear" w:color="auto" w:fill="FFFFFF"/>
        </w:rPr>
        <w:t xml:space="preserve"> </w:t>
      </w:r>
      <w:r w:rsidR="00FC4CE0" w:rsidRPr="00FE1B0C">
        <w:rPr>
          <w:sz w:val="22"/>
          <w:szCs w:val="22"/>
          <w:shd w:val="clear" w:color="auto" w:fill="FFFFFF"/>
        </w:rPr>
        <w:t>2020</w:t>
      </w:r>
      <w:r w:rsidR="00FC4CE0" w:rsidRPr="00FE1B0C">
        <w:rPr>
          <w:shd w:val="clear" w:color="auto" w:fill="FFFFFF"/>
        </w:rPr>
        <w:t>)</w:t>
      </w:r>
      <w:r w:rsidRPr="00FE1B0C">
        <w:rPr>
          <w:sz w:val="22"/>
          <w:szCs w:val="22"/>
          <w:shd w:val="clear" w:color="auto" w:fill="FFFFFF"/>
        </w:rPr>
        <w:t>. Reduced consumer spending, social distancing, and lockdown measures have interrupted construction projects and hereby results in declination in the demand for building materials. Several construction sites were shut down temporarily, reduction in th</w:t>
      </w:r>
      <w:r w:rsidRPr="00FE1B0C">
        <w:rPr>
          <w:sz w:val="22"/>
          <w:szCs w:val="22"/>
          <w:shd w:val="clear" w:color="auto" w:fill="FFFFFF"/>
        </w:rPr>
        <w:t>e supplies needed and subsequently leading to project delays. As a consequence, various corporations in this sector, such as Hardware – UK Plc experienced deteriorated sales volumes and revenues as a consequence of these disruptions</w:t>
      </w:r>
      <w:r w:rsidR="00FC4CE0" w:rsidRPr="00FE1B0C">
        <w:rPr>
          <w:sz w:val="22"/>
          <w:szCs w:val="22"/>
          <w:shd w:val="clear" w:color="auto" w:fill="FFFFFF"/>
        </w:rPr>
        <w:t xml:space="preserve"> </w:t>
      </w:r>
      <w:r w:rsidR="00FC4CE0" w:rsidRPr="00FE1B0C">
        <w:rPr>
          <w:sz w:val="22"/>
          <w:szCs w:val="22"/>
          <w:shd w:val="clear" w:color="auto" w:fill="FFFFFF"/>
        </w:rPr>
        <w:t xml:space="preserve">(Fabeil </w:t>
      </w:r>
      <w:r w:rsidR="00FC4CE0" w:rsidRPr="00FE1B0C">
        <w:rPr>
          <w:i/>
          <w:sz w:val="22"/>
          <w:szCs w:val="22"/>
          <w:shd w:val="clear" w:color="auto" w:fill="FFFFFF"/>
        </w:rPr>
        <w:t>et al.</w:t>
      </w:r>
      <w:r w:rsidR="00FC4CE0" w:rsidRPr="00FE1B0C">
        <w:rPr>
          <w:sz w:val="22"/>
          <w:szCs w:val="22"/>
          <w:shd w:val="clear" w:color="auto" w:fill="FFFFFF"/>
        </w:rPr>
        <w:t xml:space="preserve"> 2020</w:t>
      </w:r>
      <w:r w:rsidR="00FC4CE0" w:rsidRPr="00FE1B0C">
        <w:rPr>
          <w:shd w:val="clear" w:color="auto" w:fill="FFFFFF"/>
        </w:rPr>
        <w:t>)</w:t>
      </w:r>
      <w:r w:rsidRPr="00FE1B0C">
        <w:rPr>
          <w:sz w:val="22"/>
          <w:szCs w:val="22"/>
          <w:shd w:val="clear" w:color="auto" w:fill="FFFFFF"/>
        </w:rPr>
        <w:t>. Furthermore, an increm</w:t>
      </w:r>
      <w:r w:rsidRPr="00FE1B0C">
        <w:rPr>
          <w:sz w:val="22"/>
          <w:szCs w:val="22"/>
          <w:shd w:val="clear" w:color="auto" w:fill="FFFFFF"/>
        </w:rPr>
        <w:t>ent in fuel prices has also played a major role in the decrease in sales and profitability structure. Higher energy prices pose a direct consequence on the production cost and transportation of goods. As Hardware – UK Plc engages in the manufacturing and s</w:t>
      </w:r>
      <w:r w:rsidRPr="00FE1B0C">
        <w:rPr>
          <w:sz w:val="22"/>
          <w:szCs w:val="22"/>
          <w:shd w:val="clear" w:color="auto" w:fill="FFFFFF"/>
        </w:rPr>
        <w:t>elling of building materials, it relies heavily on energy–intensive transportation and processes. The increment in fuel prices has resulted to enhance operating expenses for the corporation, leading to squeeze profit margins</w:t>
      </w:r>
      <w:r w:rsidR="00BE1FA6" w:rsidRPr="00FE1B0C">
        <w:rPr>
          <w:sz w:val="22"/>
          <w:szCs w:val="22"/>
          <w:shd w:val="clear" w:color="auto" w:fill="FFFFFF"/>
        </w:rPr>
        <w:t xml:space="preserve"> (Brotcorne </w:t>
      </w:r>
      <w:r w:rsidR="00BE1FA6" w:rsidRPr="00FE1B0C">
        <w:rPr>
          <w:i/>
          <w:sz w:val="22"/>
          <w:szCs w:val="22"/>
          <w:shd w:val="clear" w:color="auto" w:fill="FFFFFF"/>
        </w:rPr>
        <w:t>et al.</w:t>
      </w:r>
      <w:r w:rsidR="00BE1FA6" w:rsidRPr="00FE1B0C">
        <w:rPr>
          <w:sz w:val="22"/>
          <w:szCs w:val="22"/>
          <w:shd w:val="clear" w:color="auto" w:fill="FFFFFF"/>
        </w:rPr>
        <w:t xml:space="preserve"> </w:t>
      </w:r>
      <w:r w:rsidR="00BE1FA6" w:rsidRPr="00FE1B0C">
        <w:rPr>
          <w:sz w:val="22"/>
          <w:szCs w:val="22"/>
          <w:shd w:val="clear" w:color="auto" w:fill="FFFFFF"/>
        </w:rPr>
        <w:t>2019</w:t>
      </w:r>
      <w:r w:rsidR="00BE1FA6" w:rsidRPr="00FE1B0C">
        <w:rPr>
          <w:shd w:val="clear" w:color="auto" w:fill="FFFFFF"/>
        </w:rPr>
        <w:t>)</w:t>
      </w:r>
      <w:r w:rsidRPr="00FE1B0C">
        <w:rPr>
          <w:sz w:val="22"/>
          <w:szCs w:val="22"/>
          <w:shd w:val="clear" w:color="auto" w:fill="FFFFFF"/>
        </w:rPr>
        <w:t>. These higher expenses are diff</w:t>
      </w:r>
      <w:r w:rsidRPr="00FE1B0C">
        <w:rPr>
          <w:sz w:val="22"/>
          <w:szCs w:val="22"/>
          <w:shd w:val="clear" w:color="auto" w:fill="FFFFFF"/>
        </w:rPr>
        <w:t xml:space="preserve">icult to pass </w:t>
      </w:r>
      <w:r w:rsidRPr="00FE1B0C">
        <w:rPr>
          <w:sz w:val="22"/>
          <w:szCs w:val="22"/>
          <w:shd w:val="clear" w:color="auto" w:fill="FFFFFF"/>
        </w:rPr>
        <w:lastRenderedPageBreak/>
        <w:t>on to customers, especially in a competitive market scenario, which erodes its further profitability extent.</w:t>
      </w:r>
    </w:p>
    <w:p w:rsidR="00393656"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Irrespective of this, the influx of foreign enterprises into the UK market has contributed to intensified competition level for Hardw</w:t>
      </w:r>
      <w:r w:rsidRPr="00FE1B0C">
        <w:rPr>
          <w:sz w:val="22"/>
          <w:szCs w:val="22"/>
          <w:shd w:val="clear" w:color="auto" w:fill="FFFFFF"/>
        </w:rPr>
        <w:t>are – UK Plc. The company historically enjoyed competition from foreign businesses, but the government's foreign investment encouragement in the infrastructure and building industry has changed the landscape</w:t>
      </w:r>
      <w:r w:rsidR="00383E83" w:rsidRPr="00FE1B0C">
        <w:rPr>
          <w:sz w:val="22"/>
          <w:szCs w:val="22"/>
          <w:shd w:val="clear" w:color="auto" w:fill="FFFFFF"/>
        </w:rPr>
        <w:t xml:space="preserve"> (Božič and Dimovski, </w:t>
      </w:r>
      <w:r w:rsidR="00383E83" w:rsidRPr="00FE1B0C">
        <w:rPr>
          <w:sz w:val="22"/>
          <w:szCs w:val="22"/>
          <w:shd w:val="clear" w:color="auto" w:fill="FFFFFF"/>
        </w:rPr>
        <w:t>2019</w:t>
      </w:r>
      <w:r w:rsidR="00383E83" w:rsidRPr="00FE1B0C">
        <w:rPr>
          <w:shd w:val="clear" w:color="auto" w:fill="FFFFFF"/>
        </w:rPr>
        <w:t>)</w:t>
      </w:r>
      <w:r w:rsidRPr="00FE1B0C">
        <w:rPr>
          <w:sz w:val="22"/>
          <w:szCs w:val="22"/>
          <w:shd w:val="clear" w:color="auto" w:fill="FFFFFF"/>
        </w:rPr>
        <w:t>. Moreover, the emergence of foreign rivalries es</w:t>
      </w:r>
      <w:r w:rsidRPr="00FE1B0C">
        <w:rPr>
          <w:sz w:val="22"/>
          <w:szCs w:val="22"/>
          <w:shd w:val="clear" w:color="auto" w:fill="FFFFFF"/>
        </w:rPr>
        <w:t>pecially from India, China, and the European Union has introduced cheap and quality building materials into the market, causing pricing pressures for Hardware – UK Plc. These rivalries might pose access to cheaper inputs or lower production expenses, ensur</w:t>
      </w:r>
      <w:r w:rsidRPr="00FE1B0C">
        <w:rPr>
          <w:sz w:val="22"/>
          <w:szCs w:val="22"/>
          <w:shd w:val="clear" w:color="auto" w:fill="FFFFFF"/>
        </w:rPr>
        <w:t>ing them to provide products at significantly competitive prices, leading to capturing market share from Hardware – UK Plc. To illustrate the consequence of increased competition, there is a need to consider an example of a new European rivalry that enters</w:t>
      </w:r>
      <w:r w:rsidRPr="00FE1B0C">
        <w:rPr>
          <w:sz w:val="22"/>
          <w:szCs w:val="22"/>
          <w:shd w:val="clear" w:color="auto" w:fill="FFFFFF"/>
        </w:rPr>
        <w:t xml:space="preserve"> the market providing the same building materials at lower prices</w:t>
      </w:r>
      <w:r w:rsidR="00383E83" w:rsidRPr="00FE1B0C">
        <w:rPr>
          <w:sz w:val="22"/>
          <w:szCs w:val="22"/>
          <w:shd w:val="clear" w:color="auto" w:fill="FFFFFF"/>
        </w:rPr>
        <w:t xml:space="preserve"> </w:t>
      </w:r>
      <w:r w:rsidR="00383E83" w:rsidRPr="00FE1B0C">
        <w:rPr>
          <w:sz w:val="22"/>
          <w:szCs w:val="22"/>
          <w:shd w:val="clear" w:color="auto" w:fill="FFFFFF"/>
        </w:rPr>
        <w:t>(Božič and Dimovski, 2019</w:t>
      </w:r>
      <w:r w:rsidR="00383E83" w:rsidRPr="00FE1B0C">
        <w:rPr>
          <w:shd w:val="clear" w:color="auto" w:fill="FFFFFF"/>
        </w:rPr>
        <w:t>)</w:t>
      </w:r>
      <w:r w:rsidRPr="00FE1B0C">
        <w:rPr>
          <w:sz w:val="22"/>
          <w:szCs w:val="22"/>
          <w:shd w:val="clear" w:color="auto" w:fill="FFFFFF"/>
        </w:rPr>
        <w:t>. This rivalry can influence economies of scale, decrease labor expenses and demonstrate supply chains to manufacturers and offer items more cost-effectively. As a consequence, customers, bot</w:t>
      </w:r>
      <w:r w:rsidRPr="00FE1B0C">
        <w:rPr>
          <w:sz w:val="22"/>
          <w:szCs w:val="22"/>
          <w:shd w:val="clear" w:color="auto" w:fill="FFFFFF"/>
        </w:rPr>
        <w:t xml:space="preserve">h individuals and corporate might switch towards the competitor's offering, causing a decline in market share and sales structure for Hardware – UK Plc. </w:t>
      </w:r>
    </w:p>
    <w:p w:rsidR="00677FC9" w:rsidRPr="00FE1B0C" w:rsidRDefault="001F7604" w:rsidP="00685BD6">
      <w:pPr>
        <w:pStyle w:val="Heading2"/>
        <w:rPr>
          <w:lang w:val="en-US"/>
        </w:rPr>
      </w:pPr>
      <w:bookmarkStart w:id="4" w:name="_Toc135326457"/>
      <w:r w:rsidRPr="00FE1B0C">
        <w:rPr>
          <w:lang w:val="en-US"/>
        </w:rPr>
        <w:t>2. Critically evaluation of investment appraisal approaches utilised by Hardware – UK Plc</w:t>
      </w:r>
      <w:bookmarkEnd w:id="4"/>
      <w:r w:rsidR="00E90F26" w:rsidRPr="00FE1B0C">
        <w:rPr>
          <w:lang w:val="en-US"/>
        </w:rPr>
        <w:t xml:space="preserve"> </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The two inv</w:t>
      </w:r>
      <w:r w:rsidRPr="00FE1B0C">
        <w:rPr>
          <w:rFonts w:ascii="Times New Roman" w:eastAsia="Times New Roman" w:hAnsi="Times New Roman" w:cs="Times New Roman"/>
          <w:shd w:val="clear" w:color="auto" w:fill="FFFFFF"/>
          <w:lang w:eastAsia="en-IN"/>
        </w:rPr>
        <w:t>estment appraisal approaches that can be utilised by Hardware – UK Plc to evolve the decision for further plant investment to influence their business success includes the net present value (NPV) and the internal rate of return (IRR).</w:t>
      </w:r>
    </w:p>
    <w:p w:rsidR="00FE188B" w:rsidRPr="00FE1B0C" w:rsidRDefault="001F7604" w:rsidP="00685BD6">
      <w:pPr>
        <w:pStyle w:val="Heading3"/>
        <w:rPr>
          <w:rFonts w:eastAsia="Times New Roman"/>
          <w:lang w:eastAsia="en-IN"/>
        </w:rPr>
      </w:pPr>
      <w:bookmarkStart w:id="5" w:name="_Toc135326458"/>
      <w:r w:rsidRPr="00FE1B0C">
        <w:rPr>
          <w:rFonts w:eastAsia="Times New Roman"/>
          <w:shd w:val="clear" w:color="auto" w:fill="FFFFFF"/>
          <w:lang w:eastAsia="en-IN"/>
        </w:rPr>
        <w:t>Net present value (NP</w:t>
      </w:r>
      <w:r w:rsidRPr="00FE1B0C">
        <w:rPr>
          <w:rFonts w:eastAsia="Times New Roman"/>
          <w:shd w:val="clear" w:color="auto" w:fill="FFFFFF"/>
          <w:lang w:eastAsia="en-IN"/>
        </w:rPr>
        <w:t>V)</w:t>
      </w:r>
      <w:bookmarkEnd w:id="5"/>
    </w:p>
    <w:p w:rsidR="00A01AF4" w:rsidRPr="00FE1B0C" w:rsidRDefault="003440D3" w:rsidP="00685BD6">
      <w:pPr>
        <w:spacing w:before="240" w:after="240" w:line="360" w:lineRule="auto"/>
        <w:jc w:val="both"/>
        <w:rPr>
          <w:rFonts w:ascii="Times New Roman" w:eastAsia="Times New Roman" w:hAnsi="Times New Roman" w:cs="Times New Roman"/>
          <w:shd w:val="clear" w:color="auto" w:fill="FFFFFF"/>
          <w:lang w:eastAsia="en-IN"/>
        </w:rPr>
      </w:pPr>
      <w:r w:rsidRPr="00FE1B0C">
        <w:rPr>
          <w:rFonts w:ascii="Times New Roman" w:eastAsia="Times New Roman" w:hAnsi="Times New Roman" w:cs="Times New Roman"/>
          <w:shd w:val="clear" w:color="auto" w:fill="FFFFFF"/>
          <w:lang w:eastAsia="en-IN"/>
        </w:rPr>
        <w:t xml:space="preserve">As referred by </w:t>
      </w:r>
      <w:r w:rsidRPr="00FE1B0C">
        <w:rPr>
          <w:rFonts w:ascii="Times New Roman" w:hAnsi="Times New Roman" w:cs="Times New Roman"/>
          <w:shd w:val="clear" w:color="auto" w:fill="FFFFFF"/>
        </w:rPr>
        <w:t xml:space="preserve">Lu and Yin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xml:space="preserve">2021), </w:t>
      </w:r>
      <w:r w:rsidR="001F7604" w:rsidRPr="00FE1B0C">
        <w:rPr>
          <w:rFonts w:ascii="Times New Roman" w:eastAsia="Times New Roman" w:hAnsi="Times New Roman" w:cs="Times New Roman"/>
          <w:shd w:val="clear" w:color="auto" w:fill="FFFFFF"/>
          <w:lang w:eastAsia="en-IN"/>
        </w:rPr>
        <w:t xml:space="preserve">NPV is a widely utilised investment approach measure that determines the present valuation of cash flows relative to an investment project. </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The formula for determining NPV is = ∑ {CFt / (1 + r) t} - Initial Investment</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Where, CFt</w:t>
      </w:r>
      <w:r w:rsidRPr="00FE1B0C">
        <w:rPr>
          <w:rFonts w:ascii="Times New Roman" w:eastAsia="Times New Roman" w:hAnsi="Times New Roman" w:cs="Times New Roman"/>
          <w:shd w:val="clear" w:color="auto" w:fill="FFFFFF"/>
          <w:lang w:eastAsia="en-IN"/>
        </w:rPr>
        <w:t xml:space="preserve"> implies the net cash flow at "t" time, "r" signifies the discount rate, and the summation is considered over the overall life of the project. The decision rule for NPV states that the investment is regarded as viable if the NPV is positive and hereby must</w:t>
      </w:r>
      <w:r w:rsidRPr="00FE1B0C">
        <w:rPr>
          <w:rFonts w:ascii="Times New Roman" w:eastAsia="Times New Roman" w:hAnsi="Times New Roman" w:cs="Times New Roman"/>
          <w:shd w:val="clear" w:color="auto" w:fill="FFFFFF"/>
          <w:lang w:eastAsia="en-IN"/>
        </w:rPr>
        <w:t xml:space="preserve"> need to be pursued and vice versa.</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Illustrations of NPV relative to the case study</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It is assumed that Hardware – UK Plc</w:t>
      </w:r>
      <w:r w:rsidRPr="00FE1B0C">
        <w:rPr>
          <w:rFonts w:ascii="Times New Roman" w:eastAsia="Times New Roman" w:hAnsi="Times New Roman" w:cs="Times New Roman"/>
          <w:shd w:val="clear" w:color="auto" w:fill="FFFFFF"/>
          <w:lang w:eastAsia="en-IN"/>
        </w:rPr>
        <w:t xml:space="preserve"> is undertaking to invest in a new manufacturing plant in India. The initial investment amount is considered £ 10 million and the forecasted cash flows for the upcoming </w:t>
      </w:r>
      <w:r w:rsidRPr="00FE1B0C">
        <w:rPr>
          <w:rFonts w:ascii="Times New Roman" w:eastAsia="Times New Roman" w:hAnsi="Times New Roman" w:cs="Times New Roman"/>
          <w:shd w:val="clear" w:color="auto" w:fill="FFFFFF"/>
          <w:lang w:eastAsia="en-IN"/>
        </w:rPr>
        <w:lastRenderedPageBreak/>
        <w:t>five years include, Year 1: £ 3 million, Year 2: £ 4 million, Year 3: £ 4 million, Year</w:t>
      </w:r>
      <w:r w:rsidRPr="00FE1B0C">
        <w:rPr>
          <w:rFonts w:ascii="Times New Roman" w:eastAsia="Times New Roman" w:hAnsi="Times New Roman" w:cs="Times New Roman"/>
          <w:shd w:val="clear" w:color="auto" w:fill="FFFFFF"/>
          <w:lang w:eastAsia="en-IN"/>
        </w:rPr>
        <w:t xml:space="preserve"> 4: £ 5 million, and Year 5: £ 6 million. Considering the discount rate of 10%, the NPV can be determined as follows.</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NPV = (3 / (1 + 0.10) ^ 1) + (4 / (1 + 0.10) ^ 2) + (4 / (1 + 0.10) ^ 3) + (5 / (1 + 0.10) ^ 4) + (6 / (1 + 0.10) ^ 5) – 10 = £ 2.66 milli</w:t>
      </w:r>
      <w:r w:rsidRPr="00FE1B0C">
        <w:rPr>
          <w:rFonts w:ascii="Times New Roman" w:eastAsia="Times New Roman" w:hAnsi="Times New Roman" w:cs="Times New Roman"/>
          <w:shd w:val="clear" w:color="auto" w:fill="FFFFFF"/>
          <w:lang w:eastAsia="en-IN"/>
        </w:rPr>
        <w:t>on.</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Hence, by substituting the valuations, the NPV of the considered project of Hardware – UK Plc is explored as approximately £ 2.66 million. As the NPV highlights positively, the investment in the context of the new manufacturing plant in India is financ</w:t>
      </w:r>
      <w:r w:rsidRPr="00FE1B0C">
        <w:rPr>
          <w:rFonts w:ascii="Times New Roman" w:eastAsia="Times New Roman" w:hAnsi="Times New Roman" w:cs="Times New Roman"/>
          <w:shd w:val="clear" w:color="auto" w:fill="FFFFFF"/>
          <w:lang w:eastAsia="en-IN"/>
        </w:rPr>
        <w:t>ially favorable.</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Benefits of NPV</w:t>
      </w:r>
    </w:p>
    <w:p w:rsidR="00FE188B" w:rsidRPr="00FE1B0C" w:rsidRDefault="001F7604" w:rsidP="00685BD6">
      <w:pPr>
        <w:numPr>
          <w:ilvl w:val="0"/>
          <w:numId w:val="1"/>
        </w:numPr>
        <w:spacing w:before="240" w:after="0" w:line="360" w:lineRule="auto"/>
        <w:jc w:val="both"/>
        <w:textAlignment w:val="baseline"/>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It takes into account the time value of money by discounting future cash flows and thereby ensuring a more relevant representation of the investment's profitability structure.</w:t>
      </w:r>
    </w:p>
    <w:p w:rsidR="00FE188B" w:rsidRPr="00FE1B0C" w:rsidRDefault="001F7604" w:rsidP="00685BD6">
      <w:pPr>
        <w:numPr>
          <w:ilvl w:val="0"/>
          <w:numId w:val="1"/>
        </w:numPr>
        <w:spacing w:after="0" w:line="360" w:lineRule="auto"/>
        <w:jc w:val="both"/>
        <w:textAlignment w:val="baseline"/>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It helps in prioritising investment projects by</w:t>
      </w:r>
      <w:r w:rsidRPr="00FE1B0C">
        <w:rPr>
          <w:rFonts w:ascii="Times New Roman" w:eastAsia="Times New Roman" w:hAnsi="Times New Roman" w:cs="Times New Roman"/>
          <w:shd w:val="clear" w:color="auto" w:fill="FFFFFF"/>
          <w:lang w:eastAsia="en-IN"/>
        </w:rPr>
        <w:t xml:space="preserve"> comparing their relative profitability</w:t>
      </w:r>
      <w:r w:rsidR="004F0226" w:rsidRPr="00FE1B0C">
        <w:rPr>
          <w:rFonts w:ascii="Times New Roman" w:eastAsia="Times New Roman" w:hAnsi="Times New Roman" w:cs="Times New Roman"/>
          <w:shd w:val="clear" w:color="auto" w:fill="FFFFFF"/>
          <w:lang w:eastAsia="en-IN"/>
        </w:rPr>
        <w:t xml:space="preserve"> (</w:t>
      </w:r>
      <w:r w:rsidR="004F0226" w:rsidRPr="00FE1B0C">
        <w:rPr>
          <w:rFonts w:ascii="Times New Roman" w:hAnsi="Times New Roman" w:cs="Times New Roman"/>
          <w:shd w:val="clear" w:color="auto" w:fill="FFFFFF"/>
        </w:rPr>
        <w:t xml:space="preserve">Ouyang1a and Wan, </w:t>
      </w:r>
      <w:r w:rsidR="004F0226" w:rsidRPr="00FE1B0C">
        <w:rPr>
          <w:rFonts w:ascii="Times New Roman" w:hAnsi="Times New Roman" w:cs="Times New Roman"/>
          <w:shd w:val="clear" w:color="auto" w:fill="FFFFFF"/>
        </w:rPr>
        <w:t>2023)</w:t>
      </w:r>
      <w:r w:rsidRPr="00FE1B0C">
        <w:rPr>
          <w:rFonts w:ascii="Times New Roman" w:eastAsia="Times New Roman" w:hAnsi="Times New Roman" w:cs="Times New Roman"/>
          <w:shd w:val="clear" w:color="auto" w:fill="FFFFFF"/>
          <w:lang w:eastAsia="en-IN"/>
        </w:rPr>
        <w:t>.</w:t>
      </w:r>
    </w:p>
    <w:p w:rsidR="00FE188B" w:rsidRPr="00FE1B0C" w:rsidRDefault="001F7604" w:rsidP="00685BD6">
      <w:pPr>
        <w:numPr>
          <w:ilvl w:val="0"/>
          <w:numId w:val="1"/>
        </w:numPr>
        <w:spacing w:after="240" w:line="360" w:lineRule="auto"/>
        <w:jc w:val="both"/>
        <w:textAlignment w:val="baseline"/>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It accounts for the overall cash flows of the project undertaking both outflows and inflows implications.</w:t>
      </w:r>
    </w:p>
    <w:p w:rsidR="00FE188B"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Shortcomings of NPV</w:t>
      </w:r>
    </w:p>
    <w:p w:rsidR="00FE188B" w:rsidRPr="00FE1B0C" w:rsidRDefault="001F7604" w:rsidP="00685BD6">
      <w:pPr>
        <w:numPr>
          <w:ilvl w:val="0"/>
          <w:numId w:val="2"/>
        </w:numPr>
        <w:spacing w:before="240" w:after="0" w:line="360" w:lineRule="auto"/>
        <w:jc w:val="both"/>
        <w:textAlignment w:val="baseline"/>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It does not undertake the investment's payback period or the project's scale, which might</w:t>
      </w:r>
      <w:r w:rsidRPr="00FE1B0C">
        <w:rPr>
          <w:rFonts w:ascii="Times New Roman" w:eastAsia="Times New Roman" w:hAnsi="Times New Roman" w:cs="Times New Roman"/>
          <w:shd w:val="clear" w:color="auto" w:fill="FFFFFF"/>
          <w:lang w:eastAsia="en-IN"/>
        </w:rPr>
        <w:t xml:space="preserve"> be the subjects' significant factors for decision-making.</w:t>
      </w:r>
    </w:p>
    <w:p w:rsidR="00FE188B" w:rsidRPr="00FE1B0C" w:rsidRDefault="001F7604" w:rsidP="00685BD6">
      <w:pPr>
        <w:numPr>
          <w:ilvl w:val="0"/>
          <w:numId w:val="2"/>
        </w:numPr>
        <w:spacing w:after="240" w:line="360" w:lineRule="auto"/>
        <w:jc w:val="both"/>
        <w:textAlignment w:val="baseline"/>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It depends on relevant estimates of the discount rate and the cash flows, which implies as subject to and challenging to uncertainties</w:t>
      </w:r>
      <w:r w:rsidR="004F0226" w:rsidRPr="00FE1B0C">
        <w:rPr>
          <w:rFonts w:ascii="Times New Roman" w:eastAsia="Times New Roman" w:hAnsi="Times New Roman" w:cs="Times New Roman"/>
          <w:shd w:val="clear" w:color="auto" w:fill="FFFFFF"/>
          <w:lang w:eastAsia="en-IN"/>
        </w:rPr>
        <w:t xml:space="preserve"> </w:t>
      </w:r>
      <w:r w:rsidR="004F0226" w:rsidRPr="00FE1B0C">
        <w:rPr>
          <w:rFonts w:ascii="Times New Roman" w:eastAsia="Times New Roman" w:hAnsi="Times New Roman" w:cs="Times New Roman"/>
          <w:shd w:val="clear" w:color="auto" w:fill="FFFFFF"/>
          <w:lang w:eastAsia="en-IN"/>
        </w:rPr>
        <w:t>(</w:t>
      </w:r>
      <w:r w:rsidR="004F0226" w:rsidRPr="00FE1B0C">
        <w:rPr>
          <w:rFonts w:ascii="Times New Roman" w:hAnsi="Times New Roman" w:cs="Times New Roman"/>
          <w:shd w:val="clear" w:color="auto" w:fill="FFFFFF"/>
        </w:rPr>
        <w:t>Ouyang1a and Wan, 2023)</w:t>
      </w:r>
      <w:r w:rsidRPr="00FE1B0C">
        <w:rPr>
          <w:rFonts w:ascii="Times New Roman" w:eastAsia="Times New Roman" w:hAnsi="Times New Roman" w:cs="Times New Roman"/>
          <w:shd w:val="clear" w:color="auto" w:fill="FFFFFF"/>
          <w:lang w:eastAsia="en-IN"/>
        </w:rPr>
        <w:t xml:space="preserve">. </w:t>
      </w:r>
    </w:p>
    <w:p w:rsidR="00FE5A33" w:rsidRPr="00FE1B0C" w:rsidRDefault="001F7604" w:rsidP="00685BD6">
      <w:pPr>
        <w:pStyle w:val="Heading3"/>
      </w:pPr>
      <w:bookmarkStart w:id="6" w:name="_Toc135326459"/>
      <w:r w:rsidRPr="00FE1B0C">
        <w:rPr>
          <w:shd w:val="clear" w:color="auto" w:fill="FFFFFF"/>
        </w:rPr>
        <w:t>Internal rate of return (IRR)</w:t>
      </w:r>
      <w:bookmarkEnd w:id="6"/>
    </w:p>
    <w:p w:rsidR="00FE5A33"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 xml:space="preserve">IRR considers another </w:t>
      </w:r>
      <w:r w:rsidRPr="00FE1B0C">
        <w:rPr>
          <w:sz w:val="22"/>
          <w:szCs w:val="22"/>
          <w:shd w:val="clear" w:color="auto" w:fill="FFFFFF"/>
        </w:rPr>
        <w:t xml:space="preserve">investment appraisal technique that is utilised to determine the discount rate at which the present cash inflows valuation equals the present cash outflows valuation. Furthermore, the decision implication for IRR implies that if the determined IRR exceeds </w:t>
      </w:r>
      <w:r w:rsidRPr="00FE1B0C">
        <w:rPr>
          <w:sz w:val="22"/>
          <w:szCs w:val="22"/>
          <w:shd w:val="clear" w:color="auto" w:fill="FFFFFF"/>
        </w:rPr>
        <w:t>the required hurdle rate or rate of return, the investment is regarded as viable</w:t>
      </w:r>
      <w:r w:rsidR="00DD0FBC" w:rsidRPr="00FE1B0C">
        <w:rPr>
          <w:sz w:val="22"/>
          <w:szCs w:val="22"/>
          <w:shd w:val="clear" w:color="auto" w:fill="FFFFFF"/>
        </w:rPr>
        <w:t xml:space="preserve"> (Meta and Bajramović, </w:t>
      </w:r>
      <w:r w:rsidR="00DD0FBC" w:rsidRPr="00FE1B0C">
        <w:rPr>
          <w:sz w:val="22"/>
          <w:szCs w:val="22"/>
          <w:shd w:val="clear" w:color="auto" w:fill="FFFFFF"/>
        </w:rPr>
        <w:t>2021</w:t>
      </w:r>
      <w:r w:rsidR="00DD0FBC" w:rsidRPr="00FE1B0C">
        <w:rPr>
          <w:shd w:val="clear" w:color="auto" w:fill="FFFFFF"/>
        </w:rPr>
        <w:t>)</w:t>
      </w:r>
      <w:r w:rsidRPr="00FE1B0C">
        <w:rPr>
          <w:sz w:val="22"/>
          <w:szCs w:val="22"/>
          <w:shd w:val="clear" w:color="auto" w:fill="FFFFFF"/>
        </w:rPr>
        <w:t>.</w:t>
      </w:r>
    </w:p>
    <w:p w:rsidR="00FE5A33" w:rsidRPr="00FE1B0C" w:rsidRDefault="001F7604" w:rsidP="00685BD6">
      <w:pPr>
        <w:pStyle w:val="NormalWeb"/>
        <w:spacing w:before="240" w:beforeAutospacing="0" w:after="240" w:afterAutospacing="0" w:line="360" w:lineRule="auto"/>
        <w:jc w:val="both"/>
        <w:rPr>
          <w:sz w:val="22"/>
          <w:szCs w:val="22"/>
        </w:rPr>
      </w:pPr>
      <w:r w:rsidRPr="00FE1B0C">
        <w:rPr>
          <w:b/>
          <w:bCs/>
          <w:i/>
          <w:iCs/>
          <w:sz w:val="22"/>
          <w:szCs w:val="22"/>
          <w:shd w:val="clear" w:color="auto" w:fill="FFFFFF"/>
        </w:rPr>
        <w:t>Illustrations of IRR relative to the case study</w:t>
      </w:r>
    </w:p>
    <w:p w:rsidR="00FE5A33"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A similar investment project in India is considered with an initial investment structure of £ 10 million and forecasted cash f</w:t>
      </w:r>
      <w:r w:rsidRPr="00FE1B0C">
        <w:rPr>
          <w:sz w:val="22"/>
          <w:szCs w:val="22"/>
          <w:shd w:val="clear" w:color="auto" w:fill="FFFFFF"/>
        </w:rPr>
        <w:t>lows as earlier mentioned. Hence, the rate of return can be explored considering the IRR formula that makes the NPV zero as illustrated below.</w:t>
      </w:r>
    </w:p>
    <w:p w:rsidR="00FE5A33"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t>0 = (3 / (1 + IRR)^1) + (4 / (1 + IRR)^2) + (4 / (1 + IRR)^3) + (5 / (1 + IRR)^4) + (6 / (1 + IRR)^5) - 10</w:t>
      </w:r>
    </w:p>
    <w:p w:rsidR="00FE5A33" w:rsidRPr="00FE1B0C" w:rsidRDefault="001F7604" w:rsidP="00685BD6">
      <w:pPr>
        <w:pStyle w:val="NormalWeb"/>
        <w:spacing w:before="240" w:beforeAutospacing="0" w:after="240" w:afterAutospacing="0" w:line="360" w:lineRule="auto"/>
        <w:jc w:val="both"/>
        <w:rPr>
          <w:sz w:val="22"/>
          <w:szCs w:val="22"/>
        </w:rPr>
      </w:pPr>
      <w:r w:rsidRPr="00FE1B0C">
        <w:rPr>
          <w:sz w:val="22"/>
          <w:szCs w:val="22"/>
          <w:shd w:val="clear" w:color="auto" w:fill="FFFFFF"/>
        </w:rPr>
        <w:lastRenderedPageBreak/>
        <w:t xml:space="preserve">Thus, </w:t>
      </w:r>
      <w:r w:rsidRPr="00FE1B0C">
        <w:rPr>
          <w:sz w:val="22"/>
          <w:szCs w:val="22"/>
          <w:shd w:val="clear" w:color="auto" w:fill="FFFFFF"/>
        </w:rPr>
        <w:t>by solving the above equation, the IRR of the project is generated as approximately 16.6%.</w:t>
      </w:r>
    </w:p>
    <w:p w:rsidR="00FE5A33" w:rsidRPr="00FE1B0C" w:rsidRDefault="001F7604" w:rsidP="00685BD6">
      <w:pPr>
        <w:pStyle w:val="NormalWeb"/>
        <w:spacing w:before="240" w:beforeAutospacing="0" w:after="240" w:afterAutospacing="0" w:line="360" w:lineRule="auto"/>
        <w:jc w:val="both"/>
        <w:rPr>
          <w:sz w:val="22"/>
          <w:szCs w:val="22"/>
        </w:rPr>
      </w:pPr>
      <w:r w:rsidRPr="00FE1B0C">
        <w:rPr>
          <w:b/>
          <w:bCs/>
          <w:i/>
          <w:iCs/>
          <w:sz w:val="22"/>
          <w:szCs w:val="22"/>
          <w:shd w:val="clear" w:color="auto" w:fill="FFFFFF"/>
        </w:rPr>
        <w:t>Benefits of IRR</w:t>
      </w:r>
    </w:p>
    <w:p w:rsidR="00FE5A33" w:rsidRPr="00FE1B0C" w:rsidRDefault="001F7604" w:rsidP="00685BD6">
      <w:pPr>
        <w:pStyle w:val="NormalWeb"/>
        <w:numPr>
          <w:ilvl w:val="0"/>
          <w:numId w:val="3"/>
        </w:numPr>
        <w:spacing w:before="240" w:beforeAutospacing="0" w:after="0" w:afterAutospacing="0" w:line="360" w:lineRule="auto"/>
        <w:jc w:val="both"/>
        <w:textAlignment w:val="baseline"/>
        <w:rPr>
          <w:sz w:val="22"/>
          <w:szCs w:val="22"/>
        </w:rPr>
      </w:pPr>
      <w:r w:rsidRPr="00FE1B0C">
        <w:rPr>
          <w:sz w:val="22"/>
          <w:szCs w:val="22"/>
          <w:shd w:val="clear" w:color="auto" w:fill="FFFFFF"/>
        </w:rPr>
        <w:t>It undertakes the time valuation of money and offers a single rate of return for easier comparison purposes with the required return rate</w:t>
      </w:r>
      <w:r w:rsidR="00AC4457" w:rsidRPr="00FE1B0C">
        <w:rPr>
          <w:sz w:val="22"/>
          <w:szCs w:val="22"/>
          <w:shd w:val="clear" w:color="auto" w:fill="FFFFFF"/>
        </w:rPr>
        <w:t xml:space="preserve"> (Pflaumer, </w:t>
      </w:r>
      <w:r w:rsidR="00AC4457" w:rsidRPr="00FE1B0C">
        <w:rPr>
          <w:shd w:val="clear" w:color="auto" w:fill="FFFFFF"/>
        </w:rPr>
        <w:t>2022)</w:t>
      </w:r>
      <w:r w:rsidRPr="00FE1B0C">
        <w:rPr>
          <w:sz w:val="22"/>
          <w:szCs w:val="22"/>
          <w:shd w:val="clear" w:color="auto" w:fill="FFFFFF"/>
        </w:rPr>
        <w:t>.</w:t>
      </w:r>
    </w:p>
    <w:p w:rsidR="00FE5A33" w:rsidRPr="00FE1B0C" w:rsidRDefault="001F7604" w:rsidP="00685BD6">
      <w:pPr>
        <w:pStyle w:val="NormalWeb"/>
        <w:numPr>
          <w:ilvl w:val="0"/>
          <w:numId w:val="3"/>
        </w:numPr>
        <w:spacing w:before="0" w:beforeAutospacing="0" w:after="0" w:afterAutospacing="0" w:line="360" w:lineRule="auto"/>
        <w:jc w:val="both"/>
        <w:textAlignment w:val="baseline"/>
        <w:rPr>
          <w:sz w:val="22"/>
          <w:szCs w:val="22"/>
        </w:rPr>
      </w:pPr>
      <w:r w:rsidRPr="00FE1B0C">
        <w:rPr>
          <w:sz w:val="22"/>
          <w:szCs w:val="22"/>
          <w:shd w:val="clear" w:color="auto" w:fill="FFFFFF"/>
        </w:rPr>
        <w:t>It account</w:t>
      </w:r>
      <w:r w:rsidRPr="00FE1B0C">
        <w:rPr>
          <w:sz w:val="22"/>
          <w:szCs w:val="22"/>
          <w:shd w:val="clear" w:color="auto" w:fill="FFFFFF"/>
        </w:rPr>
        <w:t>s for the overall cash flows of the project and undertakes the scale of the project.</w:t>
      </w:r>
    </w:p>
    <w:p w:rsidR="00FE5A33" w:rsidRPr="00FE1B0C" w:rsidRDefault="001F7604" w:rsidP="00685BD6">
      <w:pPr>
        <w:pStyle w:val="NormalWeb"/>
        <w:numPr>
          <w:ilvl w:val="0"/>
          <w:numId w:val="3"/>
        </w:numPr>
        <w:spacing w:before="0" w:beforeAutospacing="0" w:after="240" w:afterAutospacing="0" w:line="360" w:lineRule="auto"/>
        <w:jc w:val="both"/>
        <w:textAlignment w:val="baseline"/>
        <w:rPr>
          <w:sz w:val="22"/>
          <w:szCs w:val="22"/>
        </w:rPr>
      </w:pPr>
      <w:r w:rsidRPr="00FE1B0C">
        <w:rPr>
          <w:sz w:val="22"/>
          <w:szCs w:val="22"/>
          <w:shd w:val="clear" w:color="auto" w:fill="FFFFFF"/>
        </w:rPr>
        <w:t>It helps in evaluating the profitability of the project and whether it fulfills the financial objectives of the corporation.</w:t>
      </w:r>
    </w:p>
    <w:p w:rsidR="00FE5A33" w:rsidRPr="00FE1B0C" w:rsidRDefault="001F7604" w:rsidP="00685BD6">
      <w:pPr>
        <w:pStyle w:val="NormalWeb"/>
        <w:spacing w:before="240" w:beforeAutospacing="0" w:after="240" w:afterAutospacing="0" w:line="360" w:lineRule="auto"/>
        <w:jc w:val="both"/>
        <w:rPr>
          <w:sz w:val="22"/>
          <w:szCs w:val="22"/>
        </w:rPr>
      </w:pPr>
      <w:r w:rsidRPr="00FE1B0C">
        <w:rPr>
          <w:b/>
          <w:bCs/>
          <w:i/>
          <w:iCs/>
          <w:sz w:val="22"/>
          <w:szCs w:val="22"/>
          <w:shd w:val="clear" w:color="auto" w:fill="FFFFFF"/>
        </w:rPr>
        <w:t>Shortcomings of IRR</w:t>
      </w:r>
    </w:p>
    <w:p w:rsidR="00FE5A33" w:rsidRPr="00FE1B0C" w:rsidRDefault="001F7604" w:rsidP="00685BD6">
      <w:pPr>
        <w:pStyle w:val="NormalWeb"/>
        <w:numPr>
          <w:ilvl w:val="0"/>
          <w:numId w:val="4"/>
        </w:numPr>
        <w:spacing w:before="240" w:beforeAutospacing="0" w:after="0" w:afterAutospacing="0" w:line="360" w:lineRule="auto"/>
        <w:jc w:val="both"/>
        <w:textAlignment w:val="baseline"/>
        <w:rPr>
          <w:sz w:val="22"/>
          <w:szCs w:val="22"/>
        </w:rPr>
      </w:pPr>
      <w:r w:rsidRPr="00FE1B0C">
        <w:rPr>
          <w:sz w:val="22"/>
          <w:szCs w:val="22"/>
          <w:shd w:val="clear" w:color="auto" w:fill="FFFFFF"/>
        </w:rPr>
        <w:t xml:space="preserve">It assumes that the </w:t>
      </w:r>
      <w:r w:rsidRPr="00FE1B0C">
        <w:rPr>
          <w:sz w:val="22"/>
          <w:szCs w:val="22"/>
          <w:shd w:val="clear" w:color="auto" w:fill="FFFFFF"/>
        </w:rPr>
        <w:t>generated cash flows from the investment will be reinvested at the IRR, which might not always be realistic</w:t>
      </w:r>
      <w:r w:rsidR="00DD0FBC" w:rsidRPr="00FE1B0C">
        <w:rPr>
          <w:sz w:val="22"/>
          <w:szCs w:val="22"/>
          <w:shd w:val="clear" w:color="auto" w:fill="FFFFFF"/>
        </w:rPr>
        <w:t xml:space="preserve"> </w:t>
      </w:r>
      <w:r w:rsidR="00DD0FBC" w:rsidRPr="00FE1B0C">
        <w:rPr>
          <w:sz w:val="22"/>
          <w:szCs w:val="22"/>
          <w:shd w:val="clear" w:color="auto" w:fill="FFFFFF"/>
        </w:rPr>
        <w:t>(Meta and Bajramović, 2021</w:t>
      </w:r>
      <w:r w:rsidR="00DD0FBC" w:rsidRPr="00FE1B0C">
        <w:rPr>
          <w:shd w:val="clear" w:color="auto" w:fill="FFFFFF"/>
        </w:rPr>
        <w:t>)</w:t>
      </w:r>
      <w:r w:rsidRPr="00FE1B0C">
        <w:rPr>
          <w:sz w:val="22"/>
          <w:szCs w:val="22"/>
          <w:shd w:val="clear" w:color="auto" w:fill="FFFFFF"/>
        </w:rPr>
        <w:t>.</w:t>
      </w:r>
    </w:p>
    <w:p w:rsidR="00FE5A33" w:rsidRPr="00FE1B0C" w:rsidRDefault="001F7604" w:rsidP="00685BD6">
      <w:pPr>
        <w:pStyle w:val="NormalWeb"/>
        <w:numPr>
          <w:ilvl w:val="0"/>
          <w:numId w:val="4"/>
        </w:numPr>
        <w:spacing w:before="0" w:beforeAutospacing="0" w:after="240" w:afterAutospacing="0" w:line="360" w:lineRule="auto"/>
        <w:jc w:val="both"/>
        <w:textAlignment w:val="baseline"/>
        <w:rPr>
          <w:sz w:val="22"/>
          <w:szCs w:val="22"/>
        </w:rPr>
      </w:pPr>
      <w:r w:rsidRPr="00FE1B0C">
        <w:rPr>
          <w:sz w:val="22"/>
          <w:szCs w:val="22"/>
          <w:shd w:val="clear" w:color="auto" w:fill="FFFFFF"/>
        </w:rPr>
        <w:t>It can contribute to several IRRs or no actual solution in some circumstances, ensuring difficulty in the interpretation of the results.</w:t>
      </w:r>
    </w:p>
    <w:p w:rsidR="00677FC9" w:rsidRPr="00FE1B0C" w:rsidRDefault="001F7604" w:rsidP="00685BD6">
      <w:pPr>
        <w:pStyle w:val="Heading2"/>
        <w:rPr>
          <w:lang w:val="en-US"/>
        </w:rPr>
      </w:pPr>
      <w:bookmarkStart w:id="7" w:name="_Toc135326460"/>
      <w:r w:rsidRPr="00FE1B0C">
        <w:rPr>
          <w:lang w:val="en-US"/>
        </w:rPr>
        <w:t>3. Methods</w:t>
      </w:r>
      <w:r w:rsidRPr="00FE1B0C">
        <w:rPr>
          <w:lang w:val="en-US"/>
        </w:rPr>
        <w:t xml:space="preserve"> for </w:t>
      </w:r>
      <w:r w:rsidR="0067045A" w:rsidRPr="00FE1B0C">
        <w:rPr>
          <w:lang w:val="en-US"/>
        </w:rPr>
        <w:t xml:space="preserve">abroad </w:t>
      </w:r>
      <w:r w:rsidRPr="00FE1B0C">
        <w:rPr>
          <w:lang w:val="en-US"/>
        </w:rPr>
        <w:t>investments protection against foreign exchange risks</w:t>
      </w:r>
      <w:bookmarkEnd w:id="7"/>
      <w:r w:rsidR="0067045A" w:rsidRPr="00FE1B0C">
        <w:rPr>
          <w:lang w:val="en-US"/>
        </w:rPr>
        <w:t xml:space="preserve"> </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In terms of protecting abroad investments against foreign exchange risks, Hardware – UK Plc can undertake utilising two methods including curren</w:t>
      </w:r>
      <w:r w:rsidR="001F3F2C" w:rsidRPr="00FE1B0C">
        <w:rPr>
          <w:rFonts w:ascii="Times New Roman" w:eastAsia="Times New Roman" w:hAnsi="Times New Roman" w:cs="Times New Roman"/>
          <w:shd w:val="clear" w:color="auto" w:fill="FFFFFF"/>
          <w:lang w:eastAsia="en-IN"/>
        </w:rPr>
        <w:t xml:space="preserve">cy diversification and hedging. </w:t>
      </w:r>
      <w:r w:rsidRPr="00FE1B0C">
        <w:rPr>
          <w:rFonts w:ascii="Times New Roman" w:eastAsia="Times New Roman" w:hAnsi="Times New Roman" w:cs="Times New Roman"/>
          <w:shd w:val="clear" w:color="auto" w:fill="FFFFFF"/>
          <w:lang w:eastAsia="en-IN"/>
        </w:rPr>
        <w:t xml:space="preserve">Hence, a </w:t>
      </w:r>
      <w:r w:rsidRPr="00FE1B0C">
        <w:rPr>
          <w:rFonts w:ascii="Times New Roman" w:eastAsia="Times New Roman" w:hAnsi="Times New Roman" w:cs="Times New Roman"/>
          <w:shd w:val="clear" w:color="auto" w:fill="FFFFFF"/>
          <w:lang w:eastAsia="en-IN"/>
        </w:rPr>
        <w:t>detailed discussion of the methods is presented below.</w:t>
      </w:r>
    </w:p>
    <w:p w:rsidR="00123AD0" w:rsidRPr="00FE1B0C" w:rsidRDefault="001F7604" w:rsidP="00685BD6">
      <w:pPr>
        <w:pStyle w:val="Heading3"/>
        <w:rPr>
          <w:rFonts w:eastAsia="Times New Roman"/>
          <w:lang w:eastAsia="en-IN"/>
        </w:rPr>
      </w:pPr>
      <w:bookmarkStart w:id="8" w:name="_Toc135326461"/>
      <w:r w:rsidRPr="00FE1B0C">
        <w:rPr>
          <w:rFonts w:eastAsia="Times New Roman"/>
          <w:shd w:val="clear" w:color="auto" w:fill="FFFFFF"/>
          <w:lang w:eastAsia="en-IN"/>
        </w:rPr>
        <w:t>Currency diversification</w:t>
      </w:r>
      <w:bookmarkEnd w:id="8"/>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The currency diversification strategy intends to minimise the consequence of adverse exchange rate movements on the entire investment portfolio of the corporation</w:t>
      </w:r>
      <w:r w:rsidR="00E06D8F" w:rsidRPr="00FE1B0C">
        <w:rPr>
          <w:rFonts w:ascii="Times New Roman" w:eastAsia="Times New Roman" w:hAnsi="Times New Roman" w:cs="Times New Roman"/>
          <w:shd w:val="clear" w:color="auto" w:fill="FFFFFF"/>
          <w:lang w:eastAsia="en-IN"/>
        </w:rPr>
        <w:t xml:space="preserve"> (</w:t>
      </w:r>
      <w:r w:rsidR="00E06D8F" w:rsidRPr="00FE1B0C">
        <w:rPr>
          <w:rFonts w:ascii="Times New Roman" w:hAnsi="Times New Roman" w:cs="Times New Roman"/>
          <w:shd w:val="clear" w:color="auto" w:fill="FFFFFF"/>
        </w:rPr>
        <w:t xml:space="preserve">Anastasovska, </w:t>
      </w:r>
      <w:r w:rsidR="00E06D8F" w:rsidRPr="00FE1B0C">
        <w:rPr>
          <w:rFonts w:ascii="Times New Roman" w:hAnsi="Times New Roman" w:cs="Times New Roman"/>
          <w:shd w:val="clear" w:color="auto" w:fill="FFFFFF"/>
        </w:rPr>
        <w:t>2022)</w:t>
      </w:r>
      <w:r w:rsidRPr="00FE1B0C">
        <w:rPr>
          <w:rFonts w:ascii="Times New Roman" w:eastAsia="Times New Roman" w:hAnsi="Times New Roman" w:cs="Times New Roman"/>
          <w:shd w:val="clear" w:color="auto" w:fill="FFFFFF"/>
          <w:lang w:eastAsia="en-IN"/>
        </w:rPr>
        <w:t>.</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Identificati</w:t>
      </w:r>
      <w:r w:rsidRPr="00FE1B0C">
        <w:rPr>
          <w:rFonts w:ascii="Times New Roman" w:eastAsia="Times New Roman" w:hAnsi="Times New Roman" w:cs="Times New Roman"/>
          <w:b/>
          <w:bCs/>
          <w:i/>
          <w:iCs/>
          <w:shd w:val="clear" w:color="auto" w:fill="FFFFFF"/>
          <w:lang w:eastAsia="en-IN"/>
        </w:rPr>
        <w:t>on</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Hardware- UK Plc can recognise the currencies that are most adequate to their international business operations and choose a diversified currencies portfolio accordingly.</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Definitions</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 xml:space="preserve">Currency diversification comprises funding in several currencies </w:t>
      </w:r>
      <w:r w:rsidRPr="00FE1B0C">
        <w:rPr>
          <w:rFonts w:ascii="Times New Roman" w:eastAsia="Times New Roman" w:hAnsi="Times New Roman" w:cs="Times New Roman"/>
          <w:shd w:val="clear" w:color="auto" w:fill="FFFFFF"/>
          <w:lang w:eastAsia="en-IN"/>
        </w:rPr>
        <w:t>irrespective of concentrating every investment in a single currency. This can be performed through several financial instruments, such as direct investments in foreign currencies or currency exchange-traded funds (ETFs)</w:t>
      </w:r>
      <w:r w:rsidR="005B33E6" w:rsidRPr="00FE1B0C">
        <w:rPr>
          <w:rFonts w:ascii="Times New Roman" w:eastAsia="Times New Roman" w:hAnsi="Times New Roman" w:cs="Times New Roman"/>
          <w:shd w:val="clear" w:color="auto" w:fill="FFFFFF"/>
          <w:lang w:eastAsia="en-IN"/>
        </w:rPr>
        <w:t xml:space="preserve"> </w:t>
      </w:r>
      <w:r w:rsidR="005B33E6" w:rsidRPr="00FE1B0C">
        <w:rPr>
          <w:rFonts w:ascii="Times New Roman" w:eastAsia="Times New Roman" w:hAnsi="Times New Roman" w:cs="Times New Roman"/>
          <w:shd w:val="clear" w:color="auto" w:fill="FFFFFF"/>
          <w:lang w:eastAsia="en-IN"/>
        </w:rPr>
        <w:t>(</w:t>
      </w:r>
      <w:r w:rsidR="005B33E6" w:rsidRPr="00FE1B0C">
        <w:rPr>
          <w:rFonts w:ascii="Times New Roman" w:hAnsi="Times New Roman" w:cs="Times New Roman"/>
          <w:shd w:val="clear" w:color="auto" w:fill="FFFFFF"/>
        </w:rPr>
        <w:t>Khan, 2019)</w:t>
      </w:r>
      <w:r w:rsidRPr="00FE1B0C">
        <w:rPr>
          <w:rFonts w:ascii="Times New Roman" w:eastAsia="Times New Roman" w:hAnsi="Times New Roman" w:cs="Times New Roman"/>
          <w:shd w:val="clear" w:color="auto" w:fill="FFFFFF"/>
          <w:lang w:eastAsia="en-IN"/>
        </w:rPr>
        <w:t>.</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Explanation</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lastRenderedPageBreak/>
        <w:t>Hardware – UK Plc by di</w:t>
      </w:r>
      <w:r w:rsidRPr="00FE1B0C">
        <w:rPr>
          <w:rFonts w:ascii="Times New Roman" w:eastAsia="Times New Roman" w:hAnsi="Times New Roman" w:cs="Times New Roman"/>
          <w:shd w:val="clear" w:color="auto" w:fill="FFFFFF"/>
          <w:lang w:eastAsia="en-IN"/>
        </w:rPr>
        <w:t>versifying their investments across several currencies intends to reduce the issue of facing crucial losses from a single currency’s depreciation. Moreover, if one currency weakens, investments held in other currencies might offset the losses.</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Illustration</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Hardware – UK Plc can allocate a portion of its investment to asset denominations in other currencies, such as the US dollar or the euro. This can be performed irrespective of investing solely in Indian assets with Indian rupee exposure. This diversificat</w:t>
      </w:r>
      <w:r w:rsidRPr="00FE1B0C">
        <w:rPr>
          <w:rFonts w:ascii="Times New Roman" w:eastAsia="Times New Roman" w:hAnsi="Times New Roman" w:cs="Times New Roman"/>
          <w:shd w:val="clear" w:color="auto" w:fill="FFFFFF"/>
          <w:lang w:eastAsia="en-IN"/>
        </w:rPr>
        <w:t>ion ensures addressing the adverse exchange rate movements' consequences particular to one currency.</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Benefits</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Currency diversification ensures Hardware – UK Plc spreads risks across several currencies and thereby decreasing the depreciation vulnerability o</w:t>
      </w:r>
      <w:r w:rsidRPr="00FE1B0C">
        <w:rPr>
          <w:rFonts w:ascii="Times New Roman" w:eastAsia="Times New Roman" w:hAnsi="Times New Roman" w:cs="Times New Roman"/>
          <w:shd w:val="clear" w:color="auto" w:fill="FFFFFF"/>
          <w:lang w:eastAsia="en-IN"/>
        </w:rPr>
        <w:t xml:space="preserve">f a single currency. This in return also offers a protection level against foreign exchange market uncertainties and decreases the potential consequence of </w:t>
      </w:r>
      <w:r w:rsidR="0085192E" w:rsidRPr="00FE1B0C">
        <w:rPr>
          <w:rFonts w:ascii="Times New Roman" w:eastAsia="Times New Roman" w:hAnsi="Times New Roman" w:cs="Times New Roman"/>
          <w:shd w:val="clear" w:color="auto" w:fill="FFFFFF"/>
          <w:lang w:eastAsia="en-IN"/>
        </w:rPr>
        <w:t>unfavourable</w:t>
      </w:r>
      <w:r w:rsidRPr="00FE1B0C">
        <w:rPr>
          <w:rFonts w:ascii="Times New Roman" w:eastAsia="Times New Roman" w:hAnsi="Times New Roman" w:cs="Times New Roman"/>
          <w:shd w:val="clear" w:color="auto" w:fill="FFFFFF"/>
          <w:lang w:eastAsia="en-IN"/>
        </w:rPr>
        <w:t xml:space="preserve"> exchange rate fluctuations</w:t>
      </w:r>
      <w:r w:rsidR="00E06D8F" w:rsidRPr="00FE1B0C">
        <w:rPr>
          <w:rFonts w:ascii="Times New Roman" w:eastAsia="Times New Roman" w:hAnsi="Times New Roman" w:cs="Times New Roman"/>
          <w:shd w:val="clear" w:color="auto" w:fill="FFFFFF"/>
          <w:lang w:eastAsia="en-IN"/>
        </w:rPr>
        <w:t xml:space="preserve"> </w:t>
      </w:r>
      <w:r w:rsidR="00E06D8F" w:rsidRPr="00FE1B0C">
        <w:rPr>
          <w:rFonts w:ascii="Times New Roman" w:eastAsia="Times New Roman" w:hAnsi="Times New Roman" w:cs="Times New Roman"/>
          <w:shd w:val="clear" w:color="auto" w:fill="FFFFFF"/>
          <w:lang w:eastAsia="en-IN"/>
        </w:rPr>
        <w:t>(</w:t>
      </w:r>
      <w:r w:rsidR="00E06D8F" w:rsidRPr="00FE1B0C">
        <w:rPr>
          <w:rFonts w:ascii="Times New Roman" w:hAnsi="Times New Roman" w:cs="Times New Roman"/>
          <w:shd w:val="clear" w:color="auto" w:fill="FFFFFF"/>
        </w:rPr>
        <w:t>Anastasovska, 2022)</w:t>
      </w:r>
      <w:r w:rsidRPr="00FE1B0C">
        <w:rPr>
          <w:rFonts w:ascii="Times New Roman" w:eastAsia="Times New Roman" w:hAnsi="Times New Roman" w:cs="Times New Roman"/>
          <w:shd w:val="clear" w:color="auto" w:fill="FFFFFF"/>
          <w:lang w:eastAsia="en-IN"/>
        </w:rPr>
        <w:t>.</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Problems</w:t>
      </w:r>
    </w:p>
    <w:p w:rsidR="00123AD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Currency diversifications need a thorough understan</w:t>
      </w:r>
      <w:r w:rsidRPr="00FE1B0C">
        <w:rPr>
          <w:rFonts w:ascii="Times New Roman" w:eastAsia="Times New Roman" w:hAnsi="Times New Roman" w:cs="Times New Roman"/>
          <w:shd w:val="clear" w:color="auto" w:fill="FFFFFF"/>
          <w:lang w:eastAsia="en-IN"/>
        </w:rPr>
        <w:t>ding of the diverse economics, markets, and risks concerning several currencies. It might also result in enhancing complexity in the context of managing the investment portfolio of the corporation and adding transaction and administrative expenses</w:t>
      </w:r>
      <w:r w:rsidR="005B33E6" w:rsidRPr="00FE1B0C">
        <w:rPr>
          <w:rFonts w:ascii="Times New Roman" w:eastAsia="Times New Roman" w:hAnsi="Times New Roman" w:cs="Times New Roman"/>
          <w:shd w:val="clear" w:color="auto" w:fill="FFFFFF"/>
          <w:lang w:eastAsia="en-IN"/>
        </w:rPr>
        <w:t xml:space="preserve"> (</w:t>
      </w:r>
      <w:r w:rsidR="005B33E6" w:rsidRPr="00FE1B0C">
        <w:rPr>
          <w:rFonts w:ascii="Times New Roman" w:hAnsi="Times New Roman" w:cs="Times New Roman"/>
          <w:shd w:val="clear" w:color="auto" w:fill="FFFFFF"/>
        </w:rPr>
        <w:t xml:space="preserve">Khan, </w:t>
      </w:r>
      <w:r w:rsidR="005B33E6" w:rsidRPr="00FE1B0C">
        <w:rPr>
          <w:rFonts w:ascii="Times New Roman" w:hAnsi="Times New Roman" w:cs="Times New Roman"/>
          <w:shd w:val="clear" w:color="auto" w:fill="FFFFFF"/>
        </w:rPr>
        <w:t>2019)</w:t>
      </w:r>
      <w:r w:rsidRPr="00FE1B0C">
        <w:rPr>
          <w:rFonts w:ascii="Times New Roman" w:eastAsia="Times New Roman" w:hAnsi="Times New Roman" w:cs="Times New Roman"/>
          <w:shd w:val="clear" w:color="auto" w:fill="FFFFFF"/>
          <w:lang w:eastAsia="en-IN"/>
        </w:rPr>
        <w:t xml:space="preserve">. </w:t>
      </w:r>
    </w:p>
    <w:p w:rsidR="00ED1930" w:rsidRPr="00FE1B0C" w:rsidRDefault="001F7604" w:rsidP="00685BD6">
      <w:pPr>
        <w:pStyle w:val="Heading3"/>
        <w:rPr>
          <w:rFonts w:eastAsia="Times New Roman"/>
          <w:lang w:eastAsia="en-IN"/>
        </w:rPr>
      </w:pPr>
      <w:bookmarkStart w:id="9" w:name="_Toc135326462"/>
      <w:r w:rsidRPr="00FE1B0C">
        <w:rPr>
          <w:rFonts w:eastAsia="Times New Roman"/>
          <w:shd w:val="clear" w:color="auto" w:fill="FFFFFF"/>
          <w:lang w:eastAsia="en-IN"/>
        </w:rPr>
        <w:t>Hedgin</w:t>
      </w:r>
      <w:r w:rsidRPr="00FE1B0C">
        <w:rPr>
          <w:rFonts w:eastAsia="Times New Roman"/>
          <w:shd w:val="clear" w:color="auto" w:fill="FFFFFF"/>
          <w:lang w:eastAsia="en-IN"/>
        </w:rPr>
        <w:t>g</w:t>
      </w:r>
      <w:bookmarkEnd w:id="9"/>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Hedging comprises utilisation of financial instruments to offset potential losses due to foreign exchange rate fluctuations. There exists numerous hedging techniques comprising forward contracts, futures, and options</w:t>
      </w:r>
      <w:r w:rsidR="00AB3D43" w:rsidRPr="00FE1B0C">
        <w:rPr>
          <w:rFonts w:ascii="Times New Roman" w:eastAsia="Times New Roman" w:hAnsi="Times New Roman" w:cs="Times New Roman"/>
          <w:shd w:val="clear" w:color="auto" w:fill="FFFFFF"/>
          <w:lang w:eastAsia="en-IN"/>
        </w:rPr>
        <w:t xml:space="preserve"> (</w:t>
      </w:r>
      <w:r w:rsidR="00AB3D43" w:rsidRPr="00FE1B0C">
        <w:rPr>
          <w:rFonts w:ascii="Times New Roman" w:hAnsi="Times New Roman" w:cs="Times New Roman"/>
          <w:shd w:val="clear" w:color="auto" w:fill="FFFFFF"/>
        </w:rPr>
        <w:t xml:space="preserve">Ruf and Wang, </w:t>
      </w:r>
      <w:r w:rsidR="00AB3D43" w:rsidRPr="00FE1B0C">
        <w:rPr>
          <w:rFonts w:ascii="Times New Roman" w:hAnsi="Times New Roman" w:cs="Times New Roman"/>
          <w:shd w:val="clear" w:color="auto" w:fill="FFFFFF"/>
        </w:rPr>
        <w:t>2019)</w:t>
      </w:r>
      <w:r w:rsidRPr="00FE1B0C">
        <w:rPr>
          <w:rFonts w:ascii="Times New Roman" w:eastAsia="Times New Roman" w:hAnsi="Times New Roman" w:cs="Times New Roman"/>
          <w:shd w:val="clear" w:color="auto" w:fill="FFFFFF"/>
          <w:lang w:eastAsia="en-IN"/>
        </w:rPr>
        <w:t>.</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Identification</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Hardware – UK Plc can</w:t>
      </w:r>
      <w:r w:rsidRPr="00FE1B0C">
        <w:rPr>
          <w:rFonts w:ascii="Times New Roman" w:eastAsia="Times New Roman" w:hAnsi="Times New Roman" w:cs="Times New Roman"/>
          <w:shd w:val="clear" w:color="auto" w:fill="FFFFFF"/>
          <w:lang w:eastAsia="en-IN"/>
        </w:rPr>
        <w:t xml:space="preserve"> recognise the particular foreign exchange issues they experience while trading aboard, for instance, exposure to the Indian rupee or other currencies.</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Definitions</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 xml:space="preserve">Forward contracts, for instance, ensure corporations lock in an exchange rate for future </w:t>
      </w:r>
      <w:r w:rsidRPr="00FE1B0C">
        <w:rPr>
          <w:rFonts w:ascii="Times New Roman" w:eastAsia="Times New Roman" w:hAnsi="Times New Roman" w:cs="Times New Roman"/>
          <w:shd w:val="clear" w:color="auto" w:fill="FFFFFF"/>
          <w:lang w:eastAsia="en-IN"/>
        </w:rPr>
        <w:t xml:space="preserve">transactions. Futures contracts provide standardised agreements to sell or buy currencies at a specified future date </w:t>
      </w:r>
      <w:r w:rsidRPr="00FE1B0C">
        <w:rPr>
          <w:rFonts w:ascii="Times New Roman" w:eastAsia="Times New Roman" w:hAnsi="Times New Roman" w:cs="Times New Roman"/>
          <w:shd w:val="clear" w:color="auto" w:fill="FFFFFF"/>
          <w:lang w:eastAsia="en-IN"/>
        </w:rPr>
        <w:lastRenderedPageBreak/>
        <w:t>and price</w:t>
      </w:r>
      <w:r w:rsidR="00356C53" w:rsidRPr="00FE1B0C">
        <w:rPr>
          <w:rFonts w:ascii="Times New Roman" w:eastAsia="Times New Roman" w:hAnsi="Times New Roman" w:cs="Times New Roman"/>
          <w:shd w:val="clear" w:color="auto" w:fill="FFFFFF"/>
          <w:lang w:eastAsia="en-IN"/>
        </w:rPr>
        <w:t xml:space="preserve"> (</w:t>
      </w:r>
      <w:r w:rsidR="00356C53" w:rsidRPr="00FE1B0C">
        <w:rPr>
          <w:rFonts w:ascii="Times New Roman" w:hAnsi="Times New Roman" w:cs="Times New Roman"/>
          <w:shd w:val="clear" w:color="auto" w:fill="FFFFFF"/>
        </w:rPr>
        <w:t xml:space="preserve">Liao and Zhang, </w:t>
      </w:r>
      <w:r w:rsidR="00356C53" w:rsidRPr="00FE1B0C">
        <w:rPr>
          <w:rFonts w:ascii="Times New Roman" w:hAnsi="Times New Roman" w:cs="Times New Roman"/>
          <w:shd w:val="clear" w:color="auto" w:fill="FFFFFF"/>
        </w:rPr>
        <w:t>2020)</w:t>
      </w:r>
      <w:r w:rsidRPr="00FE1B0C">
        <w:rPr>
          <w:rFonts w:ascii="Times New Roman" w:eastAsia="Times New Roman" w:hAnsi="Times New Roman" w:cs="Times New Roman"/>
          <w:shd w:val="clear" w:color="auto" w:fill="FFFFFF"/>
          <w:lang w:eastAsia="en-IN"/>
        </w:rPr>
        <w:t>. Options provide the right, but not the obligation to sell or buy currency at a predetermined rate.</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Explanation</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Hardware – UK Plc</w:t>
      </w:r>
      <w:r w:rsidRPr="00FE1B0C">
        <w:rPr>
          <w:rFonts w:ascii="Times New Roman" w:eastAsia="Times New Roman" w:hAnsi="Times New Roman" w:cs="Times New Roman"/>
          <w:shd w:val="clear" w:color="auto" w:fill="FFFFFF"/>
          <w:lang w:eastAsia="en-IN"/>
        </w:rPr>
        <w:t xml:space="preserve"> can address the consequence of adverse exchange rate movements by utilising hedging instruments. For instance, if the corporation expects the Indian rupee to weaken, they are likely to enter into a forward contract for rupees selling at a favorable rate a</w:t>
      </w:r>
      <w:r w:rsidRPr="00FE1B0C">
        <w:rPr>
          <w:rFonts w:ascii="Times New Roman" w:eastAsia="Times New Roman" w:hAnsi="Times New Roman" w:cs="Times New Roman"/>
          <w:shd w:val="clear" w:color="auto" w:fill="FFFFFF"/>
          <w:lang w:eastAsia="en-IN"/>
        </w:rPr>
        <w:t>nd thereby protecting themselves from potential losses.</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Illustration</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Hardware – UK Plc assumes plans to invest in a manufacturing plant in India. They can consider a forward contract to lock in the exchange rate between the rupee and the pond for a particu</w:t>
      </w:r>
      <w:r w:rsidRPr="00FE1B0C">
        <w:rPr>
          <w:rFonts w:ascii="Times New Roman" w:eastAsia="Times New Roman" w:hAnsi="Times New Roman" w:cs="Times New Roman"/>
          <w:shd w:val="clear" w:color="auto" w:fill="FFFFFF"/>
          <w:lang w:eastAsia="en-IN"/>
        </w:rPr>
        <w:t>lar date in the future. This in return enables the valuation of their investment to exist stable irrespective of currency fluctuations.</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Benefits</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Hedging ensures the corporation limits and manages potential losses concerning currency volatility, offering st</w:t>
      </w:r>
      <w:r w:rsidRPr="00FE1B0C">
        <w:rPr>
          <w:rFonts w:ascii="Times New Roman" w:eastAsia="Times New Roman" w:hAnsi="Times New Roman" w:cs="Times New Roman"/>
          <w:shd w:val="clear" w:color="auto" w:fill="FFFFFF"/>
          <w:lang w:eastAsia="en-IN"/>
        </w:rPr>
        <w:t>ability to their international investments</w:t>
      </w:r>
      <w:r w:rsidR="00356C53" w:rsidRPr="00FE1B0C">
        <w:rPr>
          <w:rFonts w:ascii="Times New Roman" w:eastAsia="Times New Roman" w:hAnsi="Times New Roman" w:cs="Times New Roman"/>
          <w:shd w:val="clear" w:color="auto" w:fill="FFFFFF"/>
          <w:lang w:eastAsia="en-IN"/>
        </w:rPr>
        <w:t xml:space="preserve"> </w:t>
      </w:r>
      <w:r w:rsidR="00356C53" w:rsidRPr="00FE1B0C">
        <w:rPr>
          <w:rFonts w:ascii="Times New Roman" w:eastAsia="Times New Roman" w:hAnsi="Times New Roman" w:cs="Times New Roman"/>
          <w:shd w:val="clear" w:color="auto" w:fill="FFFFFF"/>
          <w:lang w:eastAsia="en-IN"/>
        </w:rPr>
        <w:t>(</w:t>
      </w:r>
      <w:r w:rsidR="00356C53" w:rsidRPr="00FE1B0C">
        <w:rPr>
          <w:rFonts w:ascii="Times New Roman" w:hAnsi="Times New Roman" w:cs="Times New Roman"/>
          <w:shd w:val="clear" w:color="auto" w:fill="FFFFFF"/>
        </w:rPr>
        <w:t>Liao and Zhang, 2020)</w:t>
      </w:r>
      <w:r w:rsidRPr="00FE1B0C">
        <w:rPr>
          <w:rFonts w:ascii="Times New Roman" w:eastAsia="Times New Roman" w:hAnsi="Times New Roman" w:cs="Times New Roman"/>
          <w:shd w:val="clear" w:color="auto" w:fill="FFFFFF"/>
          <w:lang w:eastAsia="en-IN"/>
        </w:rPr>
        <w:t>. It offers budgeting certainty as the corporation might forecast future cash flows with more confidence.</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b/>
          <w:bCs/>
          <w:i/>
          <w:iCs/>
          <w:shd w:val="clear" w:color="auto" w:fill="FFFFFF"/>
          <w:lang w:eastAsia="en-IN"/>
        </w:rPr>
        <w:t>Problems</w:t>
      </w:r>
    </w:p>
    <w:p w:rsidR="00ED1930" w:rsidRPr="00FE1B0C" w:rsidRDefault="001F7604" w:rsidP="00685BD6">
      <w:pPr>
        <w:spacing w:before="240" w:after="240" w:line="360" w:lineRule="auto"/>
        <w:jc w:val="both"/>
        <w:rPr>
          <w:rFonts w:ascii="Times New Roman" w:eastAsia="Times New Roman" w:hAnsi="Times New Roman" w:cs="Times New Roman"/>
          <w:lang w:eastAsia="en-IN"/>
        </w:rPr>
      </w:pPr>
      <w:r w:rsidRPr="00FE1B0C">
        <w:rPr>
          <w:rFonts w:ascii="Times New Roman" w:eastAsia="Times New Roman" w:hAnsi="Times New Roman" w:cs="Times New Roman"/>
          <w:shd w:val="clear" w:color="auto" w:fill="FFFFFF"/>
          <w:lang w:eastAsia="en-IN"/>
        </w:rPr>
        <w:t xml:space="preserve">Hedging instruments arise with expenses, such as premiums or transaction fees. Besides, appropriate prediction of exchange rate </w:t>
      </w:r>
      <w:r w:rsidR="001F3F2C" w:rsidRPr="00FE1B0C">
        <w:rPr>
          <w:rFonts w:ascii="Times New Roman" w:eastAsia="Times New Roman" w:hAnsi="Times New Roman" w:cs="Times New Roman"/>
          <w:shd w:val="clear" w:color="auto" w:fill="FFFFFF"/>
          <w:lang w:eastAsia="en-IN"/>
        </w:rPr>
        <w:t>movements</w:t>
      </w:r>
      <w:r w:rsidRPr="00FE1B0C">
        <w:rPr>
          <w:rFonts w:ascii="Times New Roman" w:eastAsia="Times New Roman" w:hAnsi="Times New Roman" w:cs="Times New Roman"/>
          <w:shd w:val="clear" w:color="auto" w:fill="FFFFFF"/>
          <w:lang w:eastAsia="en-IN"/>
        </w:rPr>
        <w:t xml:space="preserve"> subjects challenging and inaccurate hedging decisions that might cause unnecessary expenses or missed opportunities</w:t>
      </w:r>
      <w:r w:rsidR="00AB3D43" w:rsidRPr="00FE1B0C">
        <w:rPr>
          <w:rFonts w:ascii="Times New Roman" w:eastAsia="Times New Roman" w:hAnsi="Times New Roman" w:cs="Times New Roman"/>
          <w:shd w:val="clear" w:color="auto" w:fill="FFFFFF"/>
          <w:lang w:eastAsia="en-IN"/>
        </w:rPr>
        <w:t xml:space="preserve"> </w:t>
      </w:r>
      <w:r w:rsidR="00AB3D43" w:rsidRPr="00FE1B0C">
        <w:rPr>
          <w:rFonts w:ascii="Times New Roman" w:eastAsia="Times New Roman" w:hAnsi="Times New Roman" w:cs="Times New Roman"/>
          <w:shd w:val="clear" w:color="auto" w:fill="FFFFFF"/>
          <w:lang w:eastAsia="en-IN"/>
        </w:rPr>
        <w:t>(</w:t>
      </w:r>
      <w:r w:rsidR="00AB3D43" w:rsidRPr="00FE1B0C">
        <w:rPr>
          <w:rFonts w:ascii="Times New Roman" w:hAnsi="Times New Roman" w:cs="Times New Roman"/>
          <w:shd w:val="clear" w:color="auto" w:fill="FFFFFF"/>
        </w:rPr>
        <w:t>Ruf and Wang, 2019)</w:t>
      </w:r>
      <w:r w:rsidRPr="00FE1B0C">
        <w:rPr>
          <w:rFonts w:ascii="Times New Roman" w:eastAsia="Times New Roman" w:hAnsi="Times New Roman" w:cs="Times New Roman"/>
          <w:shd w:val="clear" w:color="auto" w:fill="FFFFFF"/>
          <w:lang w:eastAsia="en-IN"/>
        </w:rPr>
        <w:t xml:space="preserve">. </w:t>
      </w:r>
    </w:p>
    <w:p w:rsidR="00677FC9" w:rsidRPr="00FE1B0C" w:rsidRDefault="001F7604" w:rsidP="00685BD6">
      <w:pPr>
        <w:pStyle w:val="Heading2"/>
        <w:rPr>
          <w:lang w:val="en-US"/>
        </w:rPr>
      </w:pPr>
      <w:bookmarkStart w:id="10" w:name="_Toc135326463"/>
      <w:r w:rsidRPr="00FE1B0C">
        <w:rPr>
          <w:lang w:val="en-US"/>
        </w:rPr>
        <w:t>4. Critically discussion of ethical, financial, regulatory, and strategic implications for overseas investment</w:t>
      </w:r>
      <w:bookmarkEnd w:id="10"/>
      <w:r w:rsidR="000F2249" w:rsidRPr="00FE1B0C">
        <w:rPr>
          <w:lang w:val="en-US"/>
        </w:rPr>
        <w:t xml:space="preserve"> </w:t>
      </w:r>
    </w:p>
    <w:p w:rsidR="00F96AA7"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lang w:val="en-US"/>
        </w:rPr>
        <w:t>Investing overseas</w:t>
      </w:r>
      <w:r w:rsidR="00514777" w:rsidRPr="00FE1B0C">
        <w:rPr>
          <w:rFonts w:ascii="Times New Roman" w:hAnsi="Times New Roman" w:cs="Times New Roman"/>
          <w:lang w:val="en-US"/>
        </w:rPr>
        <w:t xml:space="preserve">, </w:t>
      </w:r>
      <w:r w:rsidR="009950C6" w:rsidRPr="00FE1B0C">
        <w:rPr>
          <w:rFonts w:ascii="Times New Roman" w:hAnsi="Times New Roman" w:cs="Times New Roman"/>
          <w:lang w:val="en-US"/>
        </w:rPr>
        <w:t xml:space="preserve">specifically in the context of setting up a manufacturing plant in India, reflects numerous strategic, ethical, regulatory, and financial implications for Hardware – UK Plc. Moreover, each of these aspects is discussed below in detail. </w:t>
      </w:r>
    </w:p>
    <w:p w:rsidR="007A09A9" w:rsidRPr="00FE1B0C" w:rsidRDefault="001F7604" w:rsidP="00685BD6">
      <w:pPr>
        <w:pStyle w:val="Heading3"/>
        <w:rPr>
          <w:lang w:val="en-US"/>
        </w:rPr>
      </w:pPr>
      <w:bookmarkStart w:id="11" w:name="_Toc135326464"/>
      <w:r w:rsidRPr="00FE1B0C">
        <w:rPr>
          <w:lang w:val="en-US"/>
        </w:rPr>
        <w:t>Strategic implications</w:t>
      </w:r>
      <w:bookmarkEnd w:id="11"/>
    </w:p>
    <w:p w:rsidR="007A09A9"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Market expansion:</w:t>
      </w:r>
      <w:r w:rsidR="005A4C38" w:rsidRPr="00FE1B0C">
        <w:rPr>
          <w:rFonts w:ascii="Times New Roman" w:hAnsi="Times New Roman" w:cs="Times New Roman"/>
          <w:b/>
          <w:i/>
          <w:lang w:val="en-US"/>
        </w:rPr>
        <w:t xml:space="preserve"> </w:t>
      </w:r>
      <w:r w:rsidR="005A4C38" w:rsidRPr="00FE1B0C">
        <w:rPr>
          <w:rFonts w:ascii="Times New Roman" w:hAnsi="Times New Roman" w:cs="Times New Roman"/>
          <w:lang w:val="en-US"/>
        </w:rPr>
        <w:t>Investing in an overseas manufacturing plant ensures Hardware UK to evolves with new markets and hereby diversifies its customer base. It offers an opportunity for customers targeted in India and other nations where the corporation can demonstrate a robust existence</w:t>
      </w:r>
      <w:r w:rsidR="009B43FF" w:rsidRPr="00FE1B0C">
        <w:rPr>
          <w:rFonts w:ascii="Times New Roman" w:hAnsi="Times New Roman" w:cs="Times New Roman"/>
          <w:lang w:val="en-US"/>
        </w:rPr>
        <w:t xml:space="preserve"> (</w:t>
      </w:r>
      <w:r w:rsidR="009B43FF" w:rsidRPr="00FE1B0C">
        <w:rPr>
          <w:rFonts w:ascii="Times New Roman" w:hAnsi="Times New Roman" w:cs="Times New Roman"/>
          <w:shd w:val="clear" w:color="auto" w:fill="FFFFFF"/>
        </w:rPr>
        <w:t xml:space="preserve">Liang and Renneboog, </w:t>
      </w:r>
      <w:r w:rsidR="009B43FF" w:rsidRPr="00FE1B0C">
        <w:rPr>
          <w:rFonts w:ascii="Times New Roman" w:hAnsi="Times New Roman" w:cs="Times New Roman"/>
          <w:shd w:val="clear" w:color="auto" w:fill="FFFFFF"/>
        </w:rPr>
        <w:t>2020)</w:t>
      </w:r>
      <w:r w:rsidR="005A4C38" w:rsidRPr="00FE1B0C">
        <w:rPr>
          <w:rFonts w:ascii="Times New Roman" w:hAnsi="Times New Roman" w:cs="Times New Roman"/>
          <w:lang w:val="en-US"/>
        </w:rPr>
        <w:t xml:space="preserve">. </w:t>
      </w:r>
    </w:p>
    <w:p w:rsidR="00971EA7"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lastRenderedPageBreak/>
        <w:t xml:space="preserve">Competitive advantage: </w:t>
      </w:r>
      <w:r w:rsidR="000B116D" w:rsidRPr="00FE1B0C">
        <w:rPr>
          <w:rFonts w:ascii="Times New Roman" w:hAnsi="Times New Roman" w:cs="Times New Roman"/>
          <w:lang w:val="en-US"/>
        </w:rPr>
        <w:t xml:space="preserve">Hardware- UK by manufacturing locally in India can benefit from decreased production expenses such as cheaper raw materials and </w:t>
      </w:r>
      <w:r w:rsidR="00B20663" w:rsidRPr="00FE1B0C">
        <w:rPr>
          <w:rFonts w:ascii="Times New Roman" w:hAnsi="Times New Roman" w:cs="Times New Roman"/>
          <w:lang w:val="en-US"/>
        </w:rPr>
        <w:t>labor</w:t>
      </w:r>
      <w:r w:rsidR="000B116D" w:rsidRPr="00FE1B0C">
        <w:rPr>
          <w:rFonts w:ascii="Times New Roman" w:hAnsi="Times New Roman" w:cs="Times New Roman"/>
          <w:lang w:val="en-US"/>
        </w:rPr>
        <w:t xml:space="preserve">, which might influence its pricing strategy and competitiveness. </w:t>
      </w:r>
    </w:p>
    <w:p w:rsidR="007A09A9" w:rsidRPr="00FE1B0C" w:rsidRDefault="001F7604" w:rsidP="00685BD6">
      <w:pPr>
        <w:pStyle w:val="Heading3"/>
        <w:rPr>
          <w:lang w:val="en-US"/>
        </w:rPr>
      </w:pPr>
      <w:bookmarkStart w:id="12" w:name="_Toc135326465"/>
      <w:r w:rsidRPr="00FE1B0C">
        <w:rPr>
          <w:lang w:val="en-US"/>
        </w:rPr>
        <w:t>Ethical implications</w:t>
      </w:r>
      <w:bookmarkEnd w:id="12"/>
    </w:p>
    <w:p w:rsidR="00B20663"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Environmental impact:</w:t>
      </w:r>
      <w:r w:rsidR="00565489" w:rsidRPr="00FE1B0C">
        <w:rPr>
          <w:rFonts w:ascii="Times New Roman" w:hAnsi="Times New Roman" w:cs="Times New Roman"/>
          <w:b/>
          <w:i/>
          <w:lang w:val="en-US"/>
        </w:rPr>
        <w:t xml:space="preserve"> </w:t>
      </w:r>
      <w:r w:rsidR="007A659C" w:rsidRPr="00FE1B0C">
        <w:rPr>
          <w:rFonts w:ascii="Times New Roman" w:hAnsi="Times New Roman" w:cs="Times New Roman"/>
          <w:lang w:val="en-US"/>
        </w:rPr>
        <w:t xml:space="preserve">Hardware –UK requires </w:t>
      </w:r>
      <w:r w:rsidR="00006E37" w:rsidRPr="00FE1B0C">
        <w:rPr>
          <w:rFonts w:ascii="Times New Roman" w:hAnsi="Times New Roman" w:cs="Times New Roman"/>
          <w:lang w:val="en-US"/>
        </w:rPr>
        <w:t>to undertake the environmental implications relative to its operations in India. It must comply with local regulations concerning emissions, sustainable manufacturing practices, and waste management</w:t>
      </w:r>
      <w:r w:rsidR="00DA7546" w:rsidRPr="00FE1B0C">
        <w:rPr>
          <w:rFonts w:ascii="Times New Roman" w:hAnsi="Times New Roman" w:cs="Times New Roman"/>
          <w:lang w:val="en-US"/>
        </w:rPr>
        <w:t xml:space="preserve"> (</w:t>
      </w:r>
      <w:r w:rsidR="00DA7546" w:rsidRPr="00FE1B0C">
        <w:rPr>
          <w:rFonts w:ascii="Times New Roman" w:hAnsi="Times New Roman" w:cs="Times New Roman"/>
          <w:shd w:val="clear" w:color="auto" w:fill="FFFFFF"/>
        </w:rPr>
        <w:t xml:space="preserve">Phillips and Johnson, </w:t>
      </w:r>
      <w:r w:rsidR="00DA7546" w:rsidRPr="00FE1B0C">
        <w:rPr>
          <w:rFonts w:ascii="Times New Roman" w:hAnsi="Times New Roman" w:cs="Times New Roman"/>
          <w:shd w:val="clear" w:color="auto" w:fill="FFFFFF"/>
        </w:rPr>
        <w:t>2021)</w:t>
      </w:r>
      <w:r w:rsidR="00006E37" w:rsidRPr="00FE1B0C">
        <w:rPr>
          <w:rFonts w:ascii="Times New Roman" w:hAnsi="Times New Roman" w:cs="Times New Roman"/>
          <w:lang w:val="en-US"/>
        </w:rPr>
        <w:t xml:space="preserve">. </w:t>
      </w:r>
    </w:p>
    <w:p w:rsidR="00EC6904"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 xml:space="preserve">Labor standards: </w:t>
      </w:r>
      <w:r w:rsidR="00AA7F4C" w:rsidRPr="00FE1B0C">
        <w:rPr>
          <w:rFonts w:ascii="Times New Roman" w:hAnsi="Times New Roman" w:cs="Times New Roman"/>
          <w:lang w:val="en-US"/>
        </w:rPr>
        <w:t xml:space="preserve">Hardware – UK should </w:t>
      </w:r>
      <w:r w:rsidR="00161E06" w:rsidRPr="00FE1B0C">
        <w:rPr>
          <w:rFonts w:ascii="Times New Roman" w:hAnsi="Times New Roman" w:cs="Times New Roman"/>
          <w:lang w:val="en-US"/>
        </w:rPr>
        <w:t>adhere to local labor laws while setting up a manufacturing plant in India and hereby enable fair engagement with workers. It must prioritise offering safe working scenarios, reasonable working hours, and fair wages</w:t>
      </w:r>
      <w:r w:rsidR="00EB5E75" w:rsidRPr="00FE1B0C">
        <w:rPr>
          <w:rFonts w:ascii="Times New Roman" w:hAnsi="Times New Roman" w:cs="Times New Roman"/>
          <w:lang w:val="en-US"/>
        </w:rPr>
        <w:t xml:space="preserve"> (</w:t>
      </w:r>
      <w:r w:rsidR="00EB5E75" w:rsidRPr="00FE1B0C">
        <w:rPr>
          <w:rFonts w:ascii="Times New Roman" w:hAnsi="Times New Roman" w:cs="Times New Roman"/>
          <w:shd w:val="clear" w:color="auto" w:fill="FFFFFF"/>
        </w:rPr>
        <w:t xml:space="preserve">Schiff </w:t>
      </w:r>
      <w:r w:rsidR="00EB5E75" w:rsidRPr="00FE1B0C">
        <w:rPr>
          <w:rFonts w:ascii="Times New Roman" w:hAnsi="Times New Roman" w:cs="Times New Roman"/>
          <w:i/>
          <w:shd w:val="clear" w:color="auto" w:fill="FFFFFF"/>
        </w:rPr>
        <w:t>et al.</w:t>
      </w:r>
      <w:r w:rsidR="00EB5E75" w:rsidRPr="00FE1B0C">
        <w:rPr>
          <w:rFonts w:ascii="Times New Roman" w:hAnsi="Times New Roman" w:cs="Times New Roman"/>
          <w:shd w:val="clear" w:color="auto" w:fill="FFFFFF"/>
        </w:rPr>
        <w:t xml:space="preserve"> </w:t>
      </w:r>
      <w:r w:rsidR="00EB5E75" w:rsidRPr="00FE1B0C">
        <w:rPr>
          <w:rFonts w:ascii="Times New Roman" w:hAnsi="Times New Roman" w:cs="Times New Roman"/>
          <w:shd w:val="clear" w:color="auto" w:fill="FFFFFF"/>
        </w:rPr>
        <w:t>2020</w:t>
      </w:r>
      <w:r w:rsidR="00EB5E75" w:rsidRPr="00FE1B0C">
        <w:rPr>
          <w:rFonts w:ascii="Times New Roman" w:hAnsi="Times New Roman" w:cs="Times New Roman"/>
          <w:shd w:val="clear" w:color="auto" w:fill="FFFFFF"/>
        </w:rPr>
        <w:t>)</w:t>
      </w:r>
      <w:r w:rsidR="00161E06" w:rsidRPr="00FE1B0C">
        <w:rPr>
          <w:rFonts w:ascii="Times New Roman" w:hAnsi="Times New Roman" w:cs="Times New Roman"/>
          <w:lang w:val="en-US"/>
        </w:rPr>
        <w:t xml:space="preserve">. </w:t>
      </w:r>
    </w:p>
    <w:p w:rsidR="007A09A9" w:rsidRPr="00FE1B0C" w:rsidRDefault="001F7604" w:rsidP="00685BD6">
      <w:pPr>
        <w:pStyle w:val="Heading3"/>
        <w:rPr>
          <w:lang w:val="en-US"/>
        </w:rPr>
      </w:pPr>
      <w:bookmarkStart w:id="13" w:name="_Toc135326466"/>
      <w:r w:rsidRPr="00FE1B0C">
        <w:rPr>
          <w:lang w:val="en-US"/>
        </w:rPr>
        <w:t>Regulatory implications</w:t>
      </w:r>
      <w:bookmarkEnd w:id="13"/>
    </w:p>
    <w:p w:rsidR="00F36442"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Intellectual property protection:</w:t>
      </w:r>
      <w:r w:rsidR="00161E06" w:rsidRPr="00FE1B0C">
        <w:rPr>
          <w:rFonts w:ascii="Times New Roman" w:hAnsi="Times New Roman" w:cs="Times New Roman"/>
          <w:b/>
          <w:i/>
          <w:lang w:val="en-US"/>
        </w:rPr>
        <w:t xml:space="preserve"> </w:t>
      </w:r>
      <w:r w:rsidR="00B86925" w:rsidRPr="00FE1B0C">
        <w:rPr>
          <w:rFonts w:ascii="Times New Roman" w:hAnsi="Times New Roman" w:cs="Times New Roman"/>
          <w:lang w:val="en-US"/>
        </w:rPr>
        <w:t xml:space="preserve">Hardware – UK </w:t>
      </w:r>
      <w:r w:rsidR="0081591B" w:rsidRPr="00FE1B0C">
        <w:rPr>
          <w:rFonts w:ascii="Times New Roman" w:hAnsi="Times New Roman" w:cs="Times New Roman"/>
          <w:lang w:val="en-US"/>
        </w:rPr>
        <w:t xml:space="preserve">must safeguard its intellectual property rights </w:t>
      </w:r>
      <w:r w:rsidR="00283D1E" w:rsidRPr="00FE1B0C">
        <w:rPr>
          <w:rFonts w:ascii="Times New Roman" w:hAnsi="Times New Roman" w:cs="Times New Roman"/>
          <w:lang w:val="en-US"/>
        </w:rPr>
        <w:t xml:space="preserve">and proprietary technology while expanding </w:t>
      </w:r>
      <w:r w:rsidR="003C228E" w:rsidRPr="00FE1B0C">
        <w:rPr>
          <w:rFonts w:ascii="Times New Roman" w:hAnsi="Times New Roman" w:cs="Times New Roman"/>
          <w:lang w:val="en-US"/>
        </w:rPr>
        <w:t xml:space="preserve">to India. </w:t>
      </w:r>
      <w:r w:rsidR="00E17DF7" w:rsidRPr="00FE1B0C">
        <w:rPr>
          <w:rFonts w:ascii="Times New Roman" w:hAnsi="Times New Roman" w:cs="Times New Roman"/>
          <w:lang w:val="en-US"/>
        </w:rPr>
        <w:t>It should enable that its trademarks, copyrights, and patents are protected adequately under Indian Law</w:t>
      </w:r>
      <w:r w:rsidR="009B43FF" w:rsidRPr="00FE1B0C">
        <w:rPr>
          <w:rFonts w:ascii="Times New Roman" w:hAnsi="Times New Roman" w:cs="Times New Roman"/>
          <w:lang w:val="en-US"/>
        </w:rPr>
        <w:t xml:space="preserve"> </w:t>
      </w:r>
      <w:r w:rsidR="009B43FF" w:rsidRPr="00FE1B0C">
        <w:rPr>
          <w:rFonts w:ascii="Times New Roman" w:hAnsi="Times New Roman" w:cs="Times New Roman"/>
          <w:lang w:val="en-US"/>
        </w:rPr>
        <w:t>(</w:t>
      </w:r>
      <w:r w:rsidR="009B43FF" w:rsidRPr="00FE1B0C">
        <w:rPr>
          <w:rFonts w:ascii="Times New Roman" w:hAnsi="Times New Roman" w:cs="Times New Roman"/>
          <w:shd w:val="clear" w:color="auto" w:fill="FFFFFF"/>
        </w:rPr>
        <w:t>Liang and Renneboog, 2020)</w:t>
      </w:r>
      <w:r w:rsidR="00E17DF7" w:rsidRPr="00FE1B0C">
        <w:rPr>
          <w:rFonts w:ascii="Times New Roman" w:hAnsi="Times New Roman" w:cs="Times New Roman"/>
          <w:lang w:val="en-US"/>
        </w:rPr>
        <w:t xml:space="preserve">. </w:t>
      </w:r>
    </w:p>
    <w:p w:rsidR="00CC374A"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 xml:space="preserve">Legal framework: </w:t>
      </w:r>
      <w:r w:rsidR="00593BCC" w:rsidRPr="00FE1B0C">
        <w:rPr>
          <w:rFonts w:ascii="Times New Roman" w:hAnsi="Times New Roman" w:cs="Times New Roman"/>
          <w:lang w:val="en-US"/>
        </w:rPr>
        <w:t xml:space="preserve">Investing overseas needs compliance with </w:t>
      </w:r>
      <w:r w:rsidR="000978AB" w:rsidRPr="00FE1B0C">
        <w:rPr>
          <w:rFonts w:ascii="Times New Roman" w:hAnsi="Times New Roman" w:cs="Times New Roman"/>
          <w:lang w:val="en-US"/>
        </w:rPr>
        <w:t xml:space="preserve">the regulations and laws of the host nation. Hardware-UK should navigate the legal landscape in India </w:t>
      </w:r>
      <w:r w:rsidR="00E16D1A" w:rsidRPr="00FE1B0C">
        <w:rPr>
          <w:rFonts w:ascii="Times New Roman" w:hAnsi="Times New Roman" w:cs="Times New Roman"/>
          <w:lang w:val="en-US"/>
        </w:rPr>
        <w:t xml:space="preserve">comprising </w:t>
      </w:r>
      <w:r w:rsidR="001A49ED" w:rsidRPr="00FE1B0C">
        <w:rPr>
          <w:rFonts w:ascii="Times New Roman" w:hAnsi="Times New Roman" w:cs="Times New Roman"/>
          <w:lang w:val="en-US"/>
        </w:rPr>
        <w:t xml:space="preserve">intellectual property rights, corporate governance needs, trade policies, and tax </w:t>
      </w:r>
      <w:r w:rsidR="00061F22" w:rsidRPr="00FE1B0C">
        <w:rPr>
          <w:rFonts w:ascii="Times New Roman" w:hAnsi="Times New Roman" w:cs="Times New Roman"/>
          <w:lang w:val="en-US"/>
        </w:rPr>
        <w:t>regulations</w:t>
      </w:r>
      <w:r w:rsidR="001A49ED" w:rsidRPr="00FE1B0C">
        <w:rPr>
          <w:rFonts w:ascii="Times New Roman" w:hAnsi="Times New Roman" w:cs="Times New Roman"/>
          <w:lang w:val="en-US"/>
        </w:rPr>
        <w:t xml:space="preserve">. </w:t>
      </w:r>
    </w:p>
    <w:p w:rsidR="007A09A9" w:rsidRPr="00FE1B0C" w:rsidRDefault="001F7604" w:rsidP="00685BD6">
      <w:pPr>
        <w:pStyle w:val="Heading3"/>
        <w:rPr>
          <w:lang w:val="en-US"/>
        </w:rPr>
      </w:pPr>
      <w:bookmarkStart w:id="14" w:name="_Toc135326467"/>
      <w:r w:rsidRPr="00FE1B0C">
        <w:rPr>
          <w:lang w:val="en-US"/>
        </w:rPr>
        <w:t>Financial implications</w:t>
      </w:r>
      <w:bookmarkEnd w:id="14"/>
    </w:p>
    <w:p w:rsidR="00CC374A"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Revenue generation:</w:t>
      </w:r>
      <w:r w:rsidR="00151DCD" w:rsidRPr="00FE1B0C">
        <w:rPr>
          <w:rFonts w:ascii="Times New Roman" w:hAnsi="Times New Roman" w:cs="Times New Roman"/>
          <w:lang w:val="en-US"/>
        </w:rPr>
        <w:t xml:space="preserve"> </w:t>
      </w:r>
      <w:r w:rsidR="00B74CAE" w:rsidRPr="00FE1B0C">
        <w:rPr>
          <w:rFonts w:ascii="Times New Roman" w:hAnsi="Times New Roman" w:cs="Times New Roman"/>
          <w:lang w:val="en-US"/>
        </w:rPr>
        <w:t>Investing in an overseas market can potentially enhance Hardware-UK's revenue streams by selling products both for export and locally</w:t>
      </w:r>
      <w:r w:rsidR="003D2BD0" w:rsidRPr="00FE1B0C">
        <w:rPr>
          <w:rFonts w:ascii="Times New Roman" w:hAnsi="Times New Roman" w:cs="Times New Roman"/>
          <w:lang w:val="en-US"/>
        </w:rPr>
        <w:t xml:space="preserve"> (</w:t>
      </w:r>
      <w:r w:rsidR="003D2BD0" w:rsidRPr="00FE1B0C">
        <w:rPr>
          <w:rFonts w:ascii="Times New Roman" w:hAnsi="Times New Roman" w:cs="Times New Roman"/>
          <w:shd w:val="clear" w:color="auto" w:fill="FFFFFF"/>
        </w:rPr>
        <w:t xml:space="preserve">Jackson </w:t>
      </w:r>
      <w:r w:rsidR="003D2BD0" w:rsidRPr="00FE1B0C">
        <w:rPr>
          <w:rFonts w:ascii="Times New Roman" w:hAnsi="Times New Roman" w:cs="Times New Roman"/>
          <w:i/>
          <w:shd w:val="clear" w:color="auto" w:fill="FFFFFF"/>
        </w:rPr>
        <w:t>et al</w:t>
      </w:r>
      <w:r w:rsidR="003D2BD0" w:rsidRPr="00FE1B0C">
        <w:rPr>
          <w:rFonts w:ascii="Times New Roman" w:hAnsi="Times New Roman" w:cs="Times New Roman"/>
          <w:shd w:val="clear" w:color="auto" w:fill="FFFFFF"/>
        </w:rPr>
        <w:t xml:space="preserve">. </w:t>
      </w:r>
      <w:r w:rsidR="003D2BD0" w:rsidRPr="00FE1B0C">
        <w:rPr>
          <w:rFonts w:ascii="Times New Roman" w:hAnsi="Times New Roman" w:cs="Times New Roman"/>
          <w:shd w:val="clear" w:color="auto" w:fill="FFFFFF"/>
        </w:rPr>
        <w:t>2020)</w:t>
      </w:r>
      <w:r w:rsidR="00B74CAE" w:rsidRPr="00FE1B0C">
        <w:rPr>
          <w:rFonts w:ascii="Times New Roman" w:hAnsi="Times New Roman" w:cs="Times New Roman"/>
          <w:lang w:val="en-US"/>
        </w:rPr>
        <w:t xml:space="preserve">. Moreover, corporations require </w:t>
      </w:r>
      <w:r w:rsidR="007B2FE5" w:rsidRPr="00FE1B0C">
        <w:rPr>
          <w:rFonts w:ascii="Times New Roman" w:hAnsi="Times New Roman" w:cs="Times New Roman"/>
          <w:lang w:val="en-US"/>
        </w:rPr>
        <w:t xml:space="preserve">to access pricing dynamics, potential sales volume, and market demand to enable profitability. </w:t>
      </w:r>
    </w:p>
    <w:p w:rsidR="003844E1"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 xml:space="preserve">Foreign exchange risks: </w:t>
      </w:r>
      <w:r w:rsidR="00847BE3" w:rsidRPr="00FE1B0C">
        <w:rPr>
          <w:rFonts w:ascii="Times New Roman" w:hAnsi="Times New Roman" w:cs="Times New Roman"/>
          <w:lang w:val="en-US"/>
        </w:rPr>
        <w:t>Operating in several nations</w:t>
      </w:r>
      <w:r w:rsidR="00144E47" w:rsidRPr="00FE1B0C">
        <w:rPr>
          <w:rFonts w:ascii="Times New Roman" w:hAnsi="Times New Roman" w:cs="Times New Roman"/>
          <w:lang w:val="en-US"/>
        </w:rPr>
        <w:t xml:space="preserve"> exposes Hardware-UK to foreign exchange rate fluctuations. The corporation might require to consider financial instruments such as currency options or forward contracts to protect its investments and also to manage these risks. </w:t>
      </w:r>
    </w:p>
    <w:p w:rsidR="00A607DE" w:rsidRPr="00FE1B0C" w:rsidRDefault="001F7604" w:rsidP="00685BD6">
      <w:pPr>
        <w:pStyle w:val="Heading3"/>
        <w:rPr>
          <w:lang w:val="en-US"/>
        </w:rPr>
      </w:pPr>
      <w:bookmarkStart w:id="15" w:name="_Toc135326468"/>
      <w:r w:rsidRPr="00FE1B0C">
        <w:rPr>
          <w:lang w:val="en-US"/>
        </w:rPr>
        <w:t>Specific examples associated with India relocating</w:t>
      </w:r>
      <w:bookmarkEnd w:id="15"/>
      <w:r w:rsidRPr="00FE1B0C">
        <w:rPr>
          <w:lang w:val="en-US"/>
        </w:rPr>
        <w:t xml:space="preserve"> </w:t>
      </w:r>
    </w:p>
    <w:p w:rsidR="00F555E9"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Strategic:</w:t>
      </w:r>
      <w:r w:rsidR="000F1AB4" w:rsidRPr="00FE1B0C">
        <w:rPr>
          <w:rFonts w:ascii="Times New Roman" w:hAnsi="Times New Roman" w:cs="Times New Roman"/>
          <w:b/>
          <w:i/>
          <w:lang w:val="en-US"/>
        </w:rPr>
        <w:t xml:space="preserve"> </w:t>
      </w:r>
      <w:r w:rsidR="00DB5651" w:rsidRPr="00FE1B0C">
        <w:rPr>
          <w:rFonts w:ascii="Times New Roman" w:hAnsi="Times New Roman" w:cs="Times New Roman"/>
          <w:lang w:val="en-US"/>
        </w:rPr>
        <w:t xml:space="preserve">Hardware-UK might consider the benefit of enhancing infrastructure development in India, influenced by initiatives like enhanced foreign direct investment and 'Make in India". </w:t>
      </w:r>
      <w:r w:rsidR="0090253F" w:rsidRPr="00FE1B0C">
        <w:rPr>
          <w:rFonts w:ascii="Times New Roman" w:hAnsi="Times New Roman" w:cs="Times New Roman"/>
          <w:lang w:val="en-US"/>
        </w:rPr>
        <w:t xml:space="preserve">This offers an opportunity for the corporation to supply high-quality building resources for several construction projects across the nation. </w:t>
      </w:r>
    </w:p>
    <w:p w:rsidR="00F555E9"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Ethical:</w:t>
      </w:r>
      <w:r w:rsidR="006459BE" w:rsidRPr="00FE1B0C">
        <w:rPr>
          <w:rFonts w:ascii="Times New Roman" w:hAnsi="Times New Roman" w:cs="Times New Roman"/>
          <w:b/>
          <w:i/>
          <w:lang w:val="en-US"/>
        </w:rPr>
        <w:t xml:space="preserve"> </w:t>
      </w:r>
      <w:r w:rsidR="00EF0C6C" w:rsidRPr="00FE1B0C">
        <w:rPr>
          <w:rFonts w:ascii="Times New Roman" w:hAnsi="Times New Roman" w:cs="Times New Roman"/>
          <w:lang w:val="en-US"/>
        </w:rPr>
        <w:t xml:space="preserve">Hardware-UK </w:t>
      </w:r>
      <w:r w:rsidR="007841C4" w:rsidRPr="00FE1B0C">
        <w:rPr>
          <w:rFonts w:ascii="Times New Roman" w:hAnsi="Times New Roman" w:cs="Times New Roman"/>
          <w:lang w:val="en-US"/>
        </w:rPr>
        <w:t xml:space="preserve">must enable compliance with labor laws in India, </w:t>
      </w:r>
      <w:r w:rsidR="00F9030B" w:rsidRPr="00FE1B0C">
        <w:rPr>
          <w:rFonts w:ascii="Times New Roman" w:hAnsi="Times New Roman" w:cs="Times New Roman"/>
          <w:lang w:val="en-US"/>
        </w:rPr>
        <w:t xml:space="preserve">like </w:t>
      </w:r>
      <w:r w:rsidR="00E363D8" w:rsidRPr="00FE1B0C">
        <w:rPr>
          <w:rFonts w:ascii="Times New Roman" w:hAnsi="Times New Roman" w:cs="Times New Roman"/>
          <w:lang w:val="en-US"/>
        </w:rPr>
        <w:t>workplace safety hazards, working hour regulations, and minimum wage requirements. By supporting local communities and offering fair employment opportunities, the corporation can demonstrate a positive ethical reputation</w:t>
      </w:r>
      <w:r w:rsidR="00EB5E75" w:rsidRPr="00FE1B0C">
        <w:rPr>
          <w:rFonts w:ascii="Times New Roman" w:hAnsi="Times New Roman" w:cs="Times New Roman"/>
          <w:lang w:val="en-US"/>
        </w:rPr>
        <w:t xml:space="preserve"> </w:t>
      </w:r>
      <w:r w:rsidR="00EB5E75" w:rsidRPr="00FE1B0C">
        <w:rPr>
          <w:rFonts w:ascii="Times New Roman" w:hAnsi="Times New Roman" w:cs="Times New Roman"/>
          <w:lang w:val="en-US"/>
        </w:rPr>
        <w:t>(</w:t>
      </w:r>
      <w:r w:rsidR="00EB5E75" w:rsidRPr="00FE1B0C">
        <w:rPr>
          <w:rFonts w:ascii="Times New Roman" w:hAnsi="Times New Roman" w:cs="Times New Roman"/>
          <w:shd w:val="clear" w:color="auto" w:fill="FFFFFF"/>
        </w:rPr>
        <w:t xml:space="preserve">Schiff </w:t>
      </w:r>
      <w:r w:rsidR="00EB5E75" w:rsidRPr="00FE1B0C">
        <w:rPr>
          <w:rFonts w:ascii="Times New Roman" w:hAnsi="Times New Roman" w:cs="Times New Roman"/>
          <w:i/>
          <w:shd w:val="clear" w:color="auto" w:fill="FFFFFF"/>
        </w:rPr>
        <w:t>et al.</w:t>
      </w:r>
      <w:r w:rsidR="00EB5E75" w:rsidRPr="00FE1B0C">
        <w:rPr>
          <w:rFonts w:ascii="Times New Roman" w:hAnsi="Times New Roman" w:cs="Times New Roman"/>
          <w:shd w:val="clear" w:color="auto" w:fill="FFFFFF"/>
        </w:rPr>
        <w:t xml:space="preserve"> 2020)</w:t>
      </w:r>
      <w:r w:rsidR="00E363D8" w:rsidRPr="00FE1B0C">
        <w:rPr>
          <w:rFonts w:ascii="Times New Roman" w:hAnsi="Times New Roman" w:cs="Times New Roman"/>
          <w:lang w:val="en-US"/>
        </w:rPr>
        <w:t xml:space="preserve">. </w:t>
      </w:r>
    </w:p>
    <w:p w:rsidR="00FA24B7"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lastRenderedPageBreak/>
        <w:t>Regulatory:</w:t>
      </w:r>
      <w:r w:rsidR="00FA3471" w:rsidRPr="00FE1B0C">
        <w:rPr>
          <w:rFonts w:ascii="Times New Roman" w:hAnsi="Times New Roman" w:cs="Times New Roman"/>
          <w:b/>
          <w:i/>
          <w:lang w:val="en-US"/>
        </w:rPr>
        <w:t xml:space="preserve"> </w:t>
      </w:r>
      <w:r w:rsidR="008A2411" w:rsidRPr="00FE1B0C">
        <w:rPr>
          <w:rFonts w:ascii="Times New Roman" w:hAnsi="Times New Roman" w:cs="Times New Roman"/>
          <w:lang w:val="en-US"/>
        </w:rPr>
        <w:t xml:space="preserve">Hardware- UK </w:t>
      </w:r>
      <w:r w:rsidR="007C0CEE" w:rsidRPr="00FE1B0C">
        <w:rPr>
          <w:rFonts w:ascii="Times New Roman" w:hAnsi="Times New Roman" w:cs="Times New Roman"/>
          <w:lang w:val="en-US"/>
        </w:rPr>
        <w:t xml:space="preserve">requires </w:t>
      </w:r>
      <w:r w:rsidR="00A91A3A" w:rsidRPr="00FE1B0C">
        <w:rPr>
          <w:rFonts w:ascii="Times New Roman" w:hAnsi="Times New Roman" w:cs="Times New Roman"/>
          <w:lang w:val="en-US"/>
        </w:rPr>
        <w:t xml:space="preserve">to navigate the regulatory landscape of India </w:t>
      </w:r>
      <w:r w:rsidR="00172C04" w:rsidRPr="00FE1B0C">
        <w:rPr>
          <w:rFonts w:ascii="Times New Roman" w:hAnsi="Times New Roman" w:cs="Times New Roman"/>
          <w:lang w:val="en-US"/>
        </w:rPr>
        <w:t xml:space="preserve">comprising custom duties, foreign investment policies, and tax regulations. </w:t>
      </w:r>
      <w:r w:rsidR="00883B47" w:rsidRPr="00FE1B0C">
        <w:rPr>
          <w:rFonts w:ascii="Times New Roman" w:hAnsi="Times New Roman" w:cs="Times New Roman"/>
          <w:lang w:val="en-US"/>
        </w:rPr>
        <w:t xml:space="preserve">The corporation </w:t>
      </w:r>
      <w:r w:rsidR="00117336" w:rsidRPr="00FE1B0C">
        <w:rPr>
          <w:rFonts w:ascii="Times New Roman" w:hAnsi="Times New Roman" w:cs="Times New Roman"/>
          <w:lang w:val="en-US"/>
        </w:rPr>
        <w:t>must seek legal suggestions to enable compliance and address any potential regulatory challenges</w:t>
      </w:r>
      <w:r w:rsidR="009B43FF" w:rsidRPr="00FE1B0C">
        <w:rPr>
          <w:rFonts w:ascii="Times New Roman" w:hAnsi="Times New Roman" w:cs="Times New Roman"/>
          <w:lang w:val="en-US"/>
        </w:rPr>
        <w:t xml:space="preserve"> </w:t>
      </w:r>
      <w:r w:rsidR="009B43FF" w:rsidRPr="00FE1B0C">
        <w:rPr>
          <w:rFonts w:ascii="Times New Roman" w:hAnsi="Times New Roman" w:cs="Times New Roman"/>
          <w:lang w:val="en-US"/>
        </w:rPr>
        <w:t>(</w:t>
      </w:r>
      <w:r w:rsidR="009B43FF" w:rsidRPr="00FE1B0C">
        <w:rPr>
          <w:rFonts w:ascii="Times New Roman" w:hAnsi="Times New Roman" w:cs="Times New Roman"/>
          <w:shd w:val="clear" w:color="auto" w:fill="FFFFFF"/>
        </w:rPr>
        <w:t>Liang and Renneboog, 2020)</w:t>
      </w:r>
      <w:r w:rsidR="00117336" w:rsidRPr="00FE1B0C">
        <w:rPr>
          <w:rFonts w:ascii="Times New Roman" w:hAnsi="Times New Roman" w:cs="Times New Roman"/>
          <w:lang w:val="en-US"/>
        </w:rPr>
        <w:t xml:space="preserve">. </w:t>
      </w:r>
    </w:p>
    <w:p w:rsidR="00FA24B7"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b/>
          <w:i/>
          <w:lang w:val="en-US"/>
        </w:rPr>
        <w:t xml:space="preserve">Financial: </w:t>
      </w:r>
      <w:r w:rsidR="007243F8" w:rsidRPr="00FE1B0C">
        <w:rPr>
          <w:rFonts w:ascii="Times New Roman" w:hAnsi="Times New Roman" w:cs="Times New Roman"/>
          <w:lang w:val="en-US"/>
        </w:rPr>
        <w:t>The labor cost in India is comparatively less compared to the UK, ensuring Hardware-UK enhances profitability and decreases production expenses</w:t>
      </w:r>
      <w:r w:rsidR="003D2BD0" w:rsidRPr="00FE1B0C">
        <w:rPr>
          <w:rFonts w:ascii="Times New Roman" w:hAnsi="Times New Roman" w:cs="Times New Roman"/>
          <w:lang w:val="en-US"/>
        </w:rPr>
        <w:t xml:space="preserve"> </w:t>
      </w:r>
      <w:r w:rsidR="003D2BD0" w:rsidRPr="00FE1B0C">
        <w:rPr>
          <w:rFonts w:ascii="Times New Roman" w:hAnsi="Times New Roman" w:cs="Times New Roman"/>
          <w:lang w:val="en-US"/>
        </w:rPr>
        <w:t>(</w:t>
      </w:r>
      <w:r w:rsidR="003D2BD0" w:rsidRPr="00FE1B0C">
        <w:rPr>
          <w:rFonts w:ascii="Times New Roman" w:hAnsi="Times New Roman" w:cs="Times New Roman"/>
          <w:shd w:val="clear" w:color="auto" w:fill="FFFFFF"/>
        </w:rPr>
        <w:t xml:space="preserve">Jackson </w:t>
      </w:r>
      <w:r w:rsidR="003D2BD0" w:rsidRPr="00FE1B0C">
        <w:rPr>
          <w:rFonts w:ascii="Times New Roman" w:hAnsi="Times New Roman" w:cs="Times New Roman"/>
          <w:i/>
          <w:shd w:val="clear" w:color="auto" w:fill="FFFFFF"/>
        </w:rPr>
        <w:t>et al</w:t>
      </w:r>
      <w:r w:rsidR="003D2BD0" w:rsidRPr="00FE1B0C">
        <w:rPr>
          <w:rFonts w:ascii="Times New Roman" w:hAnsi="Times New Roman" w:cs="Times New Roman"/>
          <w:shd w:val="clear" w:color="auto" w:fill="FFFFFF"/>
        </w:rPr>
        <w:t>. 2020)</w:t>
      </w:r>
      <w:r w:rsidR="007243F8" w:rsidRPr="00FE1B0C">
        <w:rPr>
          <w:rFonts w:ascii="Times New Roman" w:hAnsi="Times New Roman" w:cs="Times New Roman"/>
          <w:lang w:val="en-US"/>
        </w:rPr>
        <w:t xml:space="preserve">. </w:t>
      </w:r>
      <w:r w:rsidR="00DF4615" w:rsidRPr="00FE1B0C">
        <w:rPr>
          <w:rFonts w:ascii="Times New Roman" w:hAnsi="Times New Roman" w:cs="Times New Roman"/>
          <w:lang w:val="en-US"/>
        </w:rPr>
        <w:t xml:space="preserve">The corporation can also benefit from the nation’s large consumer market as the demand for building materials is assumed to enhance with the increasing infrastructure development and urbanisation. </w:t>
      </w:r>
    </w:p>
    <w:p w:rsidR="00677FC9" w:rsidRPr="00FE1B0C" w:rsidRDefault="001F7604" w:rsidP="00685BD6">
      <w:pPr>
        <w:pStyle w:val="Heading1"/>
        <w:rPr>
          <w:lang w:val="en-US"/>
        </w:rPr>
      </w:pPr>
      <w:bookmarkStart w:id="16" w:name="_Toc135326469"/>
      <w:r w:rsidRPr="00FE1B0C">
        <w:rPr>
          <w:lang w:val="en-US"/>
        </w:rPr>
        <w:t>Conclusion</w:t>
      </w:r>
      <w:bookmarkEnd w:id="16"/>
      <w:r w:rsidR="000F2249" w:rsidRPr="00FE1B0C">
        <w:rPr>
          <w:lang w:val="en-US"/>
        </w:rPr>
        <w:t xml:space="preserve"> </w:t>
      </w:r>
    </w:p>
    <w:p w:rsidR="00A01AF4" w:rsidRPr="00FE1B0C" w:rsidRDefault="001F7604" w:rsidP="00685BD6">
      <w:pPr>
        <w:spacing w:line="360" w:lineRule="auto"/>
        <w:jc w:val="both"/>
        <w:rPr>
          <w:rFonts w:ascii="Times New Roman" w:hAnsi="Times New Roman" w:cs="Times New Roman"/>
          <w:lang w:val="en-US"/>
        </w:rPr>
      </w:pPr>
      <w:r w:rsidRPr="00FE1B0C">
        <w:rPr>
          <w:rFonts w:ascii="Times New Roman" w:hAnsi="Times New Roman" w:cs="Times New Roman"/>
          <w:lang w:val="en-US"/>
        </w:rPr>
        <w:t>Thus, it can be concluded that investing in an overseas manufacturing plant in India poses numerous implications for Hardware-UK Ltd concerning financial, strategic, ethical, and regulatory perspectives. The com</w:t>
      </w:r>
      <w:r w:rsidRPr="00FE1B0C">
        <w:rPr>
          <w:rFonts w:ascii="Times New Roman" w:hAnsi="Times New Roman" w:cs="Times New Roman"/>
          <w:lang w:val="en-US"/>
        </w:rPr>
        <w:t>pany requires to carefully evaluate and mitigate these implications to ensure informed decisions and effectively navigate the overseas investment complexities. Furthermore, relevant planning, risk management, and due diligence can contribute to Hardware-UK</w:t>
      </w:r>
      <w:r w:rsidRPr="00FE1B0C">
        <w:rPr>
          <w:rFonts w:ascii="Times New Roman" w:hAnsi="Times New Roman" w:cs="Times New Roman"/>
          <w:lang w:val="en-US"/>
        </w:rPr>
        <w:t xml:space="preserve">'s success in expanding internationally its operations and hereby sustain its competitiveness in a changing market landscape. </w:t>
      </w:r>
    </w:p>
    <w:p w:rsidR="00685BD6" w:rsidRPr="00FE1B0C" w:rsidRDefault="001F7604">
      <w:pPr>
        <w:rPr>
          <w:rFonts w:ascii="Times New Roman" w:hAnsi="Times New Roman" w:cs="Times New Roman"/>
          <w:b/>
          <w:lang w:val="en-US"/>
        </w:rPr>
      </w:pPr>
      <w:r w:rsidRPr="00FE1B0C">
        <w:rPr>
          <w:rFonts w:ascii="Times New Roman" w:hAnsi="Times New Roman" w:cs="Times New Roman"/>
          <w:b/>
          <w:lang w:val="en-US"/>
        </w:rPr>
        <w:br w:type="page"/>
      </w:r>
    </w:p>
    <w:p w:rsidR="00677FC9" w:rsidRPr="00FE1B0C" w:rsidRDefault="001F7604" w:rsidP="00685BD6">
      <w:pPr>
        <w:pStyle w:val="Heading1"/>
        <w:rPr>
          <w:szCs w:val="22"/>
          <w:lang w:val="en-US"/>
        </w:rPr>
      </w:pPr>
      <w:bookmarkStart w:id="17" w:name="_Toc135326470"/>
      <w:r w:rsidRPr="00FE1B0C">
        <w:rPr>
          <w:lang w:val="en-US"/>
        </w:rPr>
        <w:lastRenderedPageBreak/>
        <w:t>References</w:t>
      </w:r>
      <w:bookmarkEnd w:id="17"/>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Anastasovska, M., </w:t>
      </w:r>
      <w:r w:rsidRPr="00FE1B0C">
        <w:rPr>
          <w:rFonts w:ascii="Times New Roman" w:hAnsi="Times New Roman" w:cs="Times New Roman"/>
          <w:shd w:val="clear" w:color="auto" w:fill="FFFFFF"/>
        </w:rPr>
        <w:t xml:space="preserve">(2022). </w:t>
      </w:r>
      <w:r w:rsidRPr="00FE1B0C">
        <w:rPr>
          <w:rFonts w:ascii="Times New Roman" w:hAnsi="Times New Roman" w:cs="Times New Roman"/>
          <w:shd w:val="clear" w:color="auto" w:fill="FFFFFF"/>
        </w:rPr>
        <w:t>CURRENCY DIVERSIFICATION OF INVESTMENTS: IS IT WORTH IT?.</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Božič, K. and Dimovski, V.,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2019</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Business intelligence and analytics for value creation: The role of absorptive capacity. </w:t>
      </w:r>
      <w:r w:rsidRPr="00FE1B0C">
        <w:rPr>
          <w:rFonts w:ascii="Times New Roman" w:hAnsi="Times New Roman" w:cs="Times New Roman"/>
          <w:i/>
          <w:iCs/>
          <w:shd w:val="clear" w:color="auto" w:fill="FFFFFF"/>
        </w:rPr>
        <w:t>International journal of information management</w:t>
      </w:r>
      <w:r w:rsidRPr="00FE1B0C">
        <w:rPr>
          <w:rFonts w:ascii="Times New Roman" w:hAnsi="Times New Roman" w:cs="Times New Roman"/>
          <w:shd w:val="clear" w:color="auto" w:fill="FFFFFF"/>
        </w:rPr>
        <w:t>, </w:t>
      </w:r>
      <w:r w:rsidRPr="00FE1B0C">
        <w:rPr>
          <w:rFonts w:ascii="Times New Roman" w:hAnsi="Times New Roman" w:cs="Times New Roman"/>
          <w:i/>
          <w:iCs/>
          <w:shd w:val="clear" w:color="auto" w:fill="FFFFFF"/>
        </w:rPr>
        <w:t>46</w:t>
      </w:r>
      <w:r w:rsidRPr="00FE1B0C">
        <w:rPr>
          <w:rFonts w:ascii="Times New Roman" w:hAnsi="Times New Roman" w:cs="Times New Roman"/>
          <w:shd w:val="clear" w:color="auto" w:fill="FFFFFF"/>
        </w:rPr>
        <w:t>, pp.93-103.</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Brotcorne, L., Perboli, G., Rosano, M. and Wei, Q.,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2019</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A managerial analysis of urban parcel delivery: A lean business approach. </w:t>
      </w:r>
      <w:r w:rsidRPr="00FE1B0C">
        <w:rPr>
          <w:rFonts w:ascii="Times New Roman" w:hAnsi="Times New Roman" w:cs="Times New Roman"/>
          <w:i/>
          <w:iCs/>
          <w:shd w:val="clear" w:color="auto" w:fill="FFFFFF"/>
        </w:rPr>
        <w:t>Sustainability</w:t>
      </w:r>
      <w:r w:rsidRPr="00FE1B0C">
        <w:rPr>
          <w:rFonts w:ascii="Times New Roman" w:hAnsi="Times New Roman" w:cs="Times New Roman"/>
          <w:shd w:val="clear" w:color="auto" w:fill="FFFFFF"/>
        </w:rPr>
        <w:t>, </w:t>
      </w:r>
      <w:r w:rsidRPr="00FE1B0C">
        <w:rPr>
          <w:rFonts w:ascii="Times New Roman" w:hAnsi="Times New Roman" w:cs="Times New Roman"/>
          <w:i/>
          <w:iCs/>
          <w:shd w:val="clear" w:color="auto" w:fill="FFFFFF"/>
        </w:rPr>
        <w:t>11</w:t>
      </w:r>
      <w:r w:rsidRPr="00FE1B0C">
        <w:rPr>
          <w:rFonts w:ascii="Times New Roman" w:hAnsi="Times New Roman" w:cs="Times New Roman"/>
          <w:shd w:val="clear" w:color="auto" w:fill="FFFFFF"/>
        </w:rPr>
        <w:t>(12), p.3439.</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Fabeil, N.F., Pazim, K.H. and Langgat, J.,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2020</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The impact of Covid-19 pandemic crisis on micro-enterprises: Entrepreneurs’ perspective on business continuity and recovery strategy. </w:t>
      </w:r>
      <w:r w:rsidRPr="00FE1B0C">
        <w:rPr>
          <w:rFonts w:ascii="Times New Roman" w:hAnsi="Times New Roman" w:cs="Times New Roman"/>
          <w:i/>
          <w:iCs/>
          <w:shd w:val="clear" w:color="auto" w:fill="FFFFFF"/>
        </w:rPr>
        <w:t>Journal of Economics and Business</w:t>
      </w:r>
      <w:r w:rsidRPr="00FE1B0C">
        <w:rPr>
          <w:rFonts w:ascii="Times New Roman" w:hAnsi="Times New Roman" w:cs="Times New Roman"/>
          <w:shd w:val="clear" w:color="auto" w:fill="FFFFFF"/>
        </w:rPr>
        <w:t>, </w:t>
      </w:r>
      <w:r w:rsidRPr="00FE1B0C">
        <w:rPr>
          <w:rFonts w:ascii="Times New Roman" w:hAnsi="Times New Roman" w:cs="Times New Roman"/>
          <w:i/>
          <w:iCs/>
          <w:shd w:val="clear" w:color="auto" w:fill="FFFFFF"/>
        </w:rPr>
        <w:t>3</w:t>
      </w:r>
      <w:r w:rsidRPr="00FE1B0C">
        <w:rPr>
          <w:rFonts w:ascii="Times New Roman" w:hAnsi="Times New Roman" w:cs="Times New Roman"/>
          <w:shd w:val="clear" w:color="auto" w:fill="FFFFFF"/>
        </w:rPr>
        <w:t>(2).</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Jackson, G., Bartosch, J., Avetisyan, E., Kinderman, D. and Knudsen, J.S.,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2020</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Mandatory non-financial disclosure and its influence on CSR: An international comparison. </w:t>
      </w:r>
      <w:r w:rsidRPr="00FE1B0C">
        <w:rPr>
          <w:rFonts w:ascii="Times New Roman" w:hAnsi="Times New Roman" w:cs="Times New Roman"/>
          <w:i/>
          <w:iCs/>
          <w:shd w:val="clear" w:color="auto" w:fill="FFFFFF"/>
        </w:rPr>
        <w:t>Journal of Business Ethics</w:t>
      </w:r>
      <w:r w:rsidRPr="00FE1B0C">
        <w:rPr>
          <w:rFonts w:ascii="Times New Roman" w:hAnsi="Times New Roman" w:cs="Times New Roman"/>
          <w:shd w:val="clear" w:color="auto" w:fill="FFFFFF"/>
        </w:rPr>
        <w:t>, </w:t>
      </w:r>
      <w:r w:rsidRPr="00FE1B0C">
        <w:rPr>
          <w:rFonts w:ascii="Times New Roman" w:hAnsi="Times New Roman" w:cs="Times New Roman"/>
          <w:i/>
          <w:iCs/>
          <w:shd w:val="clear" w:color="auto" w:fill="FFFFFF"/>
        </w:rPr>
        <w:t>162</w:t>
      </w:r>
      <w:r w:rsidRPr="00FE1B0C">
        <w:rPr>
          <w:rFonts w:ascii="Times New Roman" w:hAnsi="Times New Roman" w:cs="Times New Roman"/>
          <w:shd w:val="clear" w:color="auto" w:fill="FFFFFF"/>
        </w:rPr>
        <w:t>, pp.323-342.</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Khan, S.A.S.,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2019</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Portfolio Optimization with International Diversification.</w:t>
      </w:r>
    </w:p>
    <w:p w:rsidR="00632807" w:rsidRPr="00FE1B0C" w:rsidRDefault="00632807" w:rsidP="00CA1C3D">
      <w:pPr>
        <w:spacing w:line="360" w:lineRule="auto"/>
        <w:jc w:val="both"/>
        <w:rPr>
          <w:rFonts w:ascii="Times New Roman" w:hAnsi="Times New Roman" w:cs="Times New Roman"/>
          <w:b/>
          <w:lang w:val="en-US"/>
        </w:rPr>
      </w:pPr>
      <w:r w:rsidRPr="00FE1B0C">
        <w:rPr>
          <w:rFonts w:ascii="Times New Roman" w:hAnsi="Times New Roman" w:cs="Times New Roman"/>
          <w:shd w:val="clear" w:color="auto" w:fill="FFFFFF"/>
        </w:rPr>
        <w:t xml:space="preserve">Liang, H. and Renneboog, L.,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2020</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Corporate social responsibility and sustainable finance: A review of the literature. </w:t>
      </w:r>
      <w:r w:rsidRPr="00FE1B0C">
        <w:rPr>
          <w:rFonts w:ascii="Times New Roman" w:hAnsi="Times New Roman" w:cs="Times New Roman"/>
          <w:i/>
          <w:iCs/>
          <w:shd w:val="clear" w:color="auto" w:fill="FFFFFF"/>
        </w:rPr>
        <w:t>European Corporate Governance Institute–Finance Working Paper</w:t>
      </w:r>
      <w:r w:rsidRPr="00FE1B0C">
        <w:rPr>
          <w:rFonts w:ascii="Times New Roman" w:hAnsi="Times New Roman" w:cs="Times New Roman"/>
          <w:shd w:val="clear" w:color="auto" w:fill="FFFFFF"/>
        </w:rPr>
        <w:t>, (701).</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Liao, G. and Zhang, T.,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2020</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The hedging channel of exchange rate determination. </w:t>
      </w:r>
      <w:r w:rsidRPr="00FE1B0C">
        <w:rPr>
          <w:rFonts w:ascii="Times New Roman" w:hAnsi="Times New Roman" w:cs="Times New Roman"/>
          <w:i/>
          <w:iCs/>
          <w:shd w:val="clear" w:color="auto" w:fill="FFFFFF"/>
        </w:rPr>
        <w:t>International finance discussion paper</w:t>
      </w:r>
      <w:r w:rsidRPr="00FE1B0C">
        <w:rPr>
          <w:rFonts w:ascii="Times New Roman" w:hAnsi="Times New Roman" w:cs="Times New Roman"/>
          <w:shd w:val="clear" w:color="auto" w:fill="FFFFFF"/>
        </w:rPr>
        <w:t>, (1283).</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Lu, J. and Yin, S.,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2021, April</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Application of net present value method and internal rate of return method in investment decision. In </w:t>
      </w:r>
      <w:r w:rsidRPr="00FE1B0C">
        <w:rPr>
          <w:rFonts w:ascii="Times New Roman" w:hAnsi="Times New Roman" w:cs="Times New Roman"/>
          <w:i/>
          <w:iCs/>
          <w:shd w:val="clear" w:color="auto" w:fill="FFFFFF"/>
        </w:rPr>
        <w:t>Proceedings of the 4th International Conference on Global Economy, Finance and Humanities Research, Chongqing, China</w:t>
      </w:r>
      <w:r w:rsidRPr="00FE1B0C">
        <w:rPr>
          <w:rFonts w:ascii="Times New Roman" w:hAnsi="Times New Roman" w:cs="Times New Roman"/>
          <w:shd w:val="clear" w:color="auto" w:fill="FFFFFF"/>
        </w:rPr>
        <w:t> (pp. 10-11).</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Meta, M. and Bajramović, D.,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2021</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The use of interest method in a ranking of alternative investment projects. </w:t>
      </w:r>
      <w:r w:rsidRPr="00FE1B0C">
        <w:rPr>
          <w:rFonts w:ascii="Times New Roman" w:hAnsi="Times New Roman" w:cs="Times New Roman"/>
          <w:i/>
          <w:iCs/>
          <w:shd w:val="clear" w:color="auto" w:fill="FFFFFF"/>
        </w:rPr>
        <w:t>Ekonomski izazovi</w:t>
      </w:r>
      <w:r w:rsidRPr="00FE1B0C">
        <w:rPr>
          <w:rFonts w:ascii="Times New Roman" w:hAnsi="Times New Roman" w:cs="Times New Roman"/>
          <w:shd w:val="clear" w:color="auto" w:fill="FFFFFF"/>
        </w:rPr>
        <w:t>, </w:t>
      </w:r>
      <w:r w:rsidRPr="00FE1B0C">
        <w:rPr>
          <w:rFonts w:ascii="Times New Roman" w:hAnsi="Times New Roman" w:cs="Times New Roman"/>
          <w:i/>
          <w:iCs/>
          <w:shd w:val="clear" w:color="auto" w:fill="FFFFFF"/>
        </w:rPr>
        <w:t>10</w:t>
      </w:r>
      <w:r w:rsidRPr="00FE1B0C">
        <w:rPr>
          <w:rFonts w:ascii="Times New Roman" w:hAnsi="Times New Roman" w:cs="Times New Roman"/>
          <w:shd w:val="clear" w:color="auto" w:fill="FFFFFF"/>
        </w:rPr>
        <w:t>(20), pp.1-16.</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Ouyang1a, Z. and Wan, Y.,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2023</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How do Investors Make Investment Decision by NPV Rule.</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Pflaumer, P., </w:t>
      </w:r>
      <w:r w:rsidRPr="00FE1B0C">
        <w:rPr>
          <w:rFonts w:ascii="Times New Roman" w:hAnsi="Times New Roman" w:cs="Times New Roman"/>
          <w:shd w:val="clear" w:color="auto" w:fill="FFFFFF"/>
        </w:rPr>
        <w:t xml:space="preserve">(2022). </w:t>
      </w:r>
      <w:r w:rsidRPr="00FE1B0C">
        <w:rPr>
          <w:rFonts w:ascii="Times New Roman" w:hAnsi="Times New Roman" w:cs="Times New Roman"/>
          <w:shd w:val="clear" w:color="auto" w:fill="FFFFFF"/>
        </w:rPr>
        <w:t>A Quick and Easy Tool to Assess the Risk of a Capital Investment Project.</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Phillips, S.D. and Johnson, B.,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2021</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Inching to impact: The demand side of social impact investing. </w:t>
      </w:r>
      <w:r w:rsidRPr="00FE1B0C">
        <w:rPr>
          <w:rFonts w:ascii="Times New Roman" w:hAnsi="Times New Roman" w:cs="Times New Roman"/>
          <w:i/>
          <w:iCs/>
          <w:shd w:val="clear" w:color="auto" w:fill="FFFFFF"/>
        </w:rPr>
        <w:t>Journal of Business Ethics</w:t>
      </w:r>
      <w:r w:rsidRPr="00FE1B0C">
        <w:rPr>
          <w:rFonts w:ascii="Times New Roman" w:hAnsi="Times New Roman" w:cs="Times New Roman"/>
          <w:shd w:val="clear" w:color="auto" w:fill="FFFFFF"/>
        </w:rPr>
        <w:t>, </w:t>
      </w:r>
      <w:r w:rsidRPr="00FE1B0C">
        <w:rPr>
          <w:rFonts w:ascii="Times New Roman" w:hAnsi="Times New Roman" w:cs="Times New Roman"/>
          <w:i/>
          <w:iCs/>
          <w:shd w:val="clear" w:color="auto" w:fill="FFFFFF"/>
        </w:rPr>
        <w:t>168</w:t>
      </w:r>
      <w:r w:rsidRPr="00FE1B0C">
        <w:rPr>
          <w:rFonts w:ascii="Times New Roman" w:hAnsi="Times New Roman" w:cs="Times New Roman"/>
          <w:shd w:val="clear" w:color="auto" w:fill="FFFFFF"/>
        </w:rPr>
        <w:t>(3), pp.615-629.</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Ruf, J. and Wang, W.,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2019</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Neural networks for option pricing and hedging: a literature review. </w:t>
      </w:r>
      <w:r w:rsidRPr="00FE1B0C">
        <w:rPr>
          <w:rFonts w:ascii="Times New Roman" w:hAnsi="Times New Roman" w:cs="Times New Roman"/>
          <w:i/>
          <w:iCs/>
          <w:shd w:val="clear" w:color="auto" w:fill="FFFFFF"/>
        </w:rPr>
        <w:t>arXiv preprint arXiv:1911.05620</w:t>
      </w:r>
      <w:r w:rsidRPr="00FE1B0C">
        <w:rPr>
          <w:rFonts w:ascii="Times New Roman" w:hAnsi="Times New Roman" w:cs="Times New Roman"/>
          <w:shd w:val="clear" w:color="auto" w:fill="FFFFFF"/>
        </w:rPr>
        <w:t>.</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lastRenderedPageBreak/>
        <w:t xml:space="preserve">Schiff, D., Biddle, J., Borenstein, J. and Laas, K.,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2020, February</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What's next for ai ethics, policy, and governance? a global overview. In </w:t>
      </w:r>
      <w:r w:rsidRPr="00FE1B0C">
        <w:rPr>
          <w:rFonts w:ascii="Times New Roman" w:hAnsi="Times New Roman" w:cs="Times New Roman"/>
          <w:i/>
          <w:iCs/>
          <w:shd w:val="clear" w:color="auto" w:fill="FFFFFF"/>
        </w:rPr>
        <w:t>Proceedings of the AAAI/ACM Conference on AI, Ethics, and Society</w:t>
      </w:r>
      <w:r w:rsidRPr="00FE1B0C">
        <w:rPr>
          <w:rFonts w:ascii="Times New Roman" w:hAnsi="Times New Roman" w:cs="Times New Roman"/>
          <w:shd w:val="clear" w:color="auto" w:fill="FFFFFF"/>
        </w:rPr>
        <w:t> (pp. 153-158).</w:t>
      </w:r>
    </w:p>
    <w:p w:rsidR="00632807" w:rsidRPr="00FE1B0C" w:rsidRDefault="00632807" w:rsidP="00CA1C3D">
      <w:pPr>
        <w:spacing w:line="360" w:lineRule="auto"/>
        <w:jc w:val="both"/>
        <w:rPr>
          <w:rFonts w:ascii="Times New Roman" w:hAnsi="Times New Roman" w:cs="Times New Roman"/>
          <w:shd w:val="clear" w:color="auto" w:fill="FFFFFF"/>
        </w:rPr>
      </w:pPr>
      <w:r w:rsidRPr="00FE1B0C">
        <w:rPr>
          <w:rFonts w:ascii="Times New Roman" w:hAnsi="Times New Roman" w:cs="Times New Roman"/>
          <w:shd w:val="clear" w:color="auto" w:fill="FFFFFF"/>
        </w:rPr>
        <w:t xml:space="preserve">Wilkes, G., </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2019</w:t>
      </w:r>
      <w:r w:rsidRPr="00FE1B0C">
        <w:rPr>
          <w:rFonts w:ascii="Times New Roman" w:hAnsi="Times New Roman" w:cs="Times New Roman"/>
          <w:shd w:val="clear" w:color="auto" w:fill="FFFFFF"/>
        </w:rPr>
        <w:t>)</w:t>
      </w:r>
      <w:r w:rsidRPr="00FE1B0C">
        <w:rPr>
          <w:rFonts w:ascii="Times New Roman" w:hAnsi="Times New Roman" w:cs="Times New Roman"/>
          <w:shd w:val="clear" w:color="auto" w:fill="FFFFFF"/>
        </w:rPr>
        <w:t>. Bailout for business in a no-deal Brexit.</w:t>
      </w:r>
    </w:p>
    <w:sectPr w:rsidR="00632807" w:rsidRPr="00FE1B0C" w:rsidSect="00685BD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604" w:rsidRDefault="001F7604">
      <w:pPr>
        <w:spacing w:after="0" w:line="240" w:lineRule="auto"/>
      </w:pPr>
      <w:r>
        <w:separator/>
      </w:r>
    </w:p>
  </w:endnote>
  <w:endnote w:type="continuationSeparator" w:id="0">
    <w:p w:rsidR="001F7604" w:rsidRDefault="001F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421"/>
      <w:docPartObj>
        <w:docPartGallery w:val="Page Numbers (Bottom of Page)"/>
        <w:docPartUnique/>
      </w:docPartObj>
    </w:sdtPr>
    <w:sdtEndPr>
      <w:rPr>
        <w:noProof/>
      </w:rPr>
    </w:sdtEndPr>
    <w:sdtContent>
      <w:p w:rsidR="00685BD6" w:rsidRDefault="001F7604">
        <w:pPr>
          <w:pStyle w:val="Footer"/>
          <w:jc w:val="right"/>
        </w:pPr>
        <w:r>
          <w:fldChar w:fldCharType="begin"/>
        </w:r>
        <w:r>
          <w:instrText xml:space="preserve"> PAGE   \* MERGEFORMAT </w:instrText>
        </w:r>
        <w:r>
          <w:fldChar w:fldCharType="separate"/>
        </w:r>
        <w:r w:rsidR="00FE1B0C">
          <w:rPr>
            <w:noProof/>
          </w:rPr>
          <w:t>12</w:t>
        </w:r>
        <w:r>
          <w:rPr>
            <w:noProof/>
          </w:rPr>
          <w:fldChar w:fldCharType="end"/>
        </w:r>
      </w:p>
    </w:sdtContent>
  </w:sdt>
  <w:p w:rsidR="00685BD6" w:rsidRDefault="00685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604" w:rsidRDefault="001F7604">
      <w:pPr>
        <w:spacing w:after="0" w:line="240" w:lineRule="auto"/>
      </w:pPr>
      <w:r>
        <w:separator/>
      </w:r>
    </w:p>
  </w:footnote>
  <w:footnote w:type="continuationSeparator" w:id="0">
    <w:p w:rsidR="001F7604" w:rsidRDefault="001F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543F7"/>
    <w:multiLevelType w:val="multilevel"/>
    <w:tmpl w:val="258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B6646"/>
    <w:multiLevelType w:val="multilevel"/>
    <w:tmpl w:val="A19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D79C4"/>
    <w:multiLevelType w:val="multilevel"/>
    <w:tmpl w:val="52C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3A09B1"/>
    <w:multiLevelType w:val="multilevel"/>
    <w:tmpl w:val="DCE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30"/>
    <w:rsid w:val="00006E37"/>
    <w:rsid w:val="0001635E"/>
    <w:rsid w:val="00057F47"/>
    <w:rsid w:val="00061F22"/>
    <w:rsid w:val="00064F7A"/>
    <w:rsid w:val="000978AB"/>
    <w:rsid w:val="000B116D"/>
    <w:rsid w:val="000B4D1F"/>
    <w:rsid w:val="000B510E"/>
    <w:rsid w:val="000B7EBB"/>
    <w:rsid w:val="000D47A0"/>
    <w:rsid w:val="000D623A"/>
    <w:rsid w:val="000E363B"/>
    <w:rsid w:val="000E5A85"/>
    <w:rsid w:val="000F1AB4"/>
    <w:rsid w:val="000F2249"/>
    <w:rsid w:val="00117336"/>
    <w:rsid w:val="00123AD0"/>
    <w:rsid w:val="00144E47"/>
    <w:rsid w:val="00151DCD"/>
    <w:rsid w:val="00161E06"/>
    <w:rsid w:val="001648EA"/>
    <w:rsid w:val="00172C04"/>
    <w:rsid w:val="00187DA4"/>
    <w:rsid w:val="001A2641"/>
    <w:rsid w:val="001A49ED"/>
    <w:rsid w:val="001D6D79"/>
    <w:rsid w:val="001F3F2C"/>
    <w:rsid w:val="001F7604"/>
    <w:rsid w:val="00200AD7"/>
    <w:rsid w:val="002163FD"/>
    <w:rsid w:val="00237CF2"/>
    <w:rsid w:val="0024775A"/>
    <w:rsid w:val="00282B4C"/>
    <w:rsid w:val="00283D1E"/>
    <w:rsid w:val="002967E8"/>
    <w:rsid w:val="002A2FA9"/>
    <w:rsid w:val="002C1BBE"/>
    <w:rsid w:val="002E15B6"/>
    <w:rsid w:val="002F01F5"/>
    <w:rsid w:val="002F21F5"/>
    <w:rsid w:val="002F4CA0"/>
    <w:rsid w:val="00315EEF"/>
    <w:rsid w:val="00333249"/>
    <w:rsid w:val="0033610B"/>
    <w:rsid w:val="003440D3"/>
    <w:rsid w:val="00356068"/>
    <w:rsid w:val="00356C53"/>
    <w:rsid w:val="00373BEA"/>
    <w:rsid w:val="00383E83"/>
    <w:rsid w:val="003844E1"/>
    <w:rsid w:val="00387605"/>
    <w:rsid w:val="00393656"/>
    <w:rsid w:val="003A14CC"/>
    <w:rsid w:val="003B3EBD"/>
    <w:rsid w:val="003C228E"/>
    <w:rsid w:val="003D0C45"/>
    <w:rsid w:val="003D2BD0"/>
    <w:rsid w:val="003F48D5"/>
    <w:rsid w:val="004106CD"/>
    <w:rsid w:val="00426F56"/>
    <w:rsid w:val="00470B06"/>
    <w:rsid w:val="00475B84"/>
    <w:rsid w:val="004773E0"/>
    <w:rsid w:val="0048664F"/>
    <w:rsid w:val="004901E6"/>
    <w:rsid w:val="004B190C"/>
    <w:rsid w:val="004F0226"/>
    <w:rsid w:val="004F0416"/>
    <w:rsid w:val="004F0748"/>
    <w:rsid w:val="004F2450"/>
    <w:rsid w:val="00512A6D"/>
    <w:rsid w:val="00514777"/>
    <w:rsid w:val="005303AB"/>
    <w:rsid w:val="0056420C"/>
    <w:rsid w:val="00565489"/>
    <w:rsid w:val="00572070"/>
    <w:rsid w:val="005721AE"/>
    <w:rsid w:val="00593BCC"/>
    <w:rsid w:val="005A4C38"/>
    <w:rsid w:val="005A6636"/>
    <w:rsid w:val="005B2799"/>
    <w:rsid w:val="005B33E6"/>
    <w:rsid w:val="005C012E"/>
    <w:rsid w:val="005C2637"/>
    <w:rsid w:val="006119EF"/>
    <w:rsid w:val="00617239"/>
    <w:rsid w:val="00617808"/>
    <w:rsid w:val="0063239B"/>
    <w:rsid w:val="00632807"/>
    <w:rsid w:val="006459BE"/>
    <w:rsid w:val="006459D5"/>
    <w:rsid w:val="0067045A"/>
    <w:rsid w:val="006753E7"/>
    <w:rsid w:val="00677FC9"/>
    <w:rsid w:val="0068403C"/>
    <w:rsid w:val="00685BD6"/>
    <w:rsid w:val="006A22E9"/>
    <w:rsid w:val="006A6AC2"/>
    <w:rsid w:val="006B6863"/>
    <w:rsid w:val="006B6D20"/>
    <w:rsid w:val="006D152F"/>
    <w:rsid w:val="006D552A"/>
    <w:rsid w:val="006F14ED"/>
    <w:rsid w:val="007243F8"/>
    <w:rsid w:val="00744447"/>
    <w:rsid w:val="00745E40"/>
    <w:rsid w:val="007478BD"/>
    <w:rsid w:val="007505E1"/>
    <w:rsid w:val="00762C6C"/>
    <w:rsid w:val="007841C4"/>
    <w:rsid w:val="007A09A9"/>
    <w:rsid w:val="007A659C"/>
    <w:rsid w:val="007B2FE5"/>
    <w:rsid w:val="007C0CEE"/>
    <w:rsid w:val="007C481E"/>
    <w:rsid w:val="007E7B22"/>
    <w:rsid w:val="00803C5F"/>
    <w:rsid w:val="00811E72"/>
    <w:rsid w:val="00812910"/>
    <w:rsid w:val="0081591B"/>
    <w:rsid w:val="00830BFF"/>
    <w:rsid w:val="0084557E"/>
    <w:rsid w:val="00846E35"/>
    <w:rsid w:val="00847BE3"/>
    <w:rsid w:val="0085192E"/>
    <w:rsid w:val="00871830"/>
    <w:rsid w:val="00883B47"/>
    <w:rsid w:val="00885C12"/>
    <w:rsid w:val="008A2411"/>
    <w:rsid w:val="008A4744"/>
    <w:rsid w:val="008B03E8"/>
    <w:rsid w:val="008E57B5"/>
    <w:rsid w:val="008F4178"/>
    <w:rsid w:val="00901965"/>
    <w:rsid w:val="0090253F"/>
    <w:rsid w:val="009277C7"/>
    <w:rsid w:val="00971EA7"/>
    <w:rsid w:val="009950C6"/>
    <w:rsid w:val="009A3B91"/>
    <w:rsid w:val="009B1319"/>
    <w:rsid w:val="009B43FF"/>
    <w:rsid w:val="009E12FF"/>
    <w:rsid w:val="009E332A"/>
    <w:rsid w:val="009E5BEE"/>
    <w:rsid w:val="009F4C75"/>
    <w:rsid w:val="00A01AF4"/>
    <w:rsid w:val="00A15DF8"/>
    <w:rsid w:val="00A354E0"/>
    <w:rsid w:val="00A432E5"/>
    <w:rsid w:val="00A50594"/>
    <w:rsid w:val="00A607DE"/>
    <w:rsid w:val="00A67FCD"/>
    <w:rsid w:val="00A91A3A"/>
    <w:rsid w:val="00A95C2E"/>
    <w:rsid w:val="00AA0493"/>
    <w:rsid w:val="00AA7F4C"/>
    <w:rsid w:val="00AB374E"/>
    <w:rsid w:val="00AB3797"/>
    <w:rsid w:val="00AB3D43"/>
    <w:rsid w:val="00AC4457"/>
    <w:rsid w:val="00AD0D48"/>
    <w:rsid w:val="00AD56CD"/>
    <w:rsid w:val="00B12274"/>
    <w:rsid w:val="00B17245"/>
    <w:rsid w:val="00B20663"/>
    <w:rsid w:val="00B44121"/>
    <w:rsid w:val="00B5266A"/>
    <w:rsid w:val="00B5702D"/>
    <w:rsid w:val="00B74CAE"/>
    <w:rsid w:val="00B86925"/>
    <w:rsid w:val="00BE1FA6"/>
    <w:rsid w:val="00BE3FE8"/>
    <w:rsid w:val="00BF75DB"/>
    <w:rsid w:val="00C015A5"/>
    <w:rsid w:val="00C27CD3"/>
    <w:rsid w:val="00C55995"/>
    <w:rsid w:val="00C625C7"/>
    <w:rsid w:val="00C62C0C"/>
    <w:rsid w:val="00C92585"/>
    <w:rsid w:val="00CA1C3D"/>
    <w:rsid w:val="00CA4291"/>
    <w:rsid w:val="00CB084E"/>
    <w:rsid w:val="00CB29C0"/>
    <w:rsid w:val="00CC374A"/>
    <w:rsid w:val="00CD5A28"/>
    <w:rsid w:val="00CD661D"/>
    <w:rsid w:val="00D11EDE"/>
    <w:rsid w:val="00D13174"/>
    <w:rsid w:val="00D2612C"/>
    <w:rsid w:val="00D3540F"/>
    <w:rsid w:val="00D424B9"/>
    <w:rsid w:val="00D52A91"/>
    <w:rsid w:val="00D56C45"/>
    <w:rsid w:val="00D6195B"/>
    <w:rsid w:val="00D7064D"/>
    <w:rsid w:val="00D83771"/>
    <w:rsid w:val="00D95503"/>
    <w:rsid w:val="00DA50E7"/>
    <w:rsid w:val="00DA7546"/>
    <w:rsid w:val="00DB3A74"/>
    <w:rsid w:val="00DB54F2"/>
    <w:rsid w:val="00DB5651"/>
    <w:rsid w:val="00DC5716"/>
    <w:rsid w:val="00DD0FBC"/>
    <w:rsid w:val="00DE2C06"/>
    <w:rsid w:val="00DF1A78"/>
    <w:rsid w:val="00DF4615"/>
    <w:rsid w:val="00DF7505"/>
    <w:rsid w:val="00E06D8F"/>
    <w:rsid w:val="00E16D1A"/>
    <w:rsid w:val="00E17DF7"/>
    <w:rsid w:val="00E24CC7"/>
    <w:rsid w:val="00E363D8"/>
    <w:rsid w:val="00E46A58"/>
    <w:rsid w:val="00E72AD8"/>
    <w:rsid w:val="00E776F0"/>
    <w:rsid w:val="00E90F26"/>
    <w:rsid w:val="00EA6E11"/>
    <w:rsid w:val="00EB5E75"/>
    <w:rsid w:val="00EC6904"/>
    <w:rsid w:val="00ED0ABA"/>
    <w:rsid w:val="00ED1930"/>
    <w:rsid w:val="00EE36EE"/>
    <w:rsid w:val="00EE3EC9"/>
    <w:rsid w:val="00EF0C6C"/>
    <w:rsid w:val="00F36442"/>
    <w:rsid w:val="00F37F19"/>
    <w:rsid w:val="00F555E9"/>
    <w:rsid w:val="00F772EF"/>
    <w:rsid w:val="00F81C76"/>
    <w:rsid w:val="00F9030B"/>
    <w:rsid w:val="00F96AA7"/>
    <w:rsid w:val="00FA24B7"/>
    <w:rsid w:val="00FA24C8"/>
    <w:rsid w:val="00FA3471"/>
    <w:rsid w:val="00FA5F8C"/>
    <w:rsid w:val="00FB2067"/>
    <w:rsid w:val="00FC1E96"/>
    <w:rsid w:val="00FC4CE0"/>
    <w:rsid w:val="00FD6961"/>
    <w:rsid w:val="00FE188B"/>
    <w:rsid w:val="00FE1B0C"/>
    <w:rsid w:val="00FE5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FE099-1572-474F-9A14-AE4A09E5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BD6"/>
    <w:pPr>
      <w:keepNext/>
      <w:keepLines/>
      <w:spacing w:before="240" w:after="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85BD6"/>
    <w:pPr>
      <w:keepNext/>
      <w:keepLines/>
      <w:spacing w:before="40" w:after="0"/>
      <w:jc w:val="both"/>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85BD6"/>
    <w:pPr>
      <w:keepNext/>
      <w:keepLines/>
      <w:spacing w:before="40" w:after="0"/>
      <w:jc w:val="both"/>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2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85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BD6"/>
  </w:style>
  <w:style w:type="paragraph" w:styleId="Footer">
    <w:name w:val="footer"/>
    <w:basedOn w:val="Normal"/>
    <w:link w:val="FooterChar"/>
    <w:uiPriority w:val="99"/>
    <w:unhideWhenUsed/>
    <w:rsid w:val="00685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BD6"/>
  </w:style>
  <w:style w:type="character" w:customStyle="1" w:styleId="Heading1Char">
    <w:name w:val="Heading 1 Char"/>
    <w:basedOn w:val="DefaultParagraphFont"/>
    <w:link w:val="Heading1"/>
    <w:uiPriority w:val="9"/>
    <w:rsid w:val="00685BD6"/>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685BD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85BD6"/>
    <w:rPr>
      <w:rFonts w:ascii="Times New Roman" w:eastAsiaTheme="majorEastAsia" w:hAnsi="Times New Roman" w:cstheme="majorBidi"/>
      <w:b/>
      <w:szCs w:val="24"/>
    </w:rPr>
  </w:style>
  <w:style w:type="paragraph" w:styleId="TOCHeading">
    <w:name w:val="TOC Heading"/>
    <w:basedOn w:val="Heading1"/>
    <w:next w:val="Normal"/>
    <w:uiPriority w:val="39"/>
    <w:unhideWhenUsed/>
    <w:qFormat/>
    <w:rsid w:val="00FE1B0C"/>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E1B0C"/>
    <w:pPr>
      <w:spacing w:after="100"/>
    </w:pPr>
  </w:style>
  <w:style w:type="paragraph" w:styleId="TOC2">
    <w:name w:val="toc 2"/>
    <w:basedOn w:val="Normal"/>
    <w:next w:val="Normal"/>
    <w:autoRedefine/>
    <w:uiPriority w:val="39"/>
    <w:unhideWhenUsed/>
    <w:rsid w:val="00FE1B0C"/>
    <w:pPr>
      <w:spacing w:after="100"/>
      <w:ind w:left="220"/>
    </w:pPr>
  </w:style>
  <w:style w:type="paragraph" w:styleId="TOC3">
    <w:name w:val="toc 3"/>
    <w:basedOn w:val="Normal"/>
    <w:next w:val="Normal"/>
    <w:autoRedefine/>
    <w:uiPriority w:val="39"/>
    <w:unhideWhenUsed/>
    <w:rsid w:val="00FE1B0C"/>
    <w:pPr>
      <w:spacing w:after="100"/>
      <w:ind w:left="440"/>
    </w:pPr>
  </w:style>
  <w:style w:type="character" w:styleId="Hyperlink">
    <w:name w:val="Hyperlink"/>
    <w:basedOn w:val="DefaultParagraphFont"/>
    <w:uiPriority w:val="99"/>
    <w:unhideWhenUsed/>
    <w:rsid w:val="00FE1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24AF-3252-4F73-8DF3-B9ED459B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2023-05-18T12:52:00Z</dcterms:created>
  <dcterms:modified xsi:type="dcterms:W3CDTF">2023-05-18T12:52:00Z</dcterms:modified>
</cp:coreProperties>
</file>