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color w:val="0E1420"/>
          <w:sz w:val="44"/>
          <w:rFonts w:ascii="Georgia" w:hAnsi="Georgia"/>
        </w:rPr>
        <w:t xml:space="preserve">ACME ROBOTICS</w:t>
      </w:r>
    </w:p>
    <w:p>
      <w:pPr>
        <w:spacing w:after="60"/>
      </w:pPr>
      <w:r>
        <w:rPr>
          <w:color w:val="3B4A63"/>
          <w:sz w:val="22"/>
        </w:rPr>
        <w:t xml:space="preserve">Competitor Analysis &amp; SEO Audit — Sample Report</w:t>
      </w:r>
    </w:p>
    <w:p>
      <w:pPr>
        <w:spacing w:after="320"/>
      </w:pPr>
      <w:r>
        <w:rPr>
          <w:i/>
          <w:color w:val="6B7590"/>
          <w:sz w:val="18"/>
        </w:rPr>
        <w:t xml:space="preserve">Generated by AI Business Analyzer &amp; Content Generator  ·  acme-robotics.com  ·  Opportunity score 82/100</w:t>
      </w:r>
    </w:p>
    <w:p>
      <w:pPr>
        <w:spacing w:after="120" w:before="260"/>
      </w:pPr>
      <w:r>
        <w:rPr>
          <w:b/>
          <w:color w:val="0E7C86"/>
          <w:sz w:val="26"/>
        </w:rPr>
        <w:t xml:space="preserve">EXECUTIVE SUMMARY</w:t>
      </w:r>
    </w:p>
    <w:p>
      <w:pPr>
        <w:spacing w:after="160"/>
      </w:pPr>
      <w:r>
        <w:rPr>
          <w:sz w:val="20"/>
        </w:rPr>
        <w:t xml:space="preserve">Acme Robotics ranks well for its brand name but is nearly invisible for the commercial, buying-intent searches its competitors own — pricing, comparison, and “how much does it cost” queries. The site is technically sound but slow (4.8s homepage LCP vs. a 2.1s competitor average), which is quietly suppressing both rankings and conversion rate. The seven fixes below would close most of the visible gap within a single quarter, at low-to-medium engineering effort.</w:t>
      </w:r>
    </w:p>
    <w:p>
      <w:pPr>
        <w:spacing w:after="120" w:before="260"/>
      </w:pPr>
      <w:r>
        <w:rPr>
          <w:b/>
          <w:color w:val="0E7C86"/>
          <w:sz w:val="26"/>
        </w:rPr>
        <w:t xml:space="preserve">COMPETITOR SNAPSHOT</w:t>
      </w:r>
    </w:p>
    <w:tbl>
      <w:tblPr>
        <w:tblW w:w="0" w:type="auto"/>
        <w:tblBorders>
          <w:top w:val="single" w:sz="4" w:color="B9C2D0"/>
          <w:left w:val="single" w:sz="4" w:color="B9C2D0"/>
          <w:bottom w:val="single" w:sz="4" w:color="B9C2D0"/>
          <w:right w:val="single" w:sz="4" w:color="B9C2D0"/>
          <w:insideH w:val="single" w:sz="4" w:color="B9C2D0"/>
          <w:insideV w:val="single" w:sz="4" w:color="B9C2D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2200"/>
        <w:gridCol w:w="2200"/>
        <w:gridCol w:w="2200"/>
      </w:tblGrid>
      <w:tr>
        <w:tc>
          <w:tcPr>
            <w:tcW w:w="3200" w:type="dxa"/>
            <w:shd w:val="clear" w:color="auto" w:fill="1F2A3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Metric</w:t>
            </w:r>
          </w:p>
        </w:tc>
        <w:tc>
          <w:tcPr>
            <w:tcW w:w="2200" w:type="dxa"/>
            <w:shd w:val="clear" w:color="auto" w:fill="1F2A3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Acme Robotics</w:t>
            </w:r>
          </w:p>
        </w:tc>
        <w:tc>
          <w:tcPr>
            <w:tcW w:w="2200" w:type="dxa"/>
            <w:shd w:val="clear" w:color="auto" w:fill="1F2A3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RoboWorks Inc.</w:t>
            </w:r>
          </w:p>
        </w:tc>
        <w:tc>
          <w:tcPr>
            <w:tcW w:w="2200" w:type="dxa"/>
            <w:shd w:val="clear" w:color="auto" w:fill="1F2A3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Vantage Automation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Domain authority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31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44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38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Est. monthly organic traffic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2,900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11,400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7,200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Homepage LCP (speed)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4.8s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2.0s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2.3s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Referring domains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86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310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205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Blog cadence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~1 / quarter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~2 / week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~1 / week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Dedicated pricing page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Yes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Yes</w:t>
            </w:r>
          </w:p>
        </w:tc>
      </w:tr>
    </w:tbl>
    <w:p>
      <w:pPr>
        <w:spacing w:after="200"/>
      </w:pPr>
    </w:p>
    <w:p>
      <w:pPr>
        <w:spacing w:after="120" w:before="260"/>
      </w:pPr>
      <w:r>
        <w:rPr>
          <w:b/>
          <w:color w:val="0E7C86"/>
          <w:sz w:val="26"/>
        </w:rPr>
        <w:t xml:space="preserve">SEO AUDIT FINDINGS</w:t>
      </w:r>
    </w:p>
    <w:p>
      <w:pPr>
        <w:numPr>
          <w:ilvl w:val="0"/>
          <w:numId w:val="1"/>
        </w:numPr>
        <w:spacing w:after="80"/>
      </w:pPr>
      <w:r>
        <w:t xml:space="preserve">Missing meta descriptions on 12 product pages</w:t>
      </w:r>
    </w:p>
    <w:p>
      <w:pPr>
        <w:numPr>
          <w:ilvl w:val="0"/>
          <w:numId w:val="1"/>
        </w:numPr>
        <w:spacing w:after="80"/>
      </w:pPr>
      <w:r>
        <w:t xml:space="preserve">Homepage LCP is 4.8s — competitor average is 2.1s</w:t>
      </w:r>
    </w:p>
    <w:p>
      <w:pPr>
        <w:numPr>
          <w:ilvl w:val="0"/>
          <w:numId w:val="1"/>
        </w:numPr>
        <w:spacing w:after="80"/>
      </w:pPr>
      <w:r>
        <w:t xml:space="preserve">No Product/Review schema markup, so no star ratings in search results</w:t>
      </w:r>
    </w:p>
    <w:p>
      <w:pPr>
        <w:numPr>
          <w:ilvl w:val="0"/>
          <w:numId w:val="1"/>
        </w:numPr>
        <w:spacing w:after="80"/>
      </w:pPr>
      <w:r>
        <w:t xml:space="preserve">5 category pages have thin content (under 150 words)</w:t>
      </w:r>
    </w:p>
    <w:p>
      <w:pPr>
        <w:numPr>
          <w:ilvl w:val="0"/>
          <w:numId w:val="1"/>
        </w:numPr>
        <w:spacing w:after="80"/>
      </w:pPr>
      <w:r>
        <w:t xml:space="preserve">8 broken internal links found during the crawl</w:t>
      </w:r>
    </w:p>
    <w:p>
      <w:pPr>
        <w:numPr>
          <w:ilvl w:val="0"/>
          <w:numId w:val="1"/>
        </w:numPr>
        <w:spacing w:after="80"/>
      </w:pPr>
      <w:r>
        <w:t xml:space="preserve">No pricing/quote page — losing every “cost” and “pricing” search</w:t>
      </w:r>
    </w:p>
    <w:p>
      <w:pPr>
        <w:numPr>
          <w:ilvl w:val="0"/>
          <w:numId w:val="1"/>
        </w:numPr>
        <w:spacing w:after="80"/>
      </w:pPr>
      <w:r>
        <w:t xml:space="preserve">Mobile nav has tap-target spacing flagged by Lighthouse</w:t>
      </w:r>
    </w:p>
    <w:p>
      <w:pPr>
        <w:spacing w:after="160"/>
      </w:pPr>
      <w:r>
        <w:t xml:space="preserve"/>
      </w:r>
    </w:p>
    <w:p>
      <w:pPr>
        <w:spacing w:after="120" w:before="260"/>
      </w:pPr>
      <w:r>
        <w:rPr>
          <w:b/>
          <w:color w:val="0E7C86"/>
          <w:sz w:val="26"/>
        </w:rPr>
        <w:t xml:space="preserve">KEYWORD GAPS — COMPETITORS RANK, ACME DOESN'T</w:t>
      </w:r>
    </w:p>
    <w:tbl>
      <w:tblPr>
        <w:tblW w:w="0" w:type="auto"/>
        <w:tblBorders>
          <w:top w:val="single" w:sz="4" w:color="B9C2D0"/>
          <w:left w:val="single" w:sz="4" w:color="B9C2D0"/>
          <w:bottom w:val="single" w:sz="4" w:color="B9C2D0"/>
          <w:right w:val="single" w:sz="4" w:color="B9C2D0"/>
          <w:insideH w:val="single" w:sz="4" w:color="B9C2D0"/>
          <w:insideV w:val="single" w:sz="4" w:color="B9C2D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00"/>
        <w:gridCol w:w="2400"/>
        <w:gridCol w:w="3000"/>
      </w:tblGrid>
      <w:tr>
        <w:tc>
          <w:tcPr>
            <w:tcW w:w="4200" w:type="dxa"/>
            <w:shd w:val="clear" w:color="auto" w:fill="1F2A3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Keyword</w:t>
            </w:r>
          </w:p>
        </w:tc>
        <w:tc>
          <w:tcPr>
            <w:tcW w:w="2400" w:type="dxa"/>
            <w:shd w:val="clear" w:color="auto" w:fill="1F2A3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Monthly volume</w:t>
            </w:r>
          </w:p>
        </w:tc>
        <w:tc>
          <w:tcPr>
            <w:tcW w:w="3000" w:type="dxa"/>
            <w:shd w:val="clear" w:color="auto" w:fill="1F2A3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Ranking competitor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collaborative robot arm cost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880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RoboWorks Inc. (#3)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robotic palletizing system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520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Vantage Automation (#5)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industrial automation roi calculator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310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RoboWorks Inc. (#7)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robot arm safety certification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260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sz w:val="19"/>
              </w:rPr>
              <w:t xml:space="preserve">Vantage Automation (#4)</w:t>
            </w:r>
          </w:p>
        </w:tc>
      </w:tr>
    </w:tbl>
    <w:p>
      <w:pPr>
        <w:spacing w:after="200"/>
      </w:pPr>
    </w:p>
    <w:p>
      <w:pPr>
        <w:spacing w:after="120" w:before="260"/>
      </w:pPr>
      <w:r>
        <w:rPr>
          <w:b/>
          <w:color w:val="0E7C86"/>
          <w:sz w:val="26"/>
        </w:rPr>
        <w:t xml:space="preserve">RECOMMENDED ACTIONS</w:t>
      </w:r>
    </w:p>
    <w:p>
      <w:pPr>
        <w:numPr>
          <w:ilvl w:val="0"/>
          <w:numId w:val="2"/>
        </w:numPr>
        <w:spacing w:after="100"/>
      </w:pPr>
      <w:r>
        <w:t xml:space="preserve">High impact / low effort — Fix homepage speed: compress the hero video, lazy-load below-the-fold sections</w:t>
      </w:r>
    </w:p>
    <w:p>
      <w:pPr>
        <w:numPr>
          <w:ilvl w:val="0"/>
          <w:numId w:val="2"/>
        </w:numPr>
        <w:spacing w:after="100"/>
      </w:pPr>
      <w:r>
        <w:t xml:space="preserve">High impact / medium effort — Publish a pricing/quote page targeting “cost” and “pricing” keywords</w:t>
      </w:r>
    </w:p>
    <w:p>
      <w:pPr>
        <w:numPr>
          <w:ilvl w:val="0"/>
          <w:numId w:val="2"/>
        </w:numPr>
        <w:spacing w:after="100"/>
      </w:pPr>
      <w:r>
        <w:t xml:space="preserve">Medium impact / low effort — Add meta descriptions and Product/Review schema across product pages</w:t>
      </w:r>
    </w:p>
    <w:p>
      <w:pPr>
        <w:numPr>
          <w:ilvl w:val="0"/>
          <w:numId w:val="2"/>
        </w:numPr>
        <w:spacing w:after="100"/>
      </w:pPr>
      <w:r>
        <w:t xml:space="preserve">Medium impact / medium effort — Publish 4 buyer-guide articles closing the keyword gaps above</w:t>
      </w:r>
    </w:p>
    <w:p>
      <w:pPr>
        <w:numPr>
          <w:ilvl w:val="0"/>
          <w:numId w:val="2"/>
        </w:numPr>
        <w:spacing w:after="100"/>
      </w:pPr>
      <w:r>
        <w:t xml:space="preserve">Low impact / low effort — Fix the 8 broken internal links surfaced by the crawl</w:t>
      </w:r>
    </w:p>
    <w:p>
      <w:pPr>
        <w:spacing w:after="160"/>
      </w:pPr>
      <w:r>
        <w:t xml:space="preserve"/>
      </w:r>
    </w:p>
    <w:p>
      <w:pPr>
        <w:spacing w:after="120" w:before="260"/>
      </w:pPr>
      <w:r>
        <w:rPr>
          <w:b/>
          <w:color w:val="0E7C86"/>
          <w:sz w:val="26"/>
        </w:rPr>
        <w:t xml:space="preserve">MARKETING KIT — SAMPLE AD COPY</w:t>
      </w:r>
    </w:p>
    <w:p>
      <w:pPr>
        <w:spacing w:after="80"/>
      </w:pPr>
      <w:r>
        <w:rPr>
          <w:b/>
          <w:sz w:val="20"/>
        </w:rPr>
        <w:t xml:space="preserve">Headline A — Industrial Robot Arms, Built for Your Line</w:t>
      </w:r>
    </w:p>
    <w:p>
      <w:pPr>
        <w:spacing w:after="80"/>
      </w:pPr>
      <w:r>
        <w:rPr>
          <w:b/>
          <w:sz w:val="20"/>
        </w:rPr>
        <w:t xml:space="preserve">Headline B — Get a Robotics Quote in 24 Hours</w:t>
      </w:r>
    </w:p>
    <w:p>
      <w:pPr>
        <w:spacing w:after="120"/>
      </w:pPr>
      <w:r>
        <w:rPr>
          <w:b/>
          <w:sz w:val="20"/>
        </w:rPr>
        <w:t xml:space="preserve">Headline C — Automation ROI Calculator — See Your Payback Period</w:t>
      </w:r>
    </w:p>
    <w:p>
      <w:pPr>
        <w:spacing w:after="160"/>
      </w:pPr>
      <w:r>
        <w:rPr>
          <w:color w:val="3B4A63"/>
          <w:sz w:val="20"/>
        </w:rPr>
        <w:t xml:space="preserve">Description: Custom collaborative robot arms with certified safety compliance and same-week engineering support. Compare pricing against your current manual line.</w:t>
      </w:r>
    </w:p>
    <w:p>
      <w:pPr>
        <w:spacing w:after="160" w:before="400"/>
      </w:pPr>
      <w:r>
        <w:rPr>
          <w:i/>
          <w:color w:val="8891A6"/>
          <w:sz w:val="16"/>
        </w:rPr>
        <w:t xml:space="preserve">Sample deliverable — company names and figures are illustrative to demonstrate report structure, not real client data.</w:t>
      </w:r>
    </w:p>
    <w:sectPr>
      <w:pgSz w:w="12240" w:h="15840"/>
      <w:pgMar w:top="1300" w:right="1300" w:bottom="1300" w:left="130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360" w:hanging="360"/>
      </w:pPr>
      <w:rPr>
        <w:rFonts w:ascii="Arial" w:hAnsi="Arial"/>
        <w:color w:val="F5A623"/>
      </w:rPr>
    </w:lvl>
  </w:abstractNum>
  <w:abstractNum w:abstractNumId="2">
    <w:lvl w:ilvl="0">
      <w:start w:val="1"/>
      <w:numFmt w:val="decimal"/>
      <w:lvlText w:val="%1."/>
      <w:pPr>
        <w:ind w:left="420" w:hanging="42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color w:val="1A2233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AI Business Analyzer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Acme Robotics — Competitor Analysis &amp; SEO Audit (Sample Report)</dc:title>
  <dc:creator>AI Business Analyzer</dc:creator>
  <dcterms:created xsi:type="dcterms:W3CDTF">2026-07-06T00:00:00Z</dcterms:created>
  <dcterms:modified xsi:type="dcterms:W3CDTF">2026-07-06T00:00:00Z</dcterms:modified>
</cp:coreProperties>
</file>