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CGG 1 B - Mesquita</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Solteiro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6465</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01/03/2026</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R CGG 58 B</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01/01/1955</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d9d7f915-07df-4794-8768-a75957056638"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74c903c3-05c1-494e-a9cb-04920c60ee26"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7b5acbeb-b47a-4ba6-86bd-1ad6c7d0fa22"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