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3D - JJM - Maria Alexandra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45646243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Évora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fração JJM 3D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27/02/1970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fração JJM 3D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1231313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fração JJM 3D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643123</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979879</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4</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7189dd4-bb0b-4a60-a51e-082bcb5a1797"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5e235fe1-f5f3-43f6-a9ad-8bc3a3951131"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d3fc0df-84df-4ab1-9f0d-e6f31014ad3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