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i w:val="0"/>
          <w:color w:val="0D7C78"/>
          <w:sz w:val="20"/>
        </w:rPr>
        <w:t>SCHOOL MANAGEMENT SYSTEM QUOTATION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8"/>
        </w:rPr>
        <w:t>Lahan School Digital Management System</w:t>
      </w:r>
    </w:p>
    <w:p>
      <w:pPr>
        <w:spacing w:after="240"/>
      </w:pPr>
      <w:r>
        <w:rPr>
          <w:rFonts w:ascii="Calibri" w:hAnsi="Calibri"/>
          <w:b w:val="0"/>
          <w:i w:val="0"/>
          <w:color w:val="66717C"/>
          <w:sz w:val="24"/>
        </w:rPr>
        <w:t>Student management, library management and billing with scalable user capacity, RFID identification and SMS integration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Prepared for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Lahan School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Prepared by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Wake and Tech Nepal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Quotation no.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WTN-QTN-2026-0819-02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0D7C78"/>
                <w:sz w:val="19"/>
              </w:rPr>
              <w:t>Date / Valid until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19 August 2026  /  03 September 2026</w:t>
            </w:r>
          </w:p>
        </w:tc>
      </w:tr>
    </w:tbl>
    <w:p>
      <w:pPr>
        <w:pStyle w:val="Heading1"/>
      </w:pPr>
      <w:r>
        <w:t>Commercial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260"/>
        <w:gridCol w:w="2175"/>
        <w:gridCol w:w="2175"/>
      </w:tblGrid>
      <w:tr>
        <w:trPr>
          <w:tblHeader w:val="true"/>
        </w:trPr>
        <w:tc>
          <w:tcPr>
            <w:tcW w:type="dxa" w:w="17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Licensed capacity</w:t>
            </w:r>
          </w:p>
        </w:tc>
        <w:tc>
          <w:tcPr>
            <w:tcW w:type="dxa" w:w="326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Included systems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One-time implementation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Annual AMS + hosting</w:t>
            </w:r>
          </w:p>
        </w:tc>
      </w:tr>
      <w:tr>
        <w:tc>
          <w:tcPr>
            <w:tcW w:type="dxa" w:w="17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Up to 500 users</w:t>
            </w:r>
          </w:p>
        </w:tc>
        <w:tc>
          <w:tcPr>
            <w:tcW w:type="dxa" w:w="326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Student, library and billing management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300,000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50,000 / year</w:t>
            </w:r>
          </w:p>
        </w:tc>
      </w:tr>
      <w:tr>
        <w:tc>
          <w:tcPr>
            <w:tcW w:type="dxa" w:w="17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Up to 1,000 users</w:t>
            </w:r>
          </w:p>
        </w:tc>
        <w:tc>
          <w:tcPr>
            <w:tcW w:type="dxa" w:w="326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Student, library and billing management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400,000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55,000 / year</w:t>
            </w:r>
          </w:p>
        </w:tc>
      </w:tr>
      <w:tr>
        <w:tc>
          <w:tcPr>
            <w:tcW w:type="dxa" w:w="17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Up to 2,000 users</w:t>
            </w:r>
          </w:p>
        </w:tc>
        <w:tc>
          <w:tcPr>
            <w:tcW w:type="dxa" w:w="326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Student, library and billing management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500,000</w:t>
            </w:r>
          </w:p>
        </w:tc>
        <w:tc>
          <w:tcPr>
            <w:tcW w:type="dxa" w:w="2175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60,000 / year</w:t>
            </w:r>
          </w:p>
        </w:tc>
      </w:tr>
    </w:tbl>
    <w:p>
      <w:pPr>
        <w:pStyle w:val="QuoteNote"/>
      </w:pPr>
      <w:r>
        <w:rPr>
          <w:rFonts w:ascii="Calibri" w:hAnsi="Calibri"/>
          <w:b w:val="0"/>
          <w:i/>
          <w:color w:val="66717C"/>
          <w:sz w:val="18"/>
        </w:rPr>
        <w:t>Prices are in Nepalese Rupees (NPR). Applicable taxes, if any, will be added as required by law. Capacity refers to active student and staff accounts combined.</w:t>
      </w:r>
    </w:p>
    <w:p>
      <w:pPr>
        <w:pStyle w:val="Heading1"/>
      </w:pPr>
      <w:r>
        <w:t>Included functional scope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Student management: admissions and profiles, class/section records, guardian details, enrollment status and standard student reporting.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Library management: book catalogue, member records, issue/return tracking, due dates, availability and basic circulation reports.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Billing and fee management: fee structures, student invoices, payment entry, outstanding balances, receipts and standard collection reports.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User roles and access controls for authorized school administrators and staff within the selected licensed capacity.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Initial configuration, deployment support and transition to annual application management services after go-live.</w:t>
      </w:r>
    </w:p>
    <w:p>
      <w:r>
        <w:br w:type="page"/>
      </w:r>
    </w:p>
    <w:p>
      <w:pPr>
        <w:pStyle w:val="Heading1"/>
      </w:pPr>
      <w:r>
        <w:t>Usage-based add-ons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700"/>
        <w:gridCol w:w="2250"/>
        <w:gridCol w:w="2710"/>
      </w:tblGrid>
      <w:tr>
        <w:trPr>
          <w:tblHeader w:val="true"/>
        </w:trPr>
        <w:tc>
          <w:tcPr>
            <w:tcW w:type="dxa" w:w="2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Add-on</w:t>
            </w:r>
          </w:p>
        </w:tc>
        <w:tc>
          <w:tcPr>
            <w:tcW w:type="dxa" w:w="1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Unit rate</w:t>
            </w:r>
          </w:p>
        </w:tc>
        <w:tc>
          <w:tcPr>
            <w:tcW w:type="dxa" w:w="22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Illustrative quantity</w:t>
            </w:r>
          </w:p>
        </w:tc>
        <w:tc>
          <w:tcPr>
            <w:tcW w:type="dxa" w:w="271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Illustrative total</w:t>
            </w:r>
          </w:p>
        </w:tc>
      </w:tr>
      <w:tr>
        <w:tc>
          <w:tcPr>
            <w:tcW w:type="dxa" w:w="2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RFID ID card - normal quality</w:t>
            </w:r>
          </w:p>
        </w:tc>
        <w:tc>
          <w:tcPr>
            <w:tcW w:type="dxa" w:w="1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120 / card</w:t>
            </w:r>
          </w:p>
        </w:tc>
        <w:tc>
          <w:tcPr>
            <w:tcW w:type="dxa" w:w="22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500 / 1,000 / 2,000 cards</w:t>
            </w:r>
          </w:p>
        </w:tc>
        <w:tc>
          <w:tcPr>
            <w:tcW w:type="dxa" w:w="271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NPR 60,000 / 120,000 / 240,000</w:t>
            </w:r>
          </w:p>
        </w:tc>
      </w:tr>
      <w:tr>
        <w:tc>
          <w:tcPr>
            <w:tcW w:type="dxa" w:w="2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RFID ID card - better quality</w:t>
            </w:r>
          </w:p>
        </w:tc>
        <w:tc>
          <w:tcPr>
            <w:tcW w:type="dxa" w:w="1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150 / card</w:t>
            </w:r>
          </w:p>
        </w:tc>
        <w:tc>
          <w:tcPr>
            <w:tcW w:type="dxa" w:w="22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500 / 1,000 / 2,000 cards</w:t>
            </w:r>
          </w:p>
        </w:tc>
        <w:tc>
          <w:tcPr>
            <w:tcW w:type="dxa" w:w="271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shd w:fill="EAF6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NPR 75,000 / 150,000 / 300,000</w:t>
            </w:r>
          </w:p>
        </w:tc>
      </w:tr>
      <w:tr>
        <w:tc>
          <w:tcPr>
            <w:tcW w:type="dxa" w:w="2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SMS integration usage</w:t>
            </w:r>
          </w:p>
        </w:tc>
        <w:tc>
          <w:tcPr>
            <w:tcW w:type="dxa" w:w="170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NPR 0.50 / SMS</w:t>
            </w:r>
          </w:p>
        </w:tc>
        <w:tc>
          <w:tcPr>
            <w:tcW w:type="dxa" w:w="225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Actual messages sent</w:t>
            </w:r>
          </w:p>
        </w:tc>
        <w:tc>
          <w:tcPr>
            <w:tcW w:type="dxa" w:w="2710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color="CAD3DC"/>
              <w:start w:val="single" w:sz="6" w:color="CAD3DC"/>
              <w:bottom w:val="single" w:sz="6" w:color="CAD3DC"/>
              <w:end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Quantity × NPR 0.50</w:t>
            </w:r>
          </w:p>
        </w:tc>
      </w:tr>
    </w:tbl>
    <w:p>
      <w:pPr>
        <w:pStyle w:val="QuoteNote"/>
      </w:pPr>
      <w:r>
        <w:rPr>
          <w:rFonts w:ascii="Calibri" w:hAnsi="Calibri"/>
          <w:b w:val="0"/>
          <w:i/>
          <w:color w:val="66717C"/>
          <w:sz w:val="18"/>
        </w:rPr>
        <w:t>RFID card totals are illustrations only; billing is based on the actual approved quantity. Replacement and reprint cards are charged at the same applicable unit rate. SMS charges are usage-based.</w:t>
      </w:r>
    </w:p>
    <w:p>
      <w:pPr>
        <w:pStyle w:val="Heading1"/>
      </w:pPr>
      <w:r>
        <w:t>Annual AMS and hosting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3"/>
          <w:sz w:val="21"/>
        </w:rPr>
        <w:t>The annual Application Management Service (AMS) fee is billed yearly from the service commencement date agreed at go-live. It includes: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Managed hosting for the agreed school management system and production environment.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Routine monitoring, application management, issue investigation, bug fixes and corrective maintenance for the agreed features.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Reasonable deployment support for maintenance releases within the agreed scope.</w:t>
      </w:r>
    </w:p>
    <w:p>
      <w:pPr>
        <w:pStyle w:val="Heading1"/>
      </w:pPr>
      <w:r>
        <w:t>Commercial assumptions and exclusions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The detailed workflow, reports, user roles, data fields and acceptance criteria will be confirmed in a signed scope or work order before implementation.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Data migration, custom integrations, accounting integrations, payment gateways, biometric/RFID readers, printers and other hardware are excluded unless specifically quoted.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SMS delivery is subject to supported telecom routes and provider availability; the stated rate applies per successfully submitted SMS and may be revised if the upstream provider changes its tariff.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New modules, major workflow changes or functionality beyond the agreed scope will be estimated and quoted separately.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F2933"/>
          <w:sz w:val="21"/>
        </w:rPr>
        <w:t>The platform source code and reusable intellectual property remain the property of Wake and Tech Nepal; the school receives the right to use the configured service during the active service term.</w:t>
      </w:r>
    </w:p>
    <w:p>
      <w:r>
        <w:br w:type="page"/>
      </w:r>
    </w:p>
    <w:p>
      <w:pPr>
        <w:pStyle w:val="Heading1"/>
      </w:pPr>
      <w:r>
        <w:t>Commercial terms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Quotation validity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15 days, through 03 September 2026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Capacity selection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Lahan School may select the 500-, 1,000- or 2,000-user tier.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Payment schedule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To be agreed in the signed work order or service agreement.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Implementation timeline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To be finalized after scope confirmation and receipt of required school data and approvals.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Acceptance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Deliverables will be accepted against mutually agreed scope and acceptance criteria.</w:t>
            </w:r>
          </w:p>
        </w:tc>
      </w:tr>
      <w:tr>
        <w:tc>
          <w:tcPr>
            <w:tcW w:type="dxa" w:w="250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shd w:fill="EEF3F7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Annual renewal</w:t>
            </w:r>
          </w:p>
        </w:tc>
        <w:tc>
          <w:tcPr>
            <w:tcW w:type="dxa" w:w="6860"/>
            <w:tcMar>
              <w:top w:w="85" w:type="dxa"/>
              <w:start w:w="120" w:type="dxa"/>
              <w:bottom w:w="85" w:type="dxa"/>
              <w:end w:w="120" w:type="dxa"/>
            </w:tcMar>
            <w:tcBorders>
              <w:bottom w:val="single" w:sz="6" w:color="CAD3DC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AMS and hosting renew annually at the selected tier rate, subject to mutually agreed scope or third-party cost changes.</w:t>
            </w:r>
          </w:p>
        </w:tc>
      </w:tr>
    </w:tbl>
    <w:p>
      <w:pPr>
        <w:pStyle w:val="Heading1"/>
      </w:pPr>
      <w:r>
        <w:t>Acceptance</w:t>
      </w:r>
    </w:p>
    <w:p>
      <w:pPr>
        <w:spacing w:before="0" w:after="160" w:line="264" w:lineRule="auto"/>
      </w:pPr>
      <w:r>
        <w:rPr>
          <w:rFonts w:ascii="Calibri" w:hAnsi="Calibri"/>
          <w:b w:val="0"/>
          <w:i w:val="0"/>
          <w:color w:val="1F2933"/>
          <w:sz w:val="21"/>
        </w:rPr>
        <w:t>This quotation becomes binding only when incorporated into a mutually signed work order or service agreement. Mark the selected capacity below.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AF6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D7C78"/>
              <w:start w:val="single" w:sz="8" w:color="0D7C78"/>
              <w:bottom w:val="single" w:sz="8" w:color="0D7C78"/>
              <w:end w:val="single" w:sz="8" w:color="0D7C78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☐  Up to 500 users</w:t>
            </w:r>
          </w:p>
        </w:tc>
        <w:tc>
          <w:tcPr>
            <w:tcW w:type="dxa" w:w="3120"/>
            <w:shd w:fill="EAF6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D7C78"/>
              <w:start w:val="single" w:sz="8" w:color="0D7C78"/>
              <w:bottom w:val="single" w:sz="8" w:color="0D7C78"/>
              <w:end w:val="single" w:sz="8" w:color="0D7C78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☐  Up to 1,000 users</w:t>
            </w:r>
          </w:p>
        </w:tc>
        <w:tc>
          <w:tcPr>
            <w:tcW w:type="dxa" w:w="3120"/>
            <w:shd w:fill="EAF6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8" w:color="0D7C78"/>
              <w:start w:val="single" w:sz="8" w:color="0D7C78"/>
              <w:bottom w:val="single" w:sz="8" w:color="0D7C78"/>
              <w:end w:val="single" w:sz="8" w:color="0D7C78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17324D"/>
                <w:sz w:val="18"/>
              </w:rPr>
              <w:t>☐  Up to 2,000 users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 Lahan School</w:t>
            </w:r>
          </w:p>
        </w:tc>
        <w:tc>
          <w:tcPr>
            <w:tcW w:type="dxa" w:w="4680"/>
            <w:tcMar>
              <w:top w:w="95" w:type="dxa"/>
              <w:start w:w="120" w:type="dxa"/>
              <w:bottom w:w="95" w:type="dxa"/>
              <w:end w:w="120" w:type="dxa"/>
            </w:tcMar>
            <w:shd w:fill="17324D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 Wake and Tech Nepal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Authorized signature: ____________________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Authorized signature: ____________________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Name / title: ___________________________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Name / title: ___________________________</w:t>
            </w:r>
          </w:p>
        </w:tc>
      </w:tr>
      <w:tr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Date: __________________________________</w:t>
            </w:r>
          </w:p>
        </w:tc>
        <w:tc>
          <w:tcPr>
            <w:tcW w:type="dxa" w:w="468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Date: 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b w:val="0"/>
        <w:i w:val="0"/>
        <w:color w:val="66717C"/>
        <w:sz w:val="17"/>
      </w:rPr>
      <w:t xml:space="preserve">Wake and Tech Nepal  •  Confidential  •  Page </w:t>
    </w:r>
    <w:r>
      <w:rPr>
        <w:rFonts w:ascii="Calibri" w:hAnsi="Calibri"/>
        <w:b w:val="0"/>
        <w:i w:val="0"/>
        <w:color w:val="66717C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17C"/>
        <w:sz w:val="17"/>
      </w:rPr>
      <w:t>WAKE AND TECH NEPAL  |  COMMERCIAL QUOTATION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D7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Note">
    <w:name w:val="Quote Note"/>
    <w:pPr>
      <w:spacing w:before="80" w:after="80"/>
    </w:pPr>
    <w:rPr>
      <w:rFonts w:ascii="Calibri" w:hAnsi="Calibri"/>
      <w:color w:val="66717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- Lahan School Digital Management System</dc:title>
  <dc:subject>Student, library and billing management system quotation</dc:subject>
  <dc:creator>Wake and Tech Nepal</dc:creator>
  <cp:keywords>Lahan School, student management, library management, billing, RFID, SMS</cp:keywords>
  <dc:description>Prepared for Lahan School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