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i w:val="0"/>
          <w:color w:val="0D7C78"/>
          <w:sz w:val="20"/>
        </w:rPr>
        <w:t>MERO ATTENDANCE APP CUSTOMIZATION QUOTATION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48"/>
        </w:rPr>
        <w:t>Lahan School Mero Attendance App</w:t>
      </w:r>
    </w:p>
    <w:p>
      <w:pPr>
        <w:spacing w:after="240"/>
      </w:pPr>
      <w:r>
        <w:rPr>
          <w:rFonts w:ascii="Calibri" w:hAnsi="Calibri"/>
          <w:b w:val="0"/>
          <w:i w:val="0"/>
          <w:color w:val="66717C"/>
          <w:sz w:val="24"/>
        </w:rPr>
        <w:t>Customization of Mero Attendance into a Lahan School-branded iOS, Android and web app with student, library and billing management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D7C78"/>
                <w:sz w:val="19"/>
              </w:rPr>
              <w:t>Prepared for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Lahan School</w:t>
            </w:r>
          </w:p>
        </w:tc>
      </w:tr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D7C78"/>
                <w:sz w:val="19"/>
              </w:rPr>
              <w:t>Prepared by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Wake and Tech Nepal</w:t>
            </w:r>
          </w:p>
        </w:tc>
      </w:tr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D7C78"/>
                <w:sz w:val="19"/>
              </w:rPr>
              <w:t>Quotation no.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WTN-QTN-2026-0819-02</w:t>
            </w:r>
          </w:p>
        </w:tc>
      </w:tr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D7C78"/>
                <w:sz w:val="19"/>
              </w:rPr>
              <w:t>Date / Valid until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19 August 2026  /  03 September 2026</w:t>
            </w:r>
          </w:p>
        </w:tc>
      </w:tr>
    </w:tbl>
    <w:p>
      <w:pPr>
        <w:pStyle w:val="Heading1"/>
      </w:pPr>
      <w:r>
        <w:t>Commercial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260"/>
        <w:gridCol w:w="2175"/>
        <w:gridCol w:w="2175"/>
      </w:tblGrid>
      <w:tr>
        <w:trPr>
          <w:tblHeader w:val="true"/>
        </w:trPr>
        <w:tc>
          <w:tcPr>
            <w:tcW w:type="dxa" w:w="17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Licensed capacity</w:t>
            </w:r>
          </w:p>
        </w:tc>
        <w:tc>
          <w:tcPr>
            <w:tcW w:type="dxa" w:w="326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Included systems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One-time implementation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Annual AMS + hosting</w:t>
            </w:r>
          </w:p>
        </w:tc>
      </w:tr>
      <w:tr>
        <w:tc>
          <w:tcPr>
            <w:tcW w:type="dxa" w:w="17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Up to 500 users</w:t>
            </w:r>
          </w:p>
        </w:tc>
        <w:tc>
          <w:tcPr>
            <w:tcW w:type="dxa" w:w="326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Customized Mero Attendance app with student, library and billing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300,000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50,000 / year</w:t>
            </w:r>
          </w:p>
        </w:tc>
      </w:tr>
      <w:tr>
        <w:tc>
          <w:tcPr>
            <w:tcW w:type="dxa" w:w="17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Up to 1,000 users</w:t>
            </w:r>
          </w:p>
        </w:tc>
        <w:tc>
          <w:tcPr>
            <w:tcW w:type="dxa" w:w="326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Customized Mero Attendance app with student, library and billing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400,000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55,000 / year</w:t>
            </w:r>
          </w:p>
        </w:tc>
      </w:tr>
      <w:tr>
        <w:tc>
          <w:tcPr>
            <w:tcW w:type="dxa" w:w="17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Up to 2,000 users</w:t>
            </w:r>
          </w:p>
        </w:tc>
        <w:tc>
          <w:tcPr>
            <w:tcW w:type="dxa" w:w="326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Customized Mero Attendance app with student, library and billing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500,000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60,000 / year</w:t>
            </w:r>
          </w:p>
        </w:tc>
      </w:tr>
    </w:tbl>
    <w:p>
      <w:pPr>
        <w:pStyle w:val="QuoteNote"/>
      </w:pPr>
      <w:r>
        <w:rPr>
          <w:rFonts w:ascii="Calibri" w:hAnsi="Calibri"/>
          <w:b w:val="0"/>
          <w:i/>
          <w:color w:val="66717C"/>
          <w:sz w:val="18"/>
        </w:rPr>
        <w:t>Prices are in Nepalese Rupees (NPR). Applicable taxes, if any, will be added as required by law. Capacity refers to active student and staff accounts combined.</w:t>
      </w:r>
    </w:p>
    <w:p>
      <w:pPr>
        <w:pStyle w:val="Heading1"/>
      </w:pPr>
      <w:r>
        <w:t>Mero Attendance customization scope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A dedicated Lahan School-branded mobile application for iOS and Android, customized from the agreed Mero Attendance feature set.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A dedicated web application accessible at lahan.meroattendance.com.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Student management: admissions and profiles, class/section records, guardian details, enrollment status and standard student reporting.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Library management: book catalogue, member records, issue/return tracking, due dates, availability and basic circulation reports.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Billing and fee management: fee structures, student invoices, payment entry, outstanding balances, receipts and standard collection reports.</w:t>
      </w:r>
    </w:p>
    <w:p>
      <w:r>
        <w:br w:type="page"/>
      </w:r>
    </w:p>
    <w:p>
      <w:pPr>
        <w:pStyle w:val="Heading1"/>
      </w:pPr>
      <w:r>
        <w:t>Usage-based add-ons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700"/>
        <w:gridCol w:w="2250"/>
        <w:gridCol w:w="2710"/>
      </w:tblGrid>
      <w:tr>
        <w:trPr>
          <w:tblHeader w:val="true"/>
        </w:trPr>
        <w:tc>
          <w:tcPr>
            <w:tcW w:type="dxa" w:w="2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Add-on</w:t>
            </w:r>
          </w:p>
        </w:tc>
        <w:tc>
          <w:tcPr>
            <w:tcW w:type="dxa" w:w="1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Unit rate</w:t>
            </w:r>
          </w:p>
        </w:tc>
        <w:tc>
          <w:tcPr>
            <w:tcW w:type="dxa" w:w="22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Illustrative quantity</w:t>
            </w:r>
          </w:p>
        </w:tc>
        <w:tc>
          <w:tcPr>
            <w:tcW w:type="dxa" w:w="271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Illustrative total</w:t>
            </w:r>
          </w:p>
        </w:tc>
      </w:tr>
      <w:tr>
        <w:tc>
          <w:tcPr>
            <w:tcW w:type="dxa" w:w="2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RFID ID card - normal quality</w:t>
            </w:r>
          </w:p>
        </w:tc>
        <w:tc>
          <w:tcPr>
            <w:tcW w:type="dxa" w:w="1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120 / card</w:t>
            </w:r>
          </w:p>
        </w:tc>
        <w:tc>
          <w:tcPr>
            <w:tcW w:type="dxa" w:w="22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500 / 1,000 / 2,000 cards</w:t>
            </w:r>
          </w:p>
        </w:tc>
        <w:tc>
          <w:tcPr>
            <w:tcW w:type="dxa" w:w="271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NPR 60,000 / 120,000 / 240,000</w:t>
            </w:r>
          </w:p>
        </w:tc>
      </w:tr>
      <w:tr>
        <w:tc>
          <w:tcPr>
            <w:tcW w:type="dxa" w:w="2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RFID ID card - better quality</w:t>
            </w:r>
          </w:p>
        </w:tc>
        <w:tc>
          <w:tcPr>
            <w:tcW w:type="dxa" w:w="1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150 / card</w:t>
            </w:r>
          </w:p>
        </w:tc>
        <w:tc>
          <w:tcPr>
            <w:tcW w:type="dxa" w:w="22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500 / 1,000 / 2,000 cards</w:t>
            </w:r>
          </w:p>
        </w:tc>
        <w:tc>
          <w:tcPr>
            <w:tcW w:type="dxa" w:w="271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NPR 75,000 / 150,000 / 300,000</w:t>
            </w:r>
          </w:p>
        </w:tc>
      </w:tr>
      <w:tr>
        <w:tc>
          <w:tcPr>
            <w:tcW w:type="dxa" w:w="2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SMS integration usage</w:t>
            </w:r>
          </w:p>
        </w:tc>
        <w:tc>
          <w:tcPr>
            <w:tcW w:type="dxa" w:w="1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0.50 / SMS</w:t>
            </w:r>
          </w:p>
        </w:tc>
        <w:tc>
          <w:tcPr>
            <w:tcW w:type="dxa" w:w="22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Actual messages sent</w:t>
            </w:r>
          </w:p>
        </w:tc>
        <w:tc>
          <w:tcPr>
            <w:tcW w:type="dxa" w:w="271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Quantity × NPR 0.50</w:t>
            </w:r>
          </w:p>
        </w:tc>
      </w:tr>
    </w:tbl>
    <w:p>
      <w:pPr>
        <w:pStyle w:val="QuoteNote"/>
      </w:pPr>
      <w:r>
        <w:rPr>
          <w:rFonts w:ascii="Calibri" w:hAnsi="Calibri"/>
          <w:b w:val="0"/>
          <w:i/>
          <w:color w:val="66717C"/>
          <w:sz w:val="18"/>
        </w:rPr>
        <w:t>RFID card totals are illustrations only; billing is based on the actual approved quantity. Replacement and reprint cards are charged at the same applicable unit rate. SMS charges are usage-based.</w:t>
      </w:r>
    </w:p>
    <w:p>
      <w:pPr>
        <w:pStyle w:val="Heading1"/>
      </w:pPr>
      <w:r>
        <w:t>Annual AMS and hosting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1"/>
        </w:rPr>
        <w:t>The annual Application Management Service (AMS) fee is billed yearly from the service commencement date agreed at go-live. It includes: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Managed hosting for the Lahan School web app and the supporting Mero Attendance production environment.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Application management, routine monitoring, issue investigation, bug fixes and corrective maintenance for the agreed features.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Reasonable deployment support for maintenance releases affecting the agreed Mero Attendance customization scope.</w:t>
      </w:r>
    </w:p>
    <w:p>
      <w:pPr>
        <w:pStyle w:val="Heading1"/>
      </w:pPr>
      <w:r>
        <w:t>Platform ownership and commercial assumptions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Lahan School will receive and use its own branded application with the Mero Attendance features and school-management modules mutually agreed in the signed scope.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The application source code, underlying Mero Attendance platform, reusable components and associated intellectual property remain the exclusive property of Wake and Tech Nepal; no source-code transfer is included.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New modules, major workflow changes, data migration, custom integrations, payment gateways, biometric/RFID readers, printers and other hardware are excluded unless specifically quoted.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SMS delivery is subject to supported telecom routes and provider availability; the stated rate applies per successfully submitted SMS and may be revised if the upstream provider changes its tariff.</w:t>
      </w:r>
    </w:p>
    <w:p>
      <w:r>
        <w:br w:type="page"/>
      </w:r>
    </w:p>
    <w:p>
      <w:pPr>
        <w:pStyle w:val="Heading1"/>
      </w:pPr>
      <w:r>
        <w:t>Commercial terms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Quotation validity</w:t>
            </w:r>
          </w:p>
        </w:tc>
        <w:tc>
          <w:tcPr>
            <w:tcW w:type="dxa" w:w="686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15 days, through 03 September 2026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Capacity selection</w:t>
            </w:r>
          </w:p>
        </w:tc>
        <w:tc>
          <w:tcPr>
            <w:tcW w:type="dxa" w:w="686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Lahan School may select the 500-, 1,000- or 2,000-user tier.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Payment schedule</w:t>
            </w:r>
          </w:p>
        </w:tc>
        <w:tc>
          <w:tcPr>
            <w:tcW w:type="dxa" w:w="686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To be agreed in the signed work order or service agreement.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Implementation timeline</w:t>
            </w:r>
          </w:p>
        </w:tc>
        <w:tc>
          <w:tcPr>
            <w:tcW w:type="dxa" w:w="686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To be finalized after scope confirmation and receipt of required school data and approvals.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Acceptance</w:t>
            </w:r>
          </w:p>
        </w:tc>
        <w:tc>
          <w:tcPr>
            <w:tcW w:type="dxa" w:w="686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Deliverables will be accepted against mutually agreed scope and acceptance criteria.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Annual renewal</w:t>
            </w:r>
          </w:p>
        </w:tc>
        <w:tc>
          <w:tcPr>
            <w:tcW w:type="dxa" w:w="686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AMS and hosting renew annually at the selected tier rate, subject to mutually agreed scope or third-party cost changes.</w:t>
            </w:r>
          </w:p>
        </w:tc>
      </w:tr>
    </w:tbl>
    <w:p>
      <w:pPr>
        <w:pStyle w:val="Heading1"/>
      </w:pPr>
      <w:r>
        <w:t>Acceptance</w:t>
      </w: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color w:val="1F2933"/>
          <w:sz w:val="21"/>
        </w:rPr>
        <w:t>This quotation becomes binding only when incorporated into a mutually signed work order or service agreement. Mark the selected capacity below.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AF6F5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D7C78"/>
              <w:start w:val="single" w:sz="8" w:color="0D7C78"/>
              <w:bottom w:val="single" w:sz="8" w:color="0D7C78"/>
              <w:end w:val="single" w:sz="8" w:color="0D7C78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☐  Up to 500 users</w:t>
            </w:r>
          </w:p>
        </w:tc>
        <w:tc>
          <w:tcPr>
            <w:tcW w:type="dxa" w:w="3120"/>
            <w:shd w:fill="EAF6F5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D7C78"/>
              <w:start w:val="single" w:sz="8" w:color="0D7C78"/>
              <w:bottom w:val="single" w:sz="8" w:color="0D7C78"/>
              <w:end w:val="single" w:sz="8" w:color="0D7C78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☐  Up to 1,000 users</w:t>
            </w:r>
          </w:p>
        </w:tc>
        <w:tc>
          <w:tcPr>
            <w:tcW w:type="dxa" w:w="3120"/>
            <w:shd w:fill="EAF6F5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D7C78"/>
              <w:start w:val="single" w:sz="8" w:color="0D7C78"/>
              <w:bottom w:val="single" w:sz="8" w:color="0D7C78"/>
              <w:end w:val="single" w:sz="8" w:color="0D7C78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☐  Up to 2,000 users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 Lahan School</w:t>
            </w:r>
          </w:p>
        </w:tc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 Wake and Tech Nepal</w:t>
            </w:r>
          </w:p>
        </w:tc>
      </w:tr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Authorized signature: ____________________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Authorized signature: ____________________</w:t>
            </w:r>
          </w:p>
        </w:tc>
      </w:tr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Name / title: ___________________________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Name / title: ___________________________</w:t>
            </w:r>
          </w:p>
        </w:tc>
      </w:tr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Date: __________________________________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Date: 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66717C"/>
        <w:sz w:val="17"/>
      </w:rPr>
      <w:t xml:space="preserve">Wake and Tech Nepal  •  Confidential  •  Page </w:t>
    </w:r>
    <w:r>
      <w:rPr>
        <w:rFonts w:ascii="Calibri" w:hAnsi="Calibri"/>
        <w:b w:val="0"/>
        <w:i w:val="0"/>
        <w:color w:val="66717C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17C"/>
        <w:sz w:val="17"/>
      </w:rPr>
      <w:t>WAKE AND TECH NEPAL  |  COMMERCIAL QUOTATION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D7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Note">
    <w:name w:val="Quote Note"/>
    <w:pPr>
      <w:spacing w:before="80" w:after="80"/>
    </w:pPr>
    <w:rPr>
      <w:rFonts w:ascii="Calibri" w:hAnsi="Calibri"/>
      <w:color w:val="66717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 - Lahan School Mero Attendance App</dc:title>
  <dc:subject>Customization of Mero Attendance for Lahan School with student, library and billing management</dc:subject>
  <dc:creator>Wake and Tech Nepal</dc:creator>
  <cp:keywords>Lahan School, Mero Attendance, student management, library management, billing, RFID, SMS</cp:keywords>
  <dc:description>Prepared for Lahan School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