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</w:pPr>
      <w:r>
        <w:rPr>
          <w:rFonts w:ascii="Calibri" w:hAnsi="Calibri"/>
          <w:b/>
          <w:i w:val="0"/>
          <w:color w:val="0D7C78"/>
          <w:sz w:val="20"/>
        </w:rPr>
        <w:t>SOFTWARE CUSTOMIZATION QUOTATION</w:t>
      </w:r>
    </w:p>
    <w:p>
      <w:pPr>
        <w:spacing w:after="80"/>
      </w:pPr>
      <w:r>
        <w:rPr>
          <w:rFonts w:ascii="Calibri" w:hAnsi="Calibri"/>
          <w:b/>
          <w:i w:val="0"/>
          <w:color w:val="17324D"/>
          <w:sz w:val="50"/>
        </w:rPr>
        <w:t>Vedanta Attendance &amp; Workforce App</w:t>
      </w:r>
    </w:p>
    <w:p>
      <w:pPr>
        <w:spacing w:after="280"/>
      </w:pPr>
      <w:r>
        <w:rPr>
          <w:rFonts w:ascii="Calibri" w:hAnsi="Calibri"/>
          <w:b w:val="0"/>
          <w:i w:val="0"/>
          <w:color w:val="66717C"/>
          <w:sz w:val="25"/>
        </w:rPr>
        <w:t>Customization of Mero Attendance into a Vedanta-branded iOS, Android and web application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tcMar>
              <w:top w:w="75" w:type="dxa"/>
              <w:start w:w="120" w:type="dxa"/>
              <w:bottom w:w="75" w:type="dxa"/>
              <w:end w:w="120" w:type="dxa"/>
            </w:tcMar>
            <w:tcBorders>
              <w:bottom w:val="single" w:sz="6" w:color="CAD3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D7C78"/>
                <w:sz w:val="19"/>
              </w:rPr>
              <w:t>Prepared for</w:t>
            </w:r>
          </w:p>
        </w:tc>
        <w:tc>
          <w:tcPr>
            <w:tcW w:type="dxa" w:w="4680"/>
            <w:tcMar>
              <w:top w:w="75" w:type="dxa"/>
              <w:start w:w="120" w:type="dxa"/>
              <w:bottom w:w="75" w:type="dxa"/>
              <w:end w:w="120" w:type="dxa"/>
            </w:tcMar>
            <w:tcBorders>
              <w:bottom w:val="single" w:sz="6" w:color="CAD3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9"/>
              </w:rPr>
              <w:t>Vedanta Publication Private Limited</w:t>
            </w:r>
          </w:p>
        </w:tc>
      </w:tr>
      <w:tr>
        <w:tc>
          <w:tcPr>
            <w:tcW w:type="dxa" w:w="4680"/>
            <w:tcMar>
              <w:top w:w="75" w:type="dxa"/>
              <w:start w:w="120" w:type="dxa"/>
              <w:bottom w:w="75" w:type="dxa"/>
              <w:end w:w="120" w:type="dxa"/>
            </w:tcMar>
            <w:tcBorders>
              <w:bottom w:val="single" w:sz="6" w:color="CAD3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D7C78"/>
                <w:sz w:val="19"/>
              </w:rPr>
              <w:t>Prepared by</w:t>
            </w:r>
          </w:p>
        </w:tc>
        <w:tc>
          <w:tcPr>
            <w:tcW w:type="dxa" w:w="4680"/>
            <w:tcMar>
              <w:top w:w="75" w:type="dxa"/>
              <w:start w:w="120" w:type="dxa"/>
              <w:bottom w:w="75" w:type="dxa"/>
              <w:end w:w="120" w:type="dxa"/>
            </w:tcMar>
            <w:tcBorders>
              <w:bottom w:val="single" w:sz="6" w:color="CAD3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9"/>
              </w:rPr>
              <w:t>Wake and Tech Nepal</w:t>
            </w:r>
          </w:p>
        </w:tc>
      </w:tr>
      <w:tr>
        <w:tc>
          <w:tcPr>
            <w:tcW w:type="dxa" w:w="4680"/>
            <w:tcMar>
              <w:top w:w="75" w:type="dxa"/>
              <w:start w:w="120" w:type="dxa"/>
              <w:bottom w:w="75" w:type="dxa"/>
              <w:end w:w="120" w:type="dxa"/>
            </w:tcMar>
            <w:tcBorders>
              <w:bottom w:val="single" w:sz="6" w:color="CAD3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D7C78"/>
                <w:sz w:val="19"/>
              </w:rPr>
              <w:t>Quotation no.</w:t>
            </w:r>
          </w:p>
        </w:tc>
        <w:tc>
          <w:tcPr>
            <w:tcW w:type="dxa" w:w="4680"/>
            <w:tcMar>
              <w:top w:w="75" w:type="dxa"/>
              <w:start w:w="120" w:type="dxa"/>
              <w:bottom w:w="75" w:type="dxa"/>
              <w:end w:w="120" w:type="dxa"/>
            </w:tcMar>
            <w:tcBorders>
              <w:bottom w:val="single" w:sz="6" w:color="CAD3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9"/>
              </w:rPr>
              <w:t>WTN-QTN-2026-0819-01</w:t>
            </w:r>
          </w:p>
        </w:tc>
      </w:tr>
      <w:tr>
        <w:tc>
          <w:tcPr>
            <w:tcW w:type="dxa" w:w="4680"/>
            <w:tcMar>
              <w:top w:w="75" w:type="dxa"/>
              <w:start w:w="120" w:type="dxa"/>
              <w:bottom w:w="75" w:type="dxa"/>
              <w:end w:w="120" w:type="dxa"/>
            </w:tcMar>
            <w:tcBorders>
              <w:bottom w:val="single" w:sz="6" w:color="CAD3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D7C78"/>
                <w:sz w:val="19"/>
              </w:rPr>
              <w:t>Date / Valid until</w:t>
            </w:r>
          </w:p>
        </w:tc>
        <w:tc>
          <w:tcPr>
            <w:tcW w:type="dxa" w:w="4680"/>
            <w:tcMar>
              <w:top w:w="75" w:type="dxa"/>
              <w:start w:w="120" w:type="dxa"/>
              <w:bottom w:w="75" w:type="dxa"/>
              <w:end w:w="120" w:type="dxa"/>
            </w:tcMar>
            <w:tcBorders>
              <w:bottom w:val="single" w:sz="6" w:color="CAD3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9"/>
              </w:rPr>
              <w:t>19 August 2026  /  03 September 2026</w:t>
            </w:r>
          </w:p>
        </w:tc>
      </w:tr>
    </w:tbl>
    <w:p>
      <w:pPr>
        <w:spacing w:before="240" w:after="160"/>
      </w:pPr>
      <w:r>
        <w:rPr>
          <w:rFonts w:ascii="Calibri" w:hAnsi="Calibri"/>
          <w:b/>
          <w:i w:val="0"/>
          <w:color w:val="17324D"/>
          <w:sz w:val="32"/>
        </w:rPr>
        <w:t>Commercial summary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3510"/>
        <w:gridCol w:w="2050"/>
        <w:gridCol w:w="2050"/>
      </w:tblGrid>
      <w:tr>
        <w:trPr>
          <w:tblHeader w:val="true"/>
        </w:trPr>
        <w:tc>
          <w:tcPr>
            <w:tcW w:type="dxa" w:w="1750"/>
            <w:tcMar>
              <w:top w:w="115" w:type="dxa"/>
              <w:start w:w="120" w:type="dxa"/>
              <w:bottom w:w="115" w:type="dxa"/>
              <w:end w:w="120" w:type="dxa"/>
            </w:tcMar>
            <w:tcBorders>
              <w:top w:val="single" w:sz="6" w:color="CAD3DC"/>
              <w:start w:val="single" w:sz="6" w:color="CAD3DC"/>
              <w:bottom w:val="single" w:sz="6" w:color="CAD3DC"/>
              <w:end w:val="single" w:sz="6" w:color="CAD3DC"/>
            </w:tcBorders>
            <w:shd w:fill="17324D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Package</w:t>
            </w:r>
          </w:p>
        </w:tc>
        <w:tc>
          <w:tcPr>
            <w:tcW w:type="dxa" w:w="3510"/>
            <w:tcMar>
              <w:top w:w="115" w:type="dxa"/>
              <w:start w:w="120" w:type="dxa"/>
              <w:bottom w:w="115" w:type="dxa"/>
              <w:end w:w="120" w:type="dxa"/>
            </w:tcMar>
            <w:tcBorders>
              <w:top w:val="single" w:sz="6" w:color="CAD3DC"/>
              <w:start w:val="single" w:sz="6" w:color="CAD3DC"/>
              <w:bottom w:val="single" w:sz="6" w:color="CAD3DC"/>
              <w:end w:val="single" w:sz="6" w:color="CAD3DC"/>
            </w:tcBorders>
            <w:shd w:fill="17324D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Included modules</w:t>
            </w:r>
          </w:p>
        </w:tc>
        <w:tc>
          <w:tcPr>
            <w:tcW w:type="dxa" w:w="2050"/>
            <w:tcMar>
              <w:top w:w="115" w:type="dxa"/>
              <w:start w:w="120" w:type="dxa"/>
              <w:bottom w:w="115" w:type="dxa"/>
              <w:end w:w="120" w:type="dxa"/>
            </w:tcMar>
            <w:tcBorders>
              <w:top w:val="single" w:sz="6" w:color="CAD3DC"/>
              <w:start w:val="single" w:sz="6" w:color="CAD3DC"/>
              <w:bottom w:val="single" w:sz="6" w:color="CAD3DC"/>
              <w:end w:val="single" w:sz="6" w:color="CAD3DC"/>
            </w:tcBorders>
            <w:shd w:fill="17324D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One-time customization</w:t>
            </w:r>
          </w:p>
        </w:tc>
        <w:tc>
          <w:tcPr>
            <w:tcW w:type="dxa" w:w="2050"/>
            <w:tcMar>
              <w:top w:w="115" w:type="dxa"/>
              <w:start w:w="120" w:type="dxa"/>
              <w:bottom w:w="115" w:type="dxa"/>
              <w:end w:w="120" w:type="dxa"/>
            </w:tcMar>
            <w:tcBorders>
              <w:top w:val="single" w:sz="6" w:color="CAD3DC"/>
              <w:start w:val="single" w:sz="6" w:color="CAD3DC"/>
              <w:bottom w:val="single" w:sz="6" w:color="CAD3DC"/>
              <w:end w:val="single" w:sz="6" w:color="CAD3DC"/>
            </w:tcBorders>
            <w:shd w:fill="17324D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Annual AMS + hosting</w:t>
            </w:r>
          </w:p>
        </w:tc>
      </w:tr>
      <w:tr>
        <w:tc>
          <w:tcPr>
            <w:tcW w:type="dxa" w:w="1750"/>
            <w:tcMar>
              <w:top w:w="115" w:type="dxa"/>
              <w:start w:w="120" w:type="dxa"/>
              <w:bottom w:w="115" w:type="dxa"/>
              <w:end w:w="120" w:type="dxa"/>
            </w:tcMar>
            <w:tcBorders>
              <w:top w:val="single" w:sz="6" w:color="CAD3DC"/>
              <w:start w:val="single" w:sz="6" w:color="CAD3DC"/>
              <w:bottom w:val="single" w:sz="6" w:color="CAD3DC"/>
              <w:end w:val="single" w:sz="6" w:color="CAD3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Option A</w:t>
              <w:br/>
              <w:t>Core Workforce</w:t>
            </w:r>
          </w:p>
        </w:tc>
        <w:tc>
          <w:tcPr>
            <w:tcW w:type="dxa" w:w="3510"/>
            <w:tcMar>
              <w:top w:w="115" w:type="dxa"/>
              <w:start w:w="120" w:type="dxa"/>
              <w:bottom w:w="115" w:type="dxa"/>
              <w:end w:w="120" w:type="dxa"/>
            </w:tcMar>
            <w:tcBorders>
              <w:top w:val="single" w:sz="6" w:color="CAD3DC"/>
              <w:start w:val="single" w:sz="6" w:color="CAD3DC"/>
              <w:bottom w:val="single" w:sz="6" w:color="CAD3DC"/>
              <w:end w:val="single" w:sz="6" w:color="CAD3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Attendance, payroll and leave</w:t>
            </w:r>
          </w:p>
        </w:tc>
        <w:tc>
          <w:tcPr>
            <w:tcW w:type="dxa" w:w="2050"/>
            <w:tcMar>
              <w:top w:w="115" w:type="dxa"/>
              <w:start w:w="120" w:type="dxa"/>
              <w:bottom w:w="115" w:type="dxa"/>
              <w:end w:w="120" w:type="dxa"/>
            </w:tcMar>
            <w:tcBorders>
              <w:top w:val="single" w:sz="6" w:color="CAD3DC"/>
              <w:start w:val="single" w:sz="6" w:color="CAD3DC"/>
              <w:bottom w:val="single" w:sz="6" w:color="CAD3DC"/>
              <w:end w:val="single" w:sz="6" w:color="CAD3DC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NPR 300,000</w:t>
            </w:r>
          </w:p>
        </w:tc>
        <w:tc>
          <w:tcPr>
            <w:tcW w:type="dxa" w:w="2050"/>
            <w:tcMar>
              <w:top w:w="115" w:type="dxa"/>
              <w:start w:w="120" w:type="dxa"/>
              <w:bottom w:w="115" w:type="dxa"/>
              <w:end w:w="120" w:type="dxa"/>
            </w:tcMar>
            <w:tcBorders>
              <w:top w:val="single" w:sz="6" w:color="CAD3DC"/>
              <w:start w:val="single" w:sz="6" w:color="CAD3DC"/>
              <w:bottom w:val="single" w:sz="6" w:color="CAD3DC"/>
              <w:end w:val="single" w:sz="6" w:color="CAD3DC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NPR 50,000 / year</w:t>
            </w:r>
          </w:p>
        </w:tc>
      </w:tr>
      <w:tr>
        <w:tc>
          <w:tcPr>
            <w:tcW w:type="dxa" w:w="1750"/>
            <w:tcMar>
              <w:top w:w="115" w:type="dxa"/>
              <w:start w:w="120" w:type="dxa"/>
              <w:bottom w:w="115" w:type="dxa"/>
              <w:end w:w="120" w:type="dxa"/>
            </w:tcMar>
            <w:tcBorders>
              <w:top w:val="single" w:sz="6" w:color="CAD3DC"/>
              <w:start w:val="single" w:sz="6" w:color="CAD3DC"/>
              <w:bottom w:val="single" w:sz="6" w:color="CAD3DC"/>
              <w:end w:val="single" w:sz="6" w:color="CAD3DC"/>
            </w:tcBorders>
            <w:shd w:fill="EAF6F5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Option B</w:t>
              <w:br/>
              <w:t>Integrated Operations</w:t>
            </w:r>
          </w:p>
        </w:tc>
        <w:tc>
          <w:tcPr>
            <w:tcW w:type="dxa" w:w="3510"/>
            <w:tcMar>
              <w:top w:w="115" w:type="dxa"/>
              <w:start w:w="120" w:type="dxa"/>
              <w:bottom w:w="115" w:type="dxa"/>
              <w:end w:w="120" w:type="dxa"/>
            </w:tcMar>
            <w:tcBorders>
              <w:top w:val="single" w:sz="6" w:color="CAD3DC"/>
              <w:start w:val="single" w:sz="6" w:color="CAD3DC"/>
              <w:bottom w:val="single" w:sz="6" w:color="CAD3DC"/>
              <w:end w:val="single" w:sz="6" w:color="CAD3DC"/>
            </w:tcBorders>
            <w:shd w:fill="EAF6F5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Everything in Option A, plus task management, stock management and financial management</w:t>
            </w:r>
          </w:p>
        </w:tc>
        <w:tc>
          <w:tcPr>
            <w:tcW w:type="dxa" w:w="2050"/>
            <w:tcMar>
              <w:top w:w="115" w:type="dxa"/>
              <w:start w:w="120" w:type="dxa"/>
              <w:bottom w:w="115" w:type="dxa"/>
              <w:end w:w="120" w:type="dxa"/>
            </w:tcMar>
            <w:tcBorders>
              <w:top w:val="single" w:sz="6" w:color="CAD3DC"/>
              <w:start w:val="single" w:sz="6" w:color="CAD3DC"/>
              <w:bottom w:val="single" w:sz="6" w:color="CAD3DC"/>
              <w:end w:val="single" w:sz="6" w:color="CAD3DC"/>
            </w:tcBorders>
            <w:shd w:fill="EAF6F5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NPR 500,000</w:t>
            </w:r>
          </w:p>
        </w:tc>
        <w:tc>
          <w:tcPr>
            <w:tcW w:type="dxa" w:w="2050"/>
            <w:tcMar>
              <w:top w:w="115" w:type="dxa"/>
              <w:start w:w="120" w:type="dxa"/>
              <w:bottom w:w="115" w:type="dxa"/>
              <w:end w:w="120" w:type="dxa"/>
            </w:tcMar>
            <w:tcBorders>
              <w:top w:val="single" w:sz="6" w:color="CAD3DC"/>
              <w:start w:val="single" w:sz="6" w:color="CAD3DC"/>
              <w:bottom w:val="single" w:sz="6" w:color="CAD3DC"/>
              <w:end w:val="single" w:sz="6" w:color="CAD3DC"/>
            </w:tcBorders>
            <w:shd w:fill="EAF6F5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NPR 60,000 / year</w:t>
            </w:r>
          </w:p>
        </w:tc>
      </w:tr>
    </w:tbl>
    <w:p>
      <w:pPr>
        <w:pStyle w:val="QuoteNote"/>
      </w:pPr>
      <w:r>
        <w:rPr>
          <w:rFonts w:ascii="Calibri" w:hAnsi="Calibri"/>
          <w:b w:val="0"/>
          <w:i/>
          <w:color w:val="66717C"/>
          <w:sz w:val="19"/>
        </w:rPr>
        <w:t>Prices are in Nepalese Rupees (NPR). Applicable taxes, if any, will be added as required by law. Option B is a complete package price and is not added on top of Option A.</w:t>
      </w:r>
    </w:p>
    <w:p>
      <w:pPr>
        <w:pStyle w:val="Heading1"/>
      </w:pPr>
      <w:r>
        <w:t>Scope and deliverables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F2933"/>
          <w:sz w:val="21"/>
        </w:rPr>
        <w:t>A dedicated Vedanta-branded mobile application for iOS and Android, customized from the agreed Mero Attendance feature set.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F2933"/>
          <w:sz w:val="21"/>
        </w:rPr>
        <w:t>A dedicated web application accessible at vedanta.meroattendance.com.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F2933"/>
          <w:sz w:val="21"/>
        </w:rPr>
        <w:t>Configuration and customization of the modules included in the selected package.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F2933"/>
          <w:sz w:val="21"/>
        </w:rPr>
        <w:t>Initial deployment support and transition to annual application management services after go-live.</w:t>
      </w:r>
    </w:p>
    <w:p>
      <w:pPr>
        <w:pStyle w:val="Heading1"/>
      </w:pPr>
      <w:r>
        <w:t>Platform ownership and management</w:t>
      </w:r>
    </w:p>
    <w:p>
      <w:pPr>
        <w:spacing w:before="0" w:after="40" w:line="259" w:lineRule="auto"/>
      </w:pPr>
      <w:r>
        <w:rPr>
          <w:rFonts w:ascii="Calibri" w:hAnsi="Calibri"/>
          <w:b/>
          <w:i w:val="0"/>
          <w:color w:val="17324D"/>
          <w:sz w:val="21"/>
        </w:rPr>
        <w:t xml:space="preserve">Product ownership. </w:t>
      </w:r>
      <w:r>
        <w:rPr>
          <w:rFonts w:ascii="Calibri" w:hAnsi="Calibri"/>
          <w:b w:val="0"/>
          <w:i w:val="0"/>
          <w:color w:val="1F2933"/>
          <w:sz w:val="21"/>
        </w:rPr>
        <w:t>Vedanta will receive and use its own branded application with the features mutually agreed for the selected package.</w:t>
      </w:r>
    </w:p>
    <w:p>
      <w:pPr>
        <w:spacing w:before="0" w:after="40" w:line="259" w:lineRule="auto"/>
      </w:pPr>
      <w:r>
        <w:rPr>
          <w:rFonts w:ascii="Calibri" w:hAnsi="Calibri"/>
          <w:b/>
          <w:i w:val="0"/>
          <w:color w:val="17324D"/>
          <w:sz w:val="21"/>
        </w:rPr>
        <w:t xml:space="preserve">Source-code ownership. </w:t>
      </w:r>
      <w:r>
        <w:rPr>
          <w:rFonts w:ascii="Calibri" w:hAnsi="Calibri"/>
          <w:b w:val="0"/>
          <w:i w:val="0"/>
          <w:color w:val="1F2933"/>
          <w:sz w:val="21"/>
        </w:rPr>
        <w:t>The application source code, underlying platform, reusable components, frameworks and associated intellectual property will remain the exclusive property of Wake and Tech Nepal. No source-code transfer or assignment is included in this quotation.</w:t>
      </w:r>
    </w:p>
    <w:p>
      <w:pPr>
        <w:spacing w:before="0" w:after="40" w:line="259" w:lineRule="auto"/>
      </w:pPr>
      <w:r>
        <w:rPr>
          <w:rFonts w:ascii="Calibri" w:hAnsi="Calibri"/>
          <w:b/>
          <w:i w:val="0"/>
          <w:color w:val="17324D"/>
          <w:sz w:val="21"/>
        </w:rPr>
        <w:t xml:space="preserve">Application management. </w:t>
      </w:r>
      <w:r>
        <w:rPr>
          <w:rFonts w:ascii="Calibri" w:hAnsi="Calibri"/>
          <w:b w:val="0"/>
          <w:i w:val="0"/>
          <w:color w:val="1F2933"/>
          <w:sz w:val="21"/>
        </w:rPr>
        <w:t>Wake and Tech Nepal will manage the application and provide issue resolution, corrective maintenance and bug fixes under the applicable annual AMS plan.</w:t>
      </w:r>
    </w:p>
    <w:p>
      <w:r>
        <w:br w:type="page"/>
      </w:r>
    </w:p>
    <w:p>
      <w:pPr>
        <w:pStyle w:val="Heading1"/>
      </w:pPr>
      <w:r>
        <w:t>Annual AMS and hosting</w:t>
      </w:r>
    </w:p>
    <w:p>
      <w:r>
        <w:rPr>
          <w:rFonts w:ascii="Calibri" w:hAnsi="Calibri"/>
          <w:b w:val="0"/>
          <w:i w:val="0"/>
          <w:color w:val="1F2933"/>
          <w:sz w:val="21"/>
        </w:rPr>
        <w:t>The annual Application Management Service (AMS) fee is billed yearly from the service commencement date agreed at go-live. It includes: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F2933"/>
          <w:sz w:val="21"/>
        </w:rPr>
        <w:t>Hosting for the Vedanta web application and supporting production environment within Wake and Tech Nepal's managed infrastructure.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F2933"/>
          <w:sz w:val="21"/>
        </w:rPr>
        <w:t>Routine monitoring, application management, issue investigation, bug fixes and corrective maintenance for the agreed features.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F2933"/>
          <w:sz w:val="21"/>
        </w:rPr>
        <w:t>Reasonable deployment support for maintenance releases affecting the agreed scope.</w:t>
      </w:r>
    </w:p>
    <w:p>
      <w:pPr>
        <w:pStyle w:val="Heading1"/>
      </w:pPr>
      <w:r>
        <w:t>Assumptions and exclusions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F2933"/>
          <w:sz w:val="21"/>
        </w:rPr>
        <w:t>Detailed workflows, reports, user roles, branding assets and acceptance criteria will be confirmed in a mutually approved scope or work order before development starts.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F2933"/>
          <w:sz w:val="21"/>
        </w:rPr>
        <w:t>New modules, new features, major workflow changes, integrations, data migration or functionality beyond the agreed package are not included and will be quoted separately.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F2933"/>
          <w:sz w:val="21"/>
        </w:rPr>
        <w:t>Apple App Store, Google Play, SMS, email, payment-gateway or other third-party account and usage charges are excluded unless specifically included in the final work order.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F2933"/>
          <w:sz w:val="21"/>
        </w:rPr>
        <w:t>Vedanta will provide required logos, brand guidelines, content, authorized contacts and timely approvals.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F2933"/>
          <w:sz w:val="21"/>
        </w:rPr>
        <w:t>Service availability depends on third-party infrastructure and platform policies. Scheduled maintenance and events outside Wake and Tech Nepal's reasonable control are excluded from defect liability.</w:t>
      </w:r>
    </w:p>
    <w:p>
      <w:pPr>
        <w:pStyle w:val="Heading1"/>
      </w:pPr>
      <w:r>
        <w:t>Commercial terms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bottom w:val="single" w:sz="6" w:color="CAD3DC"/>
            </w:tcBorders>
            <w:shd w:fill="EEF3F7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7324D"/>
                <w:sz w:val="19"/>
              </w:rPr>
              <w:t>Quotation validity</w:t>
            </w:r>
          </w:p>
        </w:tc>
        <w:tc>
          <w:tcPr>
            <w:tcW w:type="dxa" w:w="68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bottom w:val="single" w:sz="6" w:color="CAD3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9"/>
              </w:rPr>
              <w:t>15 days, through 03 September 2026</w:t>
            </w:r>
          </w:p>
        </w:tc>
      </w:tr>
      <w:tr>
        <w:tc>
          <w:tcPr>
            <w:tcW w:type="dxa" w:w="2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bottom w:val="single" w:sz="6" w:color="CAD3DC"/>
            </w:tcBorders>
            <w:shd w:fill="EEF3F7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7324D"/>
                <w:sz w:val="19"/>
              </w:rPr>
              <w:t>Package selection</w:t>
            </w:r>
          </w:p>
        </w:tc>
        <w:tc>
          <w:tcPr>
            <w:tcW w:type="dxa" w:w="68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bottom w:val="single" w:sz="6" w:color="CAD3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9"/>
              </w:rPr>
              <w:t>Vedanta may select either Option A or Option B.</w:t>
            </w:r>
          </w:p>
        </w:tc>
      </w:tr>
      <w:tr>
        <w:tc>
          <w:tcPr>
            <w:tcW w:type="dxa" w:w="2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bottom w:val="single" w:sz="6" w:color="CAD3DC"/>
            </w:tcBorders>
            <w:shd w:fill="EEF3F7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7324D"/>
                <w:sz w:val="19"/>
              </w:rPr>
              <w:t>Payment schedule</w:t>
            </w:r>
          </w:p>
        </w:tc>
        <w:tc>
          <w:tcPr>
            <w:tcW w:type="dxa" w:w="68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bottom w:val="single" w:sz="6" w:color="CAD3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9"/>
              </w:rPr>
              <w:t>To be agreed in the signed work order or service agreement.</w:t>
            </w:r>
          </w:p>
        </w:tc>
      </w:tr>
      <w:tr>
        <w:tc>
          <w:tcPr>
            <w:tcW w:type="dxa" w:w="2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bottom w:val="single" w:sz="6" w:color="CAD3DC"/>
            </w:tcBorders>
            <w:shd w:fill="EEF3F7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7324D"/>
                <w:sz w:val="19"/>
              </w:rPr>
              <w:t>Implementation timeline</w:t>
            </w:r>
          </w:p>
        </w:tc>
        <w:tc>
          <w:tcPr>
            <w:tcW w:type="dxa" w:w="68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bottom w:val="single" w:sz="6" w:color="CAD3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9"/>
              </w:rPr>
              <w:t>To be finalized after scope confirmation and receipt of required inputs.</w:t>
            </w:r>
          </w:p>
        </w:tc>
      </w:tr>
      <w:tr>
        <w:tc>
          <w:tcPr>
            <w:tcW w:type="dxa" w:w="2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bottom w:val="single" w:sz="6" w:color="CAD3DC"/>
            </w:tcBorders>
            <w:shd w:fill="EEF3F7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7324D"/>
                <w:sz w:val="19"/>
              </w:rPr>
              <w:t>Acceptance</w:t>
            </w:r>
          </w:p>
        </w:tc>
        <w:tc>
          <w:tcPr>
            <w:tcW w:type="dxa" w:w="68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bottom w:val="single" w:sz="6" w:color="CAD3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9"/>
              </w:rPr>
              <w:t>Deliverables will be accepted against the mutually agreed scope and acceptance criteria.</w:t>
            </w:r>
          </w:p>
        </w:tc>
      </w:tr>
      <w:tr>
        <w:tc>
          <w:tcPr>
            <w:tcW w:type="dxa" w:w="250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bottom w:val="single" w:sz="6" w:color="CAD3DC"/>
            </w:tcBorders>
            <w:shd w:fill="EEF3F7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7324D"/>
                <w:sz w:val="19"/>
              </w:rPr>
              <w:t>Annual renewal</w:t>
            </w:r>
          </w:p>
        </w:tc>
        <w:tc>
          <w:tcPr>
            <w:tcW w:type="dxa" w:w="686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bottom w:val="single" w:sz="6" w:color="CAD3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9"/>
              </w:rPr>
              <w:t>AMS and hosting renew annually at the stated package rate, subject to any mutually agreed changes in scope or third-party costs.</w:t>
            </w:r>
          </w:p>
        </w:tc>
      </w:tr>
    </w:tbl>
    <w:p>
      <w:r>
        <w:br w:type="page"/>
      </w:r>
    </w:p>
    <w:p>
      <w:pPr>
        <w:pStyle w:val="Heading1"/>
      </w:pPr>
      <w:r>
        <w:t>Acceptance</w:t>
      </w:r>
    </w:p>
    <w:p>
      <w:pPr>
        <w:spacing w:after="200"/>
      </w:pPr>
      <w:r>
        <w:rPr>
          <w:rFonts w:ascii="Calibri" w:hAnsi="Calibri"/>
          <w:b w:val="0"/>
          <w:i w:val="0"/>
          <w:color w:val="1F2933"/>
          <w:sz w:val="21"/>
        </w:rPr>
        <w:t>This quotation becomes binding only when incorporated into a mutually signed work order or service agreement. The selected package should be marked below.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shd w:fill="EAF6F5"/>
            <w:tcMar>
              <w:top w:w="130" w:type="dxa"/>
              <w:start w:w="120" w:type="dxa"/>
              <w:bottom w:w="130" w:type="dxa"/>
              <w:end w:w="120" w:type="dxa"/>
            </w:tcMar>
            <w:tcBorders>
              <w:top w:val="single" w:sz="8" w:color="0D7C78"/>
              <w:start w:val="single" w:sz="8" w:color="0D7C78"/>
              <w:bottom w:val="single" w:sz="8" w:color="0D7C78"/>
              <w:end w:val="single" w:sz="8" w:color="0D7C78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☐  Option A — Core Workforce</w:t>
            </w:r>
          </w:p>
        </w:tc>
        <w:tc>
          <w:tcPr>
            <w:tcW w:type="dxa" w:w="4680"/>
            <w:shd w:fill="EAF6F5"/>
            <w:tcMar>
              <w:top w:w="130" w:type="dxa"/>
              <w:start w:w="120" w:type="dxa"/>
              <w:bottom w:w="130" w:type="dxa"/>
              <w:end w:w="120" w:type="dxa"/>
            </w:tcMar>
            <w:tcBorders>
              <w:top w:val="single" w:sz="8" w:color="0D7C78"/>
              <w:start w:val="single" w:sz="8" w:color="0D7C78"/>
              <w:bottom w:val="single" w:sz="8" w:color="0D7C78"/>
              <w:end w:val="single" w:sz="8" w:color="0D7C78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☐  Option B — Integrated Operations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tcMar>
              <w:top w:w="110" w:type="dxa"/>
              <w:start w:w="120" w:type="dxa"/>
              <w:bottom w:w="110" w:type="dxa"/>
              <w:end w:w="120" w:type="dxa"/>
            </w:tcMar>
            <w:shd w:fill="17324D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For Vedanta Publication Private Limited</w:t>
            </w:r>
          </w:p>
        </w:tc>
        <w:tc>
          <w:tcPr>
            <w:tcW w:type="dxa" w:w="4680"/>
            <w:tcMar>
              <w:top w:w="110" w:type="dxa"/>
              <w:start w:w="120" w:type="dxa"/>
              <w:bottom w:w="110" w:type="dxa"/>
              <w:end w:w="120" w:type="dxa"/>
            </w:tcMar>
            <w:shd w:fill="17324D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For Wake and Tech Nepal</w:t>
            </w:r>
          </w:p>
        </w:tc>
      </w:tr>
      <w:tr>
        <w:tc>
          <w:tcPr>
            <w:tcW w:type="dxa" w:w="468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9"/>
              </w:rPr>
              <w:t>Authorized signature: ____________________</w:t>
            </w:r>
          </w:p>
        </w:tc>
        <w:tc>
          <w:tcPr>
            <w:tcW w:type="dxa" w:w="468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9"/>
              </w:rPr>
              <w:t>Authorized signature: ____________________</w:t>
            </w:r>
          </w:p>
        </w:tc>
      </w:tr>
      <w:tr>
        <w:tc>
          <w:tcPr>
            <w:tcW w:type="dxa" w:w="468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9"/>
              </w:rPr>
              <w:t>Name / title: ___________________________</w:t>
            </w:r>
          </w:p>
        </w:tc>
        <w:tc>
          <w:tcPr>
            <w:tcW w:type="dxa" w:w="468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9"/>
              </w:rPr>
              <w:t>Name / title: ___________________________</w:t>
            </w:r>
          </w:p>
        </w:tc>
      </w:tr>
      <w:tr>
        <w:tc>
          <w:tcPr>
            <w:tcW w:type="dxa" w:w="468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9"/>
              </w:rPr>
              <w:t>Date: __________________________________</w:t>
            </w:r>
          </w:p>
        </w:tc>
        <w:tc>
          <w:tcPr>
            <w:tcW w:type="dxa" w:w="468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9"/>
              </w:rPr>
              <w:t>Date: __________________________________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440" w:bottom="1037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b w:val="0"/>
        <w:i w:val="0"/>
        <w:color w:val="66717C"/>
        <w:sz w:val="17"/>
      </w:rPr>
      <w:t xml:space="preserve">Wake and Tech Nepal  •  Confidential  •  Page </w:t>
    </w:r>
    <w:r>
      <w:rPr>
        <w:rFonts w:ascii="Calibri" w:hAnsi="Calibri"/>
        <w:b w:val="0"/>
        <w:i w:val="0"/>
        <w:color w:val="66717C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/>
        <w:b/>
        <w:i w:val="0"/>
        <w:color w:val="66717C"/>
        <w:sz w:val="17"/>
      </w:rPr>
      <w:t>WAKE AND TECH NEPAL  |  COMMERCIAL QUOTATION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Calibri" w:hAnsi="Calibri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732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D7C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oteNote">
    <w:name w:val="Quote Note"/>
    <w:pPr>
      <w:spacing w:before="80" w:after="80"/>
    </w:pPr>
    <w:rPr>
      <w:rFonts w:ascii="Calibri" w:hAnsi="Calibri"/>
      <w:color w:val="66717C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 - Vedanta Attendance &amp; Workforce App</dc:title>
  <dc:subject>Customization of Mero Attendance for Vedanta Publication Private Limited</dc:subject>
  <dc:creator>Wake and Tech Nepal</dc:creator>
  <cp:keywords>quotation, Vedanta, Mero Attendance, application customization, AMS</cp:keywords>
  <dc:description>Prepared for Vedanta Publication Private Limited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