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810" w:rsidRPr="00E83810" w:rsidRDefault="00FC7491" w:rsidP="00E83810">
      <w:pPr>
        <w:pStyle w:val="NormalWeb"/>
        <w:shd w:val="clear" w:color="auto" w:fill="FFFFFF"/>
        <w:spacing w:before="0" w:beforeAutospacing="0" w:after="180" w:afterAutospacing="0"/>
        <w:rPr>
          <w:rStyle w:val="Strong"/>
          <w:rFonts w:asciiTheme="minorHAnsi" w:hAnsiTheme="minorHAnsi"/>
          <w:b w:val="0"/>
          <w:color w:val="000000"/>
        </w:rPr>
      </w:pPr>
      <w:r>
        <w:rPr>
          <w:rStyle w:val="Strong"/>
          <w:rFonts w:asciiTheme="minorHAnsi" w:hAnsiTheme="minorHAnsi"/>
          <w:b w:val="0"/>
          <w:color w:val="000000"/>
        </w:rPr>
        <w:t>Your task, b</w:t>
      </w:r>
      <w:r w:rsidR="00E83810" w:rsidRPr="00E83810">
        <w:rPr>
          <w:rStyle w:val="Strong"/>
          <w:rFonts w:asciiTheme="minorHAnsi" w:hAnsiTheme="minorHAnsi"/>
          <w:b w:val="0"/>
          <w:color w:val="000000"/>
        </w:rPr>
        <w:t xml:space="preserve">ased on </w:t>
      </w:r>
      <w:r>
        <w:rPr>
          <w:rStyle w:val="Strong"/>
          <w:rFonts w:asciiTheme="minorHAnsi" w:hAnsiTheme="minorHAnsi"/>
          <w:b w:val="0"/>
          <w:color w:val="000000"/>
        </w:rPr>
        <w:t xml:space="preserve">the following </w:t>
      </w:r>
      <w:r w:rsidR="00E83810" w:rsidRPr="00E83810">
        <w:rPr>
          <w:rStyle w:val="Strong"/>
          <w:rFonts w:asciiTheme="minorHAnsi" w:hAnsiTheme="minorHAnsi"/>
          <w:b w:val="0"/>
          <w:color w:val="000000"/>
        </w:rPr>
        <w:t>information provided</w:t>
      </w:r>
      <w:r w:rsidR="0018765D">
        <w:rPr>
          <w:rStyle w:val="Strong"/>
          <w:rFonts w:asciiTheme="minorHAnsi" w:hAnsiTheme="minorHAnsi"/>
          <w:b w:val="0"/>
          <w:color w:val="000000"/>
        </w:rPr>
        <w:t>,</w:t>
      </w:r>
      <w:r w:rsidR="000048CC">
        <w:rPr>
          <w:rStyle w:val="Strong"/>
          <w:rFonts w:asciiTheme="minorHAnsi" w:hAnsiTheme="minorHAnsi"/>
          <w:b w:val="0"/>
          <w:color w:val="000000"/>
        </w:rPr>
        <w:t xml:space="preserve"> is to</w:t>
      </w:r>
      <w:r>
        <w:rPr>
          <w:rStyle w:val="Strong"/>
          <w:rFonts w:asciiTheme="minorHAnsi" w:hAnsiTheme="minorHAnsi"/>
          <w:b w:val="0"/>
          <w:color w:val="000000"/>
        </w:rPr>
        <w:t xml:space="preserve"> </w:t>
      </w:r>
      <w:r w:rsidR="0018765D">
        <w:rPr>
          <w:rStyle w:val="Strong"/>
          <w:rFonts w:asciiTheme="minorHAnsi" w:hAnsiTheme="minorHAnsi"/>
          <w:b w:val="0"/>
          <w:color w:val="000000"/>
        </w:rPr>
        <w:t>match listed strength, weaknesses, opportunities and threats to the correct quadrant.</w:t>
      </w:r>
    </w:p>
    <w:p w:rsidR="00FC7491" w:rsidRPr="009F49D2" w:rsidRDefault="00FC7491" w:rsidP="00FC7491">
      <w:pPr>
        <w:pStyle w:val="NormalWeb"/>
        <w:shd w:val="clear" w:color="auto" w:fill="FFFFFF"/>
        <w:spacing w:before="120" w:beforeAutospacing="0" w:after="0" w:afterAutospacing="0"/>
        <w:rPr>
          <w:rFonts w:asciiTheme="minorHAnsi" w:hAnsiTheme="minorHAnsi"/>
          <w:b/>
          <w:bCs/>
          <w:sz w:val="20"/>
          <w:szCs w:val="20"/>
        </w:rPr>
      </w:pPr>
      <w:r w:rsidRPr="009F49D2">
        <w:rPr>
          <w:rFonts w:asciiTheme="minorHAnsi" w:hAnsiTheme="minorHAnsi"/>
          <w:b/>
          <w:bCs/>
          <w:sz w:val="20"/>
          <w:szCs w:val="20"/>
        </w:rPr>
        <w:t>Current Position</w:t>
      </w:r>
    </w:p>
    <w:p w:rsidR="00651D35" w:rsidRPr="009F49D2" w:rsidRDefault="00FC7491" w:rsidP="00651D35">
      <w:pPr>
        <w:pStyle w:val="NormalWeb"/>
        <w:shd w:val="clear" w:color="auto" w:fill="FFFFFF"/>
        <w:spacing w:before="120" w:beforeAutospacing="0" w:after="0" w:afterAutospacing="0"/>
        <w:rPr>
          <w:rStyle w:val="Strong"/>
          <w:rFonts w:asciiTheme="minorHAnsi" w:hAnsiTheme="minorHAnsi"/>
          <w:sz w:val="20"/>
          <w:szCs w:val="20"/>
        </w:rPr>
      </w:pPr>
      <w:r w:rsidRPr="009F49D2">
        <w:rPr>
          <w:rFonts w:asciiTheme="minorHAnsi" w:hAnsiTheme="minorHAnsi"/>
          <w:bCs/>
          <w:sz w:val="20"/>
          <w:szCs w:val="20"/>
        </w:rPr>
        <w:t>PepsiCo is the second largest food and beverage company in the world</w:t>
      </w:r>
      <w:r w:rsidR="00651D35" w:rsidRPr="009F49D2">
        <w:rPr>
          <w:rFonts w:asciiTheme="minorHAnsi" w:hAnsiTheme="minorHAnsi"/>
          <w:bCs/>
          <w:sz w:val="20"/>
          <w:szCs w:val="20"/>
        </w:rPr>
        <w:t xml:space="preserve"> and is known for </w:t>
      </w:r>
      <w:r w:rsidR="00651D35" w:rsidRPr="009F49D2">
        <w:rPr>
          <w:rFonts w:asciiTheme="minorHAnsi" w:hAnsiTheme="minorHAnsi"/>
          <w:color w:val="000000"/>
          <w:sz w:val="20"/>
          <w:szCs w:val="20"/>
        </w:rPr>
        <w:t>strong brand equity, cash flow generation, and a history of putting shareholders first through reliable dividend growth and share buybacks.</w:t>
      </w:r>
    </w:p>
    <w:p w:rsidR="000B3F6D" w:rsidRPr="009F49D2" w:rsidRDefault="000B3F6D" w:rsidP="00FC7491">
      <w:pPr>
        <w:pStyle w:val="NormalWeb"/>
        <w:shd w:val="clear" w:color="auto" w:fill="FFFFFF"/>
        <w:spacing w:before="120" w:beforeAutospacing="0" w:after="0" w:afterAutospacing="0"/>
        <w:rPr>
          <w:rFonts w:asciiTheme="minorHAnsi" w:hAnsiTheme="minorHAnsi" w:cs="Arial"/>
          <w:color w:val="252525"/>
          <w:sz w:val="20"/>
          <w:szCs w:val="20"/>
          <w:shd w:val="clear" w:color="auto" w:fill="FFFFFF"/>
        </w:rPr>
      </w:pPr>
      <w:r w:rsidRPr="009F49D2">
        <w:rPr>
          <w:rFonts w:asciiTheme="minorHAnsi" w:hAnsiTheme="minorHAnsi" w:cs="Arial"/>
          <w:sz w:val="20"/>
          <w:szCs w:val="20"/>
          <w:shd w:val="clear" w:color="auto" w:fill="FFFFFF"/>
        </w:rPr>
        <w:t>Its product mix as of 2015 (based on worldwide net revenue) consists of 53 percent foods, and 47 percent beverages.</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On a worldwide basis, the company's current products lines include several hundred brands that in 2009 were estimated to have generated approximately $108 billion in cumulative annual</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 xml:space="preserve">retail sales. </w:t>
      </w:r>
      <w:r w:rsidRPr="009F49D2">
        <w:rPr>
          <w:rFonts w:asciiTheme="minorHAnsi" w:hAnsiTheme="minorHAnsi"/>
          <w:bCs/>
          <w:sz w:val="20"/>
          <w:szCs w:val="20"/>
        </w:rPr>
        <w:t>PepsiCo</w:t>
      </w:r>
      <w:r w:rsidRPr="009F49D2">
        <w:rPr>
          <w:rFonts w:asciiTheme="minorHAnsi" w:hAnsiTheme="minorHAnsi" w:cs="Arial"/>
          <w:sz w:val="20"/>
          <w:szCs w:val="20"/>
          <w:shd w:val="clear" w:color="auto" w:fill="FFFFFF"/>
        </w:rPr>
        <w:t>’s largest brands are: Pepsi</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Mountain Dew</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Lay's</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Gatorade</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Tropicana</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7 Up</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Doritos</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Lipton Teas</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Quaker Foods</w:t>
      </w:r>
      <w:r w:rsidRPr="009F49D2">
        <w:rPr>
          <w:rFonts w:asciiTheme="minorHAnsi" w:hAnsiTheme="minorHAnsi" w:cs="Arial"/>
          <w:color w:val="252525"/>
          <w:sz w:val="20"/>
          <w:szCs w:val="20"/>
          <w:shd w:val="clear" w:color="auto" w:fill="FFFFFF"/>
        </w:rPr>
        <w:t xml:space="preserve">, </w:t>
      </w:r>
      <w:r w:rsidRPr="009F49D2">
        <w:rPr>
          <w:rFonts w:asciiTheme="minorHAnsi" w:hAnsiTheme="minorHAnsi" w:cs="Arial"/>
          <w:sz w:val="20"/>
          <w:szCs w:val="20"/>
          <w:shd w:val="clear" w:color="auto" w:fill="FFFFFF"/>
        </w:rPr>
        <w:t>Cheetos</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Mirinda</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Ruffles</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Aquafina</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Pepsi Max</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Tostitos</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Mist Twist</w:t>
      </w:r>
      <w:r w:rsidRPr="009F49D2">
        <w:rPr>
          <w:rFonts w:asciiTheme="minorHAnsi" w:hAnsiTheme="minorHAnsi" w:cs="Arial"/>
          <w:color w:val="252525"/>
          <w:sz w:val="20"/>
          <w:szCs w:val="20"/>
          <w:shd w:val="clear" w:color="auto" w:fill="FFFFFF"/>
        </w:rPr>
        <w:t>,</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Fritos</w:t>
      </w:r>
      <w:r w:rsidRPr="009F49D2">
        <w:rPr>
          <w:rFonts w:asciiTheme="minorHAnsi" w:hAnsiTheme="minorHAnsi" w:cs="Arial"/>
          <w:color w:val="252525"/>
          <w:sz w:val="20"/>
          <w:szCs w:val="20"/>
          <w:shd w:val="clear" w:color="auto" w:fill="FFFFFF"/>
        </w:rPr>
        <w:t>, and</w:t>
      </w:r>
      <w:r w:rsidRPr="009F49D2">
        <w:rPr>
          <w:rStyle w:val="apple-converted-space"/>
          <w:rFonts w:asciiTheme="minorHAnsi" w:hAnsiTheme="minorHAnsi" w:cs="Arial"/>
          <w:color w:val="252525"/>
          <w:sz w:val="20"/>
          <w:szCs w:val="20"/>
          <w:shd w:val="clear" w:color="auto" w:fill="FFFFFF"/>
        </w:rPr>
        <w:t> </w:t>
      </w:r>
      <w:r w:rsidRPr="009F49D2">
        <w:rPr>
          <w:rFonts w:asciiTheme="minorHAnsi" w:hAnsiTheme="minorHAnsi" w:cs="Arial"/>
          <w:sz w:val="20"/>
          <w:szCs w:val="20"/>
          <w:shd w:val="clear" w:color="auto" w:fill="FFFFFF"/>
        </w:rPr>
        <w:t>Walkers</w:t>
      </w:r>
      <w:r w:rsidRPr="009F49D2">
        <w:rPr>
          <w:rFonts w:asciiTheme="minorHAnsi" w:hAnsiTheme="minorHAnsi" w:cs="Arial"/>
          <w:color w:val="252525"/>
          <w:sz w:val="20"/>
          <w:szCs w:val="20"/>
          <w:shd w:val="clear" w:color="auto" w:fill="FFFFFF"/>
        </w:rPr>
        <w:t>.</w:t>
      </w:r>
    </w:p>
    <w:p w:rsidR="000B3F6D" w:rsidRPr="009F49D2" w:rsidRDefault="000B3F6D" w:rsidP="00FC7491">
      <w:pPr>
        <w:pStyle w:val="NormalWeb"/>
        <w:shd w:val="clear" w:color="auto" w:fill="FFFFFF"/>
        <w:spacing w:before="120" w:beforeAutospacing="0" w:after="0" w:afterAutospacing="0"/>
        <w:rPr>
          <w:rFonts w:asciiTheme="minorHAnsi" w:hAnsiTheme="minorHAnsi"/>
          <w:bCs/>
          <w:sz w:val="20"/>
          <w:szCs w:val="20"/>
        </w:rPr>
      </w:pPr>
      <w:r w:rsidRPr="009F49D2">
        <w:rPr>
          <w:rFonts w:asciiTheme="minorHAnsi" w:hAnsiTheme="minorHAnsi" w:cs="Arial"/>
          <w:sz w:val="20"/>
          <w:szCs w:val="20"/>
          <w:shd w:val="clear" w:color="auto" w:fill="FFFFFF"/>
        </w:rPr>
        <w:t>PepsiCo's</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Frito-Lay</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and</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Quaker Oats</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brands hold a significant share of the U.S. snack food market, accounting for approximately 39 percent of U.S. snack food sales in 2009.</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One of PepsiCo's primary competitors in the snack food market overall is</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Kraft Foods, which in the same year held 11 percent of the U.S. snack market share.</w:t>
      </w:r>
      <w:hyperlink r:id="rId7" w:anchor="cite_note-10k-28" w:history="1"/>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Other competitors for soda are</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RC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Cola Turka,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Kola Real,</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Inca Kola,Zamzam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Mecca-Cola,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Virgin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Parsi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Qibla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Evoca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Corsica Cola,</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Breizh Cola, and</w:t>
      </w:r>
      <w:r w:rsidRPr="009F49D2">
        <w:rPr>
          <w:rStyle w:val="apple-converted-space"/>
          <w:rFonts w:asciiTheme="minorHAnsi" w:hAnsiTheme="minorHAnsi" w:cs="Arial"/>
          <w:sz w:val="20"/>
          <w:szCs w:val="20"/>
          <w:shd w:val="clear" w:color="auto" w:fill="FFFFFF"/>
        </w:rPr>
        <w:t> </w:t>
      </w:r>
      <w:r w:rsidRPr="009F49D2">
        <w:rPr>
          <w:rFonts w:asciiTheme="minorHAnsi" w:hAnsiTheme="minorHAnsi" w:cs="Arial"/>
          <w:sz w:val="20"/>
          <w:szCs w:val="20"/>
          <w:shd w:val="clear" w:color="auto" w:fill="FFFFFF"/>
        </w:rPr>
        <w:t>Afri Cola.</w:t>
      </w:r>
    </w:p>
    <w:p w:rsidR="000B3F6D" w:rsidRPr="009F49D2" w:rsidRDefault="000B3F6D" w:rsidP="000B3F6D">
      <w:pPr>
        <w:pStyle w:val="NormalWeb"/>
        <w:shd w:val="clear" w:color="auto" w:fill="FFFFFF"/>
        <w:spacing w:before="120" w:beforeAutospacing="0" w:after="0" w:afterAutospacing="0"/>
        <w:rPr>
          <w:rFonts w:asciiTheme="minorHAnsi" w:hAnsiTheme="minorHAnsi"/>
          <w:color w:val="000000"/>
          <w:sz w:val="20"/>
          <w:szCs w:val="20"/>
        </w:rPr>
      </w:pPr>
      <w:r w:rsidRPr="009F49D2">
        <w:rPr>
          <w:rFonts w:asciiTheme="minorHAnsi" w:hAnsiTheme="minorHAnsi"/>
          <w:color w:val="000000"/>
          <w:sz w:val="20"/>
          <w:szCs w:val="20"/>
        </w:rPr>
        <w:t>Soda sales have been declining for years now, as consumers opt for healthier options such as flavor-packed carbonated water. However, new regulations could make things worse. The U.S. government kicked off 2016 by introducing new health guidelines that strongly recommend Americans reduce their consumption of sodas and snacks containing high-fructose sugars.</w:t>
      </w:r>
    </w:p>
    <w:p w:rsidR="00FC7491" w:rsidRPr="009F49D2" w:rsidRDefault="000B3F6D" w:rsidP="000B3F6D">
      <w:pPr>
        <w:pStyle w:val="NormalWeb"/>
        <w:shd w:val="clear" w:color="auto" w:fill="FFFFFF"/>
        <w:spacing w:before="120" w:beforeAutospacing="0" w:after="0" w:afterAutospacing="0"/>
        <w:rPr>
          <w:rStyle w:val="Strong"/>
          <w:rFonts w:asciiTheme="minorHAnsi" w:hAnsiTheme="minorHAnsi"/>
          <w:sz w:val="20"/>
          <w:szCs w:val="20"/>
        </w:rPr>
      </w:pPr>
      <w:r w:rsidRPr="009F49D2">
        <w:rPr>
          <w:rFonts w:asciiTheme="minorHAnsi" w:hAnsiTheme="minorHAnsi"/>
          <w:color w:val="000000"/>
          <w:sz w:val="20"/>
          <w:szCs w:val="20"/>
        </w:rPr>
        <w:t>This news could negatively affect soda companies, particularly as soda volumes already declined more than 2% last year.</w:t>
      </w:r>
    </w:p>
    <w:p w:rsidR="000D7272" w:rsidRPr="009F49D2" w:rsidRDefault="000D7272" w:rsidP="000D7272">
      <w:pPr>
        <w:pStyle w:val="NormalWeb"/>
        <w:shd w:val="clear" w:color="auto" w:fill="FFFFFF"/>
        <w:spacing w:before="120" w:beforeAutospacing="0" w:after="0" w:afterAutospacing="0"/>
        <w:rPr>
          <w:rFonts w:asciiTheme="minorHAnsi" w:hAnsiTheme="minorHAnsi"/>
          <w:sz w:val="20"/>
          <w:szCs w:val="20"/>
        </w:rPr>
      </w:pPr>
      <w:r w:rsidRPr="009F49D2">
        <w:rPr>
          <w:rFonts w:asciiTheme="minorHAnsi" w:hAnsiTheme="minorHAnsi"/>
          <w:sz w:val="20"/>
          <w:szCs w:val="20"/>
        </w:rPr>
        <w:t>Going forward, Pepsi should continue investing in its "good for you brands" to help the company get ahead of shifting consumer preferences to healthier snacking. Pepsi's portfolio of "good for you brands" is currently its smallest overall, with just four standout names covering both beverages and snack foods, including Sabra hummus, Tropicana, Naked juice, and Quaker.</w:t>
      </w:r>
    </w:p>
    <w:p w:rsidR="00FC7491" w:rsidRPr="009F49D2" w:rsidRDefault="000D7272" w:rsidP="00FC7491">
      <w:pPr>
        <w:pStyle w:val="NormalWeb"/>
        <w:shd w:val="clear" w:color="auto" w:fill="FFFFFF"/>
        <w:spacing w:before="120" w:beforeAutospacing="0" w:after="0" w:afterAutospacing="0"/>
        <w:rPr>
          <w:rFonts w:asciiTheme="minorHAnsi" w:hAnsiTheme="minorHAnsi"/>
          <w:color w:val="000000"/>
          <w:sz w:val="20"/>
          <w:szCs w:val="20"/>
        </w:rPr>
      </w:pPr>
      <w:r w:rsidRPr="009F49D2">
        <w:rPr>
          <w:rFonts w:asciiTheme="minorHAnsi" w:hAnsiTheme="minorHAnsi"/>
          <w:color w:val="000000"/>
          <w:sz w:val="20"/>
          <w:szCs w:val="20"/>
        </w:rPr>
        <w:t>Investors should also keep an eye on currency risks. Pepsi is especially vulnerable to this given its position as a multinational conglomerate. The company generates nearly 50% of its annual net revenue outside the United States. This situation puts Pepsi at additional risk to foreign exchange rates.</w:t>
      </w:r>
    </w:p>
    <w:p w:rsidR="00062B18" w:rsidRPr="009F49D2" w:rsidRDefault="00062B18" w:rsidP="00FC7491">
      <w:pPr>
        <w:pStyle w:val="NormalWeb"/>
        <w:shd w:val="clear" w:color="auto" w:fill="FFFFFF"/>
        <w:spacing w:before="120" w:beforeAutospacing="0" w:after="0" w:afterAutospacing="0"/>
        <w:rPr>
          <w:rStyle w:val="Strong"/>
          <w:rFonts w:asciiTheme="minorHAnsi" w:hAnsiTheme="minorHAnsi"/>
          <w:sz w:val="20"/>
          <w:szCs w:val="20"/>
        </w:rPr>
      </w:pPr>
    </w:p>
    <w:tbl>
      <w:tblPr>
        <w:tblStyle w:val="TableGrid"/>
        <w:tblW w:w="0" w:type="auto"/>
        <w:tblLook w:val="04A0" w:firstRow="1" w:lastRow="0" w:firstColumn="1" w:lastColumn="0" w:noHBand="0" w:noVBand="1"/>
      </w:tblPr>
      <w:tblGrid>
        <w:gridCol w:w="4675"/>
        <w:gridCol w:w="4675"/>
      </w:tblGrid>
      <w:tr w:rsidR="00D02DF4" w:rsidRPr="009F49D2" w:rsidTr="00D02DF4">
        <w:tc>
          <w:tcPr>
            <w:tcW w:w="4675" w:type="dxa"/>
          </w:tcPr>
          <w:p w:rsidR="00D02DF4" w:rsidRPr="009F49D2" w:rsidRDefault="00D02DF4" w:rsidP="00ED2528">
            <w:pPr>
              <w:pStyle w:val="NormalWeb"/>
              <w:spacing w:before="120" w:beforeAutospacing="0" w:after="0" w:afterAutospacing="0"/>
              <w:rPr>
                <w:rFonts w:asciiTheme="minorHAnsi" w:hAnsiTheme="minorHAnsi" w:cs="Arial"/>
                <w:b/>
                <w:bCs/>
                <w:color w:val="252525"/>
                <w:sz w:val="20"/>
                <w:szCs w:val="20"/>
              </w:rPr>
            </w:pPr>
            <w:r w:rsidRPr="009F49D2">
              <w:rPr>
                <w:rFonts w:asciiTheme="minorHAnsi" w:hAnsiTheme="minorHAnsi" w:cs="Arial"/>
                <w:b/>
                <w:bCs/>
                <w:color w:val="252525"/>
                <w:sz w:val="20"/>
                <w:szCs w:val="20"/>
              </w:rPr>
              <w:t>Strengths</w:t>
            </w:r>
          </w:p>
          <w:p w:rsidR="00D02DF4" w:rsidRDefault="00ED2528"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sidRPr="009F49D2">
              <w:rPr>
                <w:rFonts w:asciiTheme="minorHAnsi" w:hAnsiTheme="minorHAnsi" w:cs="Arial"/>
                <w:sz w:val="20"/>
                <w:szCs w:val="20"/>
              </w:rPr>
              <w:t xml:space="preserve"> </w:t>
            </w:r>
            <w:r w:rsidR="005A4C93">
              <w:rPr>
                <w:rFonts w:asciiTheme="minorHAnsi" w:hAnsiTheme="minorHAnsi" w:cs="Arial"/>
                <w:sz w:val="20"/>
                <w:szCs w:val="20"/>
              </w:rPr>
              <w:t>Strong brand presence in the market.</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Internationally recognized company</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 xml:space="preserve">Diversity of products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 xml:space="preserve">Large pool of capital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 xml:space="preserve">39% of US Snack food market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 xml:space="preserve">Reliable dividend growth, good for investors </w:t>
            </w:r>
          </w:p>
          <w:p w:rsidR="005A4C93" w:rsidRPr="009F49D2"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p>
        </w:tc>
        <w:tc>
          <w:tcPr>
            <w:tcW w:w="4675" w:type="dxa"/>
          </w:tcPr>
          <w:p w:rsidR="00D02DF4" w:rsidRPr="009F49D2" w:rsidRDefault="00D02DF4" w:rsidP="00ED2528">
            <w:pPr>
              <w:pStyle w:val="NormalWeb"/>
              <w:spacing w:before="120" w:beforeAutospacing="0" w:after="0" w:afterAutospacing="0"/>
              <w:rPr>
                <w:rFonts w:asciiTheme="minorHAnsi" w:hAnsiTheme="minorHAnsi" w:cs="Arial"/>
                <w:b/>
                <w:bCs/>
                <w:color w:val="252525"/>
                <w:sz w:val="20"/>
                <w:szCs w:val="20"/>
              </w:rPr>
            </w:pPr>
            <w:r w:rsidRPr="009F49D2">
              <w:rPr>
                <w:rFonts w:asciiTheme="minorHAnsi" w:hAnsiTheme="minorHAnsi" w:cs="Arial"/>
                <w:b/>
                <w:bCs/>
                <w:color w:val="252525"/>
                <w:sz w:val="20"/>
                <w:szCs w:val="20"/>
              </w:rPr>
              <w:t>Weaknesses</w:t>
            </w:r>
          </w:p>
          <w:p w:rsidR="00D02DF4"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 xml:space="preserve">Lots of competitors on a global scale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 xml:space="preserve">Liable to currency risks from different countries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 xml:space="preserve">Very few healthy alternatives, mostly unhealthy snacks &amp; beverages. </w:t>
            </w:r>
          </w:p>
          <w:p w:rsidR="005A4C93" w:rsidRPr="009F49D2"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 xml:space="preserve">Might be seen as a monopoly </w:t>
            </w:r>
            <w:bookmarkStart w:id="0" w:name="_GoBack"/>
            <w:bookmarkEnd w:id="0"/>
          </w:p>
        </w:tc>
      </w:tr>
      <w:tr w:rsidR="00D02DF4" w:rsidRPr="009F49D2" w:rsidTr="00D02DF4">
        <w:tc>
          <w:tcPr>
            <w:tcW w:w="4675" w:type="dxa"/>
          </w:tcPr>
          <w:p w:rsidR="00D02DF4" w:rsidRPr="009F49D2" w:rsidRDefault="00D02DF4" w:rsidP="00ED2528">
            <w:pPr>
              <w:pStyle w:val="NormalWeb"/>
              <w:spacing w:before="120" w:beforeAutospacing="0" w:after="0" w:afterAutospacing="0"/>
              <w:rPr>
                <w:rFonts w:asciiTheme="minorHAnsi" w:hAnsiTheme="minorHAnsi" w:cs="Arial"/>
                <w:b/>
                <w:bCs/>
                <w:color w:val="252525"/>
                <w:sz w:val="20"/>
                <w:szCs w:val="20"/>
              </w:rPr>
            </w:pPr>
            <w:r w:rsidRPr="009F49D2">
              <w:rPr>
                <w:rFonts w:asciiTheme="minorHAnsi" w:hAnsiTheme="minorHAnsi" w:cs="Arial"/>
                <w:b/>
                <w:bCs/>
                <w:color w:val="252525"/>
                <w:sz w:val="20"/>
                <w:szCs w:val="20"/>
              </w:rPr>
              <w:t>Opportunities</w:t>
            </w:r>
          </w:p>
          <w:p w:rsidR="00D02DF4"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 xml:space="preserve">Bring in healthier alternatives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Increase healthy snacks, &amp; decrease unhealthy beverages</w:t>
            </w:r>
          </w:p>
          <w:p w:rsidR="005A4C93" w:rsidRDefault="005A4C93" w:rsidP="005A4C93">
            <w:pPr>
              <w:pStyle w:val="NormalWeb"/>
              <w:shd w:val="clear" w:color="auto" w:fill="FFFFFF"/>
              <w:spacing w:before="120" w:beforeAutospacing="0" w:after="0" w:afterAutospacing="0"/>
              <w:ind w:left="720"/>
              <w:rPr>
                <w:rFonts w:asciiTheme="minorHAnsi" w:hAnsiTheme="minorHAnsi" w:cs="Arial"/>
                <w:sz w:val="20"/>
                <w:szCs w:val="20"/>
              </w:rPr>
            </w:pPr>
          </w:p>
          <w:p w:rsidR="005A4C93" w:rsidRPr="009F49D2" w:rsidRDefault="005A4C93" w:rsidP="00ED2528">
            <w:pPr>
              <w:pStyle w:val="NormalWeb"/>
              <w:numPr>
                <w:ilvl w:val="0"/>
                <w:numId w:val="5"/>
              </w:numPr>
              <w:shd w:val="clear" w:color="auto" w:fill="FFFFFF"/>
              <w:spacing w:before="120" w:beforeAutospacing="0" w:after="0" w:afterAutospacing="0"/>
              <w:rPr>
                <w:rFonts w:asciiTheme="minorHAnsi" w:hAnsiTheme="minorHAnsi" w:cs="Arial"/>
                <w:sz w:val="20"/>
                <w:szCs w:val="20"/>
              </w:rPr>
            </w:pPr>
            <w:r>
              <w:rPr>
                <w:rFonts w:asciiTheme="minorHAnsi" w:hAnsiTheme="minorHAnsi" w:cs="Arial"/>
                <w:sz w:val="20"/>
                <w:szCs w:val="20"/>
              </w:rPr>
              <w:t xml:space="preserve">Expand/buy smaller companies and/or competitors </w:t>
            </w:r>
          </w:p>
        </w:tc>
        <w:tc>
          <w:tcPr>
            <w:tcW w:w="4675" w:type="dxa"/>
          </w:tcPr>
          <w:p w:rsidR="00D02DF4" w:rsidRPr="009F49D2" w:rsidRDefault="00D02DF4" w:rsidP="00ED2528">
            <w:pPr>
              <w:pStyle w:val="NormalWeb"/>
              <w:spacing w:before="120" w:beforeAutospacing="0" w:after="0" w:afterAutospacing="0"/>
              <w:rPr>
                <w:rFonts w:asciiTheme="minorHAnsi" w:hAnsiTheme="minorHAnsi" w:cs="Arial"/>
                <w:b/>
                <w:bCs/>
                <w:color w:val="252525"/>
                <w:sz w:val="20"/>
                <w:szCs w:val="20"/>
              </w:rPr>
            </w:pPr>
            <w:r w:rsidRPr="009F49D2">
              <w:rPr>
                <w:rFonts w:asciiTheme="minorHAnsi" w:hAnsiTheme="minorHAnsi" w:cs="Arial"/>
                <w:b/>
                <w:bCs/>
                <w:color w:val="252525"/>
                <w:sz w:val="20"/>
                <w:szCs w:val="20"/>
              </w:rPr>
              <w:t>Threats</w:t>
            </w:r>
          </w:p>
          <w:p w:rsidR="00D02DF4"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 xml:space="preserve">US Government telling consumers to lessen their consumption of sodas &amp; snacks </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Any liabilities that the company may encounter( employee mistakes, consumer injuries, etc).</w:t>
            </w:r>
          </w:p>
          <w:p w:rsidR="005A4C93"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 xml:space="preserve">Competitors can expand/come together </w:t>
            </w:r>
          </w:p>
          <w:p w:rsidR="005A4C93" w:rsidRPr="009F49D2" w:rsidRDefault="005A4C93" w:rsidP="00ED2528">
            <w:pPr>
              <w:pStyle w:val="NormalWeb"/>
              <w:numPr>
                <w:ilvl w:val="0"/>
                <w:numId w:val="5"/>
              </w:numPr>
              <w:shd w:val="clear" w:color="auto" w:fill="FFFFFF"/>
              <w:spacing w:before="120" w:beforeAutospacing="0" w:after="0" w:afterAutospacing="0"/>
              <w:rPr>
                <w:rFonts w:asciiTheme="minorHAnsi" w:hAnsiTheme="minorHAnsi" w:cs="Arial"/>
                <w:color w:val="252525"/>
                <w:sz w:val="20"/>
                <w:szCs w:val="20"/>
              </w:rPr>
            </w:pPr>
            <w:r>
              <w:rPr>
                <w:rFonts w:asciiTheme="minorHAnsi" w:hAnsiTheme="minorHAnsi" w:cs="Arial"/>
                <w:color w:val="252525"/>
                <w:sz w:val="20"/>
                <w:szCs w:val="20"/>
              </w:rPr>
              <w:t>Consumers just decrease consumption of unhealthy snacks/beverages</w:t>
            </w:r>
          </w:p>
        </w:tc>
      </w:tr>
    </w:tbl>
    <w:p w:rsidR="009F49D2" w:rsidRDefault="009F49D2" w:rsidP="009F49D2">
      <w:pPr>
        <w:pStyle w:val="NormalWeb"/>
        <w:numPr>
          <w:ilvl w:val="0"/>
          <w:numId w:val="5"/>
        </w:numPr>
        <w:shd w:val="clear" w:color="auto" w:fill="FFFFFF"/>
        <w:rPr>
          <w:rFonts w:asciiTheme="minorHAnsi" w:hAnsiTheme="minorHAnsi" w:cs="Arial"/>
          <w:color w:val="252525"/>
          <w:sz w:val="20"/>
          <w:szCs w:val="20"/>
        </w:rPr>
        <w:sectPr w:rsidR="009F49D2">
          <w:pgSz w:w="12240" w:h="15840"/>
          <w:pgMar w:top="1440" w:right="1440" w:bottom="1440" w:left="1440" w:header="720" w:footer="720" w:gutter="0"/>
          <w:cols w:space="720"/>
          <w:docGrid w:linePitch="360"/>
        </w:sectPr>
      </w:pP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Brand equity</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 xml:space="preserve">39% of US snack food market </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50% of annual net revenue from outside the US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Currency risks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 xml:space="preserve">Diverse product portfolio </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Global competitors/imitators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Increase investment in their healthier brands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Multinational conglomerate</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New local government regulations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New national government regulations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Reliable dividend growth and share buybacks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Shift consumer preferences to healthier snacks</w:t>
      </w:r>
    </w:p>
    <w:p w:rsidR="009F49D2"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Consumers looking for healthier options</w:t>
      </w:r>
    </w:p>
    <w:p w:rsidR="00E368A6" w:rsidRPr="009F49D2" w:rsidRDefault="009F49D2" w:rsidP="009F49D2">
      <w:pPr>
        <w:pStyle w:val="NormalWeb"/>
        <w:numPr>
          <w:ilvl w:val="0"/>
          <w:numId w:val="5"/>
        </w:numPr>
        <w:shd w:val="clear" w:color="auto" w:fill="FFFFFF"/>
        <w:rPr>
          <w:rFonts w:asciiTheme="minorHAnsi" w:hAnsiTheme="minorHAnsi" w:cs="Arial"/>
          <w:color w:val="252525"/>
          <w:sz w:val="20"/>
          <w:szCs w:val="20"/>
        </w:rPr>
      </w:pPr>
      <w:r w:rsidRPr="009F49D2">
        <w:rPr>
          <w:rFonts w:asciiTheme="minorHAnsi" w:hAnsiTheme="minorHAnsi" w:cs="Arial"/>
          <w:color w:val="252525"/>
          <w:sz w:val="20"/>
          <w:szCs w:val="20"/>
        </w:rPr>
        <w:t>Strong cash-flow</w:t>
      </w:r>
    </w:p>
    <w:sectPr w:rsidR="00E368A6" w:rsidRPr="009F49D2" w:rsidSect="009F49D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EEB" w:rsidRDefault="00F66EEB" w:rsidP="00FC7491">
      <w:pPr>
        <w:spacing w:after="0" w:line="240" w:lineRule="auto"/>
      </w:pPr>
      <w:r>
        <w:separator/>
      </w:r>
    </w:p>
  </w:endnote>
  <w:endnote w:type="continuationSeparator" w:id="0">
    <w:p w:rsidR="00F66EEB" w:rsidRDefault="00F66EEB" w:rsidP="00FC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EEB" w:rsidRDefault="00F66EEB" w:rsidP="00FC7491">
      <w:pPr>
        <w:spacing w:after="0" w:line="240" w:lineRule="auto"/>
      </w:pPr>
      <w:r>
        <w:separator/>
      </w:r>
    </w:p>
  </w:footnote>
  <w:footnote w:type="continuationSeparator" w:id="0">
    <w:p w:rsidR="00F66EEB" w:rsidRDefault="00F66EEB" w:rsidP="00FC7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555D"/>
    <w:multiLevelType w:val="hybridMultilevel"/>
    <w:tmpl w:val="275C7714"/>
    <w:lvl w:ilvl="0" w:tplc="95D6BE84">
      <w:start w:val="1"/>
      <w:numFmt w:val="bullet"/>
      <w:lvlText w:val=""/>
      <w:lvlJc w:val="left"/>
      <w:pPr>
        <w:tabs>
          <w:tab w:val="num" w:pos="720"/>
        </w:tabs>
        <w:ind w:left="720" w:hanging="360"/>
      </w:pPr>
      <w:rPr>
        <w:rFonts w:ascii="Wingdings" w:hAnsi="Wingdings" w:hint="default"/>
      </w:rPr>
    </w:lvl>
    <w:lvl w:ilvl="1" w:tplc="68B4543E" w:tentative="1">
      <w:start w:val="1"/>
      <w:numFmt w:val="bullet"/>
      <w:lvlText w:val=""/>
      <w:lvlJc w:val="left"/>
      <w:pPr>
        <w:tabs>
          <w:tab w:val="num" w:pos="1440"/>
        </w:tabs>
        <w:ind w:left="1440" w:hanging="360"/>
      </w:pPr>
      <w:rPr>
        <w:rFonts w:ascii="Wingdings" w:hAnsi="Wingdings" w:hint="default"/>
      </w:rPr>
    </w:lvl>
    <w:lvl w:ilvl="2" w:tplc="405C9608" w:tentative="1">
      <w:start w:val="1"/>
      <w:numFmt w:val="bullet"/>
      <w:lvlText w:val=""/>
      <w:lvlJc w:val="left"/>
      <w:pPr>
        <w:tabs>
          <w:tab w:val="num" w:pos="2160"/>
        </w:tabs>
        <w:ind w:left="2160" w:hanging="360"/>
      </w:pPr>
      <w:rPr>
        <w:rFonts w:ascii="Wingdings" w:hAnsi="Wingdings" w:hint="default"/>
      </w:rPr>
    </w:lvl>
    <w:lvl w:ilvl="3" w:tplc="1D3628FC" w:tentative="1">
      <w:start w:val="1"/>
      <w:numFmt w:val="bullet"/>
      <w:lvlText w:val=""/>
      <w:lvlJc w:val="left"/>
      <w:pPr>
        <w:tabs>
          <w:tab w:val="num" w:pos="2880"/>
        </w:tabs>
        <w:ind w:left="2880" w:hanging="360"/>
      </w:pPr>
      <w:rPr>
        <w:rFonts w:ascii="Wingdings" w:hAnsi="Wingdings" w:hint="default"/>
      </w:rPr>
    </w:lvl>
    <w:lvl w:ilvl="4" w:tplc="AC5A9242" w:tentative="1">
      <w:start w:val="1"/>
      <w:numFmt w:val="bullet"/>
      <w:lvlText w:val=""/>
      <w:lvlJc w:val="left"/>
      <w:pPr>
        <w:tabs>
          <w:tab w:val="num" w:pos="3600"/>
        </w:tabs>
        <w:ind w:left="3600" w:hanging="360"/>
      </w:pPr>
      <w:rPr>
        <w:rFonts w:ascii="Wingdings" w:hAnsi="Wingdings" w:hint="default"/>
      </w:rPr>
    </w:lvl>
    <w:lvl w:ilvl="5" w:tplc="50F429BE" w:tentative="1">
      <w:start w:val="1"/>
      <w:numFmt w:val="bullet"/>
      <w:lvlText w:val=""/>
      <w:lvlJc w:val="left"/>
      <w:pPr>
        <w:tabs>
          <w:tab w:val="num" w:pos="4320"/>
        </w:tabs>
        <w:ind w:left="4320" w:hanging="360"/>
      </w:pPr>
      <w:rPr>
        <w:rFonts w:ascii="Wingdings" w:hAnsi="Wingdings" w:hint="default"/>
      </w:rPr>
    </w:lvl>
    <w:lvl w:ilvl="6" w:tplc="D786B24C" w:tentative="1">
      <w:start w:val="1"/>
      <w:numFmt w:val="bullet"/>
      <w:lvlText w:val=""/>
      <w:lvlJc w:val="left"/>
      <w:pPr>
        <w:tabs>
          <w:tab w:val="num" w:pos="5040"/>
        </w:tabs>
        <w:ind w:left="5040" w:hanging="360"/>
      </w:pPr>
      <w:rPr>
        <w:rFonts w:ascii="Wingdings" w:hAnsi="Wingdings" w:hint="default"/>
      </w:rPr>
    </w:lvl>
    <w:lvl w:ilvl="7" w:tplc="7BB657C0" w:tentative="1">
      <w:start w:val="1"/>
      <w:numFmt w:val="bullet"/>
      <w:lvlText w:val=""/>
      <w:lvlJc w:val="left"/>
      <w:pPr>
        <w:tabs>
          <w:tab w:val="num" w:pos="5760"/>
        </w:tabs>
        <w:ind w:left="5760" w:hanging="360"/>
      </w:pPr>
      <w:rPr>
        <w:rFonts w:ascii="Wingdings" w:hAnsi="Wingdings" w:hint="default"/>
      </w:rPr>
    </w:lvl>
    <w:lvl w:ilvl="8" w:tplc="F11C6A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DC2D1D"/>
    <w:multiLevelType w:val="hybridMultilevel"/>
    <w:tmpl w:val="D65ABAC4"/>
    <w:lvl w:ilvl="0" w:tplc="9E8E4046">
      <w:start w:val="1"/>
      <w:numFmt w:val="bullet"/>
      <w:lvlText w:val=""/>
      <w:lvlJc w:val="left"/>
      <w:pPr>
        <w:tabs>
          <w:tab w:val="num" w:pos="720"/>
        </w:tabs>
        <w:ind w:left="720" w:hanging="360"/>
      </w:pPr>
      <w:rPr>
        <w:rFonts w:ascii="Wingdings" w:hAnsi="Wingdings" w:hint="default"/>
      </w:rPr>
    </w:lvl>
    <w:lvl w:ilvl="1" w:tplc="151ACCD2" w:tentative="1">
      <w:start w:val="1"/>
      <w:numFmt w:val="bullet"/>
      <w:lvlText w:val=""/>
      <w:lvlJc w:val="left"/>
      <w:pPr>
        <w:tabs>
          <w:tab w:val="num" w:pos="1440"/>
        </w:tabs>
        <w:ind w:left="1440" w:hanging="360"/>
      </w:pPr>
      <w:rPr>
        <w:rFonts w:ascii="Wingdings" w:hAnsi="Wingdings" w:hint="default"/>
      </w:rPr>
    </w:lvl>
    <w:lvl w:ilvl="2" w:tplc="0F0A5E12" w:tentative="1">
      <w:start w:val="1"/>
      <w:numFmt w:val="bullet"/>
      <w:lvlText w:val=""/>
      <w:lvlJc w:val="left"/>
      <w:pPr>
        <w:tabs>
          <w:tab w:val="num" w:pos="2160"/>
        </w:tabs>
        <w:ind w:left="2160" w:hanging="360"/>
      </w:pPr>
      <w:rPr>
        <w:rFonts w:ascii="Wingdings" w:hAnsi="Wingdings" w:hint="default"/>
      </w:rPr>
    </w:lvl>
    <w:lvl w:ilvl="3" w:tplc="626C4AC0" w:tentative="1">
      <w:start w:val="1"/>
      <w:numFmt w:val="bullet"/>
      <w:lvlText w:val=""/>
      <w:lvlJc w:val="left"/>
      <w:pPr>
        <w:tabs>
          <w:tab w:val="num" w:pos="2880"/>
        </w:tabs>
        <w:ind w:left="2880" w:hanging="360"/>
      </w:pPr>
      <w:rPr>
        <w:rFonts w:ascii="Wingdings" w:hAnsi="Wingdings" w:hint="default"/>
      </w:rPr>
    </w:lvl>
    <w:lvl w:ilvl="4" w:tplc="31AACEE8" w:tentative="1">
      <w:start w:val="1"/>
      <w:numFmt w:val="bullet"/>
      <w:lvlText w:val=""/>
      <w:lvlJc w:val="left"/>
      <w:pPr>
        <w:tabs>
          <w:tab w:val="num" w:pos="3600"/>
        </w:tabs>
        <w:ind w:left="3600" w:hanging="360"/>
      </w:pPr>
      <w:rPr>
        <w:rFonts w:ascii="Wingdings" w:hAnsi="Wingdings" w:hint="default"/>
      </w:rPr>
    </w:lvl>
    <w:lvl w:ilvl="5" w:tplc="59A6CB14" w:tentative="1">
      <w:start w:val="1"/>
      <w:numFmt w:val="bullet"/>
      <w:lvlText w:val=""/>
      <w:lvlJc w:val="left"/>
      <w:pPr>
        <w:tabs>
          <w:tab w:val="num" w:pos="4320"/>
        </w:tabs>
        <w:ind w:left="4320" w:hanging="360"/>
      </w:pPr>
      <w:rPr>
        <w:rFonts w:ascii="Wingdings" w:hAnsi="Wingdings" w:hint="default"/>
      </w:rPr>
    </w:lvl>
    <w:lvl w:ilvl="6" w:tplc="3F027A8C" w:tentative="1">
      <w:start w:val="1"/>
      <w:numFmt w:val="bullet"/>
      <w:lvlText w:val=""/>
      <w:lvlJc w:val="left"/>
      <w:pPr>
        <w:tabs>
          <w:tab w:val="num" w:pos="5040"/>
        </w:tabs>
        <w:ind w:left="5040" w:hanging="360"/>
      </w:pPr>
      <w:rPr>
        <w:rFonts w:ascii="Wingdings" w:hAnsi="Wingdings" w:hint="default"/>
      </w:rPr>
    </w:lvl>
    <w:lvl w:ilvl="7" w:tplc="CEB6ADD4" w:tentative="1">
      <w:start w:val="1"/>
      <w:numFmt w:val="bullet"/>
      <w:lvlText w:val=""/>
      <w:lvlJc w:val="left"/>
      <w:pPr>
        <w:tabs>
          <w:tab w:val="num" w:pos="5760"/>
        </w:tabs>
        <w:ind w:left="5760" w:hanging="360"/>
      </w:pPr>
      <w:rPr>
        <w:rFonts w:ascii="Wingdings" w:hAnsi="Wingdings" w:hint="default"/>
      </w:rPr>
    </w:lvl>
    <w:lvl w:ilvl="8" w:tplc="24C84E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E362E7"/>
    <w:multiLevelType w:val="hybridMultilevel"/>
    <w:tmpl w:val="F11096F0"/>
    <w:lvl w:ilvl="0" w:tplc="08A4C0B2">
      <w:start w:val="1"/>
      <w:numFmt w:val="bullet"/>
      <w:lvlText w:val=""/>
      <w:lvlJc w:val="left"/>
      <w:pPr>
        <w:tabs>
          <w:tab w:val="num" w:pos="720"/>
        </w:tabs>
        <w:ind w:left="720" w:hanging="360"/>
      </w:pPr>
      <w:rPr>
        <w:rFonts w:ascii="Wingdings" w:hAnsi="Wingdings" w:hint="default"/>
      </w:rPr>
    </w:lvl>
    <w:lvl w:ilvl="1" w:tplc="0ADE45A4" w:tentative="1">
      <w:start w:val="1"/>
      <w:numFmt w:val="bullet"/>
      <w:lvlText w:val=""/>
      <w:lvlJc w:val="left"/>
      <w:pPr>
        <w:tabs>
          <w:tab w:val="num" w:pos="1440"/>
        </w:tabs>
        <w:ind w:left="1440" w:hanging="360"/>
      </w:pPr>
      <w:rPr>
        <w:rFonts w:ascii="Wingdings" w:hAnsi="Wingdings" w:hint="default"/>
      </w:rPr>
    </w:lvl>
    <w:lvl w:ilvl="2" w:tplc="054A2B04" w:tentative="1">
      <w:start w:val="1"/>
      <w:numFmt w:val="bullet"/>
      <w:lvlText w:val=""/>
      <w:lvlJc w:val="left"/>
      <w:pPr>
        <w:tabs>
          <w:tab w:val="num" w:pos="2160"/>
        </w:tabs>
        <w:ind w:left="2160" w:hanging="360"/>
      </w:pPr>
      <w:rPr>
        <w:rFonts w:ascii="Wingdings" w:hAnsi="Wingdings" w:hint="default"/>
      </w:rPr>
    </w:lvl>
    <w:lvl w:ilvl="3" w:tplc="810E94A0" w:tentative="1">
      <w:start w:val="1"/>
      <w:numFmt w:val="bullet"/>
      <w:lvlText w:val=""/>
      <w:lvlJc w:val="left"/>
      <w:pPr>
        <w:tabs>
          <w:tab w:val="num" w:pos="2880"/>
        </w:tabs>
        <w:ind w:left="2880" w:hanging="360"/>
      </w:pPr>
      <w:rPr>
        <w:rFonts w:ascii="Wingdings" w:hAnsi="Wingdings" w:hint="default"/>
      </w:rPr>
    </w:lvl>
    <w:lvl w:ilvl="4" w:tplc="633085C4" w:tentative="1">
      <w:start w:val="1"/>
      <w:numFmt w:val="bullet"/>
      <w:lvlText w:val=""/>
      <w:lvlJc w:val="left"/>
      <w:pPr>
        <w:tabs>
          <w:tab w:val="num" w:pos="3600"/>
        </w:tabs>
        <w:ind w:left="3600" w:hanging="360"/>
      </w:pPr>
      <w:rPr>
        <w:rFonts w:ascii="Wingdings" w:hAnsi="Wingdings" w:hint="default"/>
      </w:rPr>
    </w:lvl>
    <w:lvl w:ilvl="5" w:tplc="10086ED6" w:tentative="1">
      <w:start w:val="1"/>
      <w:numFmt w:val="bullet"/>
      <w:lvlText w:val=""/>
      <w:lvlJc w:val="left"/>
      <w:pPr>
        <w:tabs>
          <w:tab w:val="num" w:pos="4320"/>
        </w:tabs>
        <w:ind w:left="4320" w:hanging="360"/>
      </w:pPr>
      <w:rPr>
        <w:rFonts w:ascii="Wingdings" w:hAnsi="Wingdings" w:hint="default"/>
      </w:rPr>
    </w:lvl>
    <w:lvl w:ilvl="6" w:tplc="764CD676" w:tentative="1">
      <w:start w:val="1"/>
      <w:numFmt w:val="bullet"/>
      <w:lvlText w:val=""/>
      <w:lvlJc w:val="left"/>
      <w:pPr>
        <w:tabs>
          <w:tab w:val="num" w:pos="5040"/>
        </w:tabs>
        <w:ind w:left="5040" w:hanging="360"/>
      </w:pPr>
      <w:rPr>
        <w:rFonts w:ascii="Wingdings" w:hAnsi="Wingdings" w:hint="default"/>
      </w:rPr>
    </w:lvl>
    <w:lvl w:ilvl="7" w:tplc="F49A6D06" w:tentative="1">
      <w:start w:val="1"/>
      <w:numFmt w:val="bullet"/>
      <w:lvlText w:val=""/>
      <w:lvlJc w:val="left"/>
      <w:pPr>
        <w:tabs>
          <w:tab w:val="num" w:pos="5760"/>
        </w:tabs>
        <w:ind w:left="5760" w:hanging="360"/>
      </w:pPr>
      <w:rPr>
        <w:rFonts w:ascii="Wingdings" w:hAnsi="Wingdings" w:hint="default"/>
      </w:rPr>
    </w:lvl>
    <w:lvl w:ilvl="8" w:tplc="11D449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5D6034"/>
    <w:multiLevelType w:val="hybridMultilevel"/>
    <w:tmpl w:val="9CCC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A64AB"/>
    <w:multiLevelType w:val="hybridMultilevel"/>
    <w:tmpl w:val="7F24F0A8"/>
    <w:lvl w:ilvl="0" w:tplc="2488E9BE">
      <w:start w:val="1"/>
      <w:numFmt w:val="bullet"/>
      <w:lvlText w:val=""/>
      <w:lvlJc w:val="left"/>
      <w:pPr>
        <w:tabs>
          <w:tab w:val="num" w:pos="720"/>
        </w:tabs>
        <w:ind w:left="720" w:hanging="360"/>
      </w:pPr>
      <w:rPr>
        <w:rFonts w:ascii="Wingdings" w:hAnsi="Wingdings" w:hint="default"/>
      </w:rPr>
    </w:lvl>
    <w:lvl w:ilvl="1" w:tplc="9E18A1C4" w:tentative="1">
      <w:start w:val="1"/>
      <w:numFmt w:val="bullet"/>
      <w:lvlText w:val=""/>
      <w:lvlJc w:val="left"/>
      <w:pPr>
        <w:tabs>
          <w:tab w:val="num" w:pos="1440"/>
        </w:tabs>
        <w:ind w:left="1440" w:hanging="360"/>
      </w:pPr>
      <w:rPr>
        <w:rFonts w:ascii="Wingdings" w:hAnsi="Wingdings" w:hint="default"/>
      </w:rPr>
    </w:lvl>
    <w:lvl w:ilvl="2" w:tplc="50B47588" w:tentative="1">
      <w:start w:val="1"/>
      <w:numFmt w:val="bullet"/>
      <w:lvlText w:val=""/>
      <w:lvlJc w:val="left"/>
      <w:pPr>
        <w:tabs>
          <w:tab w:val="num" w:pos="2160"/>
        </w:tabs>
        <w:ind w:left="2160" w:hanging="360"/>
      </w:pPr>
      <w:rPr>
        <w:rFonts w:ascii="Wingdings" w:hAnsi="Wingdings" w:hint="default"/>
      </w:rPr>
    </w:lvl>
    <w:lvl w:ilvl="3" w:tplc="650A87D8" w:tentative="1">
      <w:start w:val="1"/>
      <w:numFmt w:val="bullet"/>
      <w:lvlText w:val=""/>
      <w:lvlJc w:val="left"/>
      <w:pPr>
        <w:tabs>
          <w:tab w:val="num" w:pos="2880"/>
        </w:tabs>
        <w:ind w:left="2880" w:hanging="360"/>
      </w:pPr>
      <w:rPr>
        <w:rFonts w:ascii="Wingdings" w:hAnsi="Wingdings" w:hint="default"/>
      </w:rPr>
    </w:lvl>
    <w:lvl w:ilvl="4" w:tplc="E410D3F0" w:tentative="1">
      <w:start w:val="1"/>
      <w:numFmt w:val="bullet"/>
      <w:lvlText w:val=""/>
      <w:lvlJc w:val="left"/>
      <w:pPr>
        <w:tabs>
          <w:tab w:val="num" w:pos="3600"/>
        </w:tabs>
        <w:ind w:left="3600" w:hanging="360"/>
      </w:pPr>
      <w:rPr>
        <w:rFonts w:ascii="Wingdings" w:hAnsi="Wingdings" w:hint="default"/>
      </w:rPr>
    </w:lvl>
    <w:lvl w:ilvl="5" w:tplc="2F564ACC" w:tentative="1">
      <w:start w:val="1"/>
      <w:numFmt w:val="bullet"/>
      <w:lvlText w:val=""/>
      <w:lvlJc w:val="left"/>
      <w:pPr>
        <w:tabs>
          <w:tab w:val="num" w:pos="4320"/>
        </w:tabs>
        <w:ind w:left="4320" w:hanging="360"/>
      </w:pPr>
      <w:rPr>
        <w:rFonts w:ascii="Wingdings" w:hAnsi="Wingdings" w:hint="default"/>
      </w:rPr>
    </w:lvl>
    <w:lvl w:ilvl="6" w:tplc="CB12E674" w:tentative="1">
      <w:start w:val="1"/>
      <w:numFmt w:val="bullet"/>
      <w:lvlText w:val=""/>
      <w:lvlJc w:val="left"/>
      <w:pPr>
        <w:tabs>
          <w:tab w:val="num" w:pos="5040"/>
        </w:tabs>
        <w:ind w:left="5040" w:hanging="360"/>
      </w:pPr>
      <w:rPr>
        <w:rFonts w:ascii="Wingdings" w:hAnsi="Wingdings" w:hint="default"/>
      </w:rPr>
    </w:lvl>
    <w:lvl w:ilvl="7" w:tplc="A5DA3B00" w:tentative="1">
      <w:start w:val="1"/>
      <w:numFmt w:val="bullet"/>
      <w:lvlText w:val=""/>
      <w:lvlJc w:val="left"/>
      <w:pPr>
        <w:tabs>
          <w:tab w:val="num" w:pos="5760"/>
        </w:tabs>
        <w:ind w:left="5760" w:hanging="360"/>
      </w:pPr>
      <w:rPr>
        <w:rFonts w:ascii="Wingdings" w:hAnsi="Wingdings" w:hint="default"/>
      </w:rPr>
    </w:lvl>
    <w:lvl w:ilvl="8" w:tplc="D326DE8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A6"/>
    <w:rsid w:val="000048CC"/>
    <w:rsid w:val="00062B18"/>
    <w:rsid w:val="000B3F6D"/>
    <w:rsid w:val="000D7272"/>
    <w:rsid w:val="00180D08"/>
    <w:rsid w:val="0018765D"/>
    <w:rsid w:val="0049162D"/>
    <w:rsid w:val="00575C57"/>
    <w:rsid w:val="005A4C93"/>
    <w:rsid w:val="005B1FC7"/>
    <w:rsid w:val="00651D35"/>
    <w:rsid w:val="007D644A"/>
    <w:rsid w:val="009F49D2"/>
    <w:rsid w:val="00D02DF4"/>
    <w:rsid w:val="00E368A6"/>
    <w:rsid w:val="00E83810"/>
    <w:rsid w:val="00ED2528"/>
    <w:rsid w:val="00F002EF"/>
    <w:rsid w:val="00F66EEB"/>
    <w:rsid w:val="00FB2660"/>
    <w:rsid w:val="00FC452B"/>
    <w:rsid w:val="00FC7491"/>
    <w:rsid w:val="00FD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39E6"/>
  <w15:chartTrackingRefBased/>
  <w15:docId w15:val="{92E7E1EC-2F38-4B03-B32C-7C4ADD0E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3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68A6"/>
  </w:style>
  <w:style w:type="character" w:styleId="Hyperlink">
    <w:name w:val="Hyperlink"/>
    <w:basedOn w:val="DefaultParagraphFont"/>
    <w:uiPriority w:val="99"/>
    <w:semiHidden/>
    <w:unhideWhenUsed/>
    <w:rsid w:val="00E368A6"/>
    <w:rPr>
      <w:color w:val="0000FF"/>
      <w:u w:val="single"/>
    </w:rPr>
  </w:style>
  <w:style w:type="character" w:styleId="Strong">
    <w:name w:val="Strong"/>
    <w:basedOn w:val="DefaultParagraphFont"/>
    <w:uiPriority w:val="22"/>
    <w:qFormat/>
    <w:rsid w:val="00E83810"/>
    <w:rPr>
      <w:b/>
      <w:bCs/>
    </w:rPr>
  </w:style>
  <w:style w:type="character" w:customStyle="1" w:styleId="ticker">
    <w:name w:val="ticker"/>
    <w:basedOn w:val="DefaultParagraphFont"/>
    <w:rsid w:val="00E83810"/>
  </w:style>
  <w:style w:type="paragraph" w:customStyle="1" w:styleId="Caption1">
    <w:name w:val="Caption1"/>
    <w:basedOn w:val="Normal"/>
    <w:rsid w:val="00E83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8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3810"/>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C7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491"/>
  </w:style>
  <w:style w:type="paragraph" w:styleId="Footer">
    <w:name w:val="footer"/>
    <w:basedOn w:val="Normal"/>
    <w:link w:val="FooterChar"/>
    <w:uiPriority w:val="99"/>
    <w:unhideWhenUsed/>
    <w:rsid w:val="00FC7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491"/>
  </w:style>
  <w:style w:type="table" w:styleId="TableGrid">
    <w:name w:val="Table Grid"/>
    <w:basedOn w:val="TableNormal"/>
    <w:uiPriority w:val="39"/>
    <w:rsid w:val="00D02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5952">
      <w:bodyDiv w:val="1"/>
      <w:marLeft w:val="0"/>
      <w:marRight w:val="0"/>
      <w:marTop w:val="0"/>
      <w:marBottom w:val="0"/>
      <w:divBdr>
        <w:top w:val="none" w:sz="0" w:space="0" w:color="auto"/>
        <w:left w:val="none" w:sz="0" w:space="0" w:color="auto"/>
        <w:bottom w:val="none" w:sz="0" w:space="0" w:color="auto"/>
        <w:right w:val="none" w:sz="0" w:space="0" w:color="auto"/>
      </w:divBdr>
      <w:divsChild>
        <w:div w:id="1763985816">
          <w:marLeft w:val="0"/>
          <w:marRight w:val="0"/>
          <w:marTop w:val="216"/>
          <w:marBottom w:val="0"/>
          <w:divBdr>
            <w:top w:val="none" w:sz="0" w:space="0" w:color="auto"/>
            <w:left w:val="none" w:sz="0" w:space="0" w:color="auto"/>
            <w:bottom w:val="none" w:sz="0" w:space="0" w:color="auto"/>
            <w:right w:val="none" w:sz="0" w:space="0" w:color="auto"/>
          </w:divBdr>
        </w:div>
        <w:div w:id="1789936133">
          <w:marLeft w:val="0"/>
          <w:marRight w:val="0"/>
          <w:marTop w:val="216"/>
          <w:marBottom w:val="0"/>
          <w:divBdr>
            <w:top w:val="none" w:sz="0" w:space="0" w:color="auto"/>
            <w:left w:val="none" w:sz="0" w:space="0" w:color="auto"/>
            <w:bottom w:val="none" w:sz="0" w:space="0" w:color="auto"/>
            <w:right w:val="none" w:sz="0" w:space="0" w:color="auto"/>
          </w:divBdr>
        </w:div>
        <w:div w:id="480657423">
          <w:marLeft w:val="0"/>
          <w:marRight w:val="0"/>
          <w:marTop w:val="216"/>
          <w:marBottom w:val="0"/>
          <w:divBdr>
            <w:top w:val="none" w:sz="0" w:space="0" w:color="auto"/>
            <w:left w:val="none" w:sz="0" w:space="0" w:color="auto"/>
            <w:bottom w:val="none" w:sz="0" w:space="0" w:color="auto"/>
            <w:right w:val="none" w:sz="0" w:space="0" w:color="auto"/>
          </w:divBdr>
        </w:div>
        <w:div w:id="1490243309">
          <w:marLeft w:val="0"/>
          <w:marRight w:val="0"/>
          <w:marTop w:val="216"/>
          <w:marBottom w:val="0"/>
          <w:divBdr>
            <w:top w:val="none" w:sz="0" w:space="0" w:color="auto"/>
            <w:left w:val="none" w:sz="0" w:space="0" w:color="auto"/>
            <w:bottom w:val="none" w:sz="0" w:space="0" w:color="auto"/>
            <w:right w:val="none" w:sz="0" w:space="0" w:color="auto"/>
          </w:divBdr>
        </w:div>
        <w:div w:id="1578976216">
          <w:marLeft w:val="0"/>
          <w:marRight w:val="0"/>
          <w:marTop w:val="216"/>
          <w:marBottom w:val="0"/>
          <w:divBdr>
            <w:top w:val="none" w:sz="0" w:space="0" w:color="auto"/>
            <w:left w:val="none" w:sz="0" w:space="0" w:color="auto"/>
            <w:bottom w:val="none" w:sz="0" w:space="0" w:color="auto"/>
            <w:right w:val="none" w:sz="0" w:space="0" w:color="auto"/>
          </w:divBdr>
        </w:div>
        <w:div w:id="1678650138">
          <w:marLeft w:val="0"/>
          <w:marRight w:val="0"/>
          <w:marTop w:val="216"/>
          <w:marBottom w:val="0"/>
          <w:divBdr>
            <w:top w:val="none" w:sz="0" w:space="0" w:color="auto"/>
            <w:left w:val="none" w:sz="0" w:space="0" w:color="auto"/>
            <w:bottom w:val="none" w:sz="0" w:space="0" w:color="auto"/>
            <w:right w:val="none" w:sz="0" w:space="0" w:color="auto"/>
          </w:divBdr>
        </w:div>
      </w:divsChild>
    </w:div>
    <w:div w:id="265965048">
      <w:bodyDiv w:val="1"/>
      <w:marLeft w:val="0"/>
      <w:marRight w:val="0"/>
      <w:marTop w:val="0"/>
      <w:marBottom w:val="0"/>
      <w:divBdr>
        <w:top w:val="none" w:sz="0" w:space="0" w:color="auto"/>
        <w:left w:val="none" w:sz="0" w:space="0" w:color="auto"/>
        <w:bottom w:val="none" w:sz="0" w:space="0" w:color="auto"/>
        <w:right w:val="none" w:sz="0" w:space="0" w:color="auto"/>
      </w:divBdr>
      <w:divsChild>
        <w:div w:id="1448239805">
          <w:marLeft w:val="776"/>
          <w:marRight w:val="429"/>
          <w:marTop w:val="0"/>
          <w:marBottom w:val="0"/>
          <w:divBdr>
            <w:top w:val="none" w:sz="0" w:space="0" w:color="auto"/>
            <w:left w:val="none" w:sz="0" w:space="0" w:color="auto"/>
            <w:bottom w:val="none" w:sz="0" w:space="0" w:color="auto"/>
            <w:right w:val="none" w:sz="0" w:space="0" w:color="auto"/>
          </w:divBdr>
          <w:divsChild>
            <w:div w:id="1742950258">
              <w:marLeft w:val="0"/>
              <w:marRight w:val="246"/>
              <w:marTop w:val="0"/>
              <w:marBottom w:val="0"/>
              <w:divBdr>
                <w:top w:val="none" w:sz="0" w:space="0" w:color="auto"/>
                <w:left w:val="none" w:sz="0" w:space="0" w:color="auto"/>
                <w:bottom w:val="none" w:sz="0" w:space="0" w:color="auto"/>
                <w:right w:val="none" w:sz="0" w:space="0" w:color="auto"/>
              </w:divBdr>
              <w:divsChild>
                <w:div w:id="109129317">
                  <w:marLeft w:val="0"/>
                  <w:marRight w:val="0"/>
                  <w:marTop w:val="0"/>
                  <w:marBottom w:val="0"/>
                  <w:divBdr>
                    <w:top w:val="none" w:sz="0" w:space="0" w:color="auto"/>
                    <w:left w:val="none" w:sz="0" w:space="0" w:color="auto"/>
                    <w:bottom w:val="none" w:sz="0" w:space="0" w:color="auto"/>
                    <w:right w:val="none" w:sz="0" w:space="0" w:color="auto"/>
                  </w:divBdr>
                  <w:divsChild>
                    <w:div w:id="2001426919">
                      <w:marLeft w:val="0"/>
                      <w:marRight w:val="0"/>
                      <w:marTop w:val="0"/>
                      <w:marBottom w:val="0"/>
                      <w:divBdr>
                        <w:top w:val="none" w:sz="0" w:space="0" w:color="auto"/>
                        <w:left w:val="none" w:sz="0" w:space="0" w:color="auto"/>
                        <w:bottom w:val="none" w:sz="0" w:space="0" w:color="auto"/>
                        <w:right w:val="none" w:sz="0" w:space="0" w:color="auto"/>
                      </w:divBdr>
                      <w:divsChild>
                        <w:div w:id="1985238675">
                          <w:marLeft w:val="0"/>
                          <w:marRight w:val="75"/>
                          <w:marTop w:val="0"/>
                          <w:marBottom w:val="0"/>
                          <w:divBdr>
                            <w:top w:val="none" w:sz="0" w:space="0" w:color="auto"/>
                            <w:left w:val="none" w:sz="0" w:space="0" w:color="auto"/>
                            <w:bottom w:val="none" w:sz="0" w:space="0" w:color="auto"/>
                            <w:right w:val="none" w:sz="0" w:space="0" w:color="auto"/>
                          </w:divBdr>
                        </w:div>
                        <w:div w:id="1488984496">
                          <w:marLeft w:val="0"/>
                          <w:marRight w:val="0"/>
                          <w:marTop w:val="0"/>
                          <w:marBottom w:val="0"/>
                          <w:divBdr>
                            <w:top w:val="none" w:sz="0" w:space="0" w:color="auto"/>
                            <w:left w:val="none" w:sz="0" w:space="0" w:color="auto"/>
                            <w:bottom w:val="none" w:sz="0" w:space="0" w:color="auto"/>
                            <w:right w:val="none" w:sz="0" w:space="0" w:color="auto"/>
                          </w:divBdr>
                        </w:div>
                      </w:divsChild>
                    </w:div>
                    <w:div w:id="432210958">
                      <w:marLeft w:val="0"/>
                      <w:marRight w:val="0"/>
                      <w:marTop w:val="0"/>
                      <w:marBottom w:val="0"/>
                      <w:divBdr>
                        <w:top w:val="none" w:sz="0" w:space="0" w:color="auto"/>
                        <w:left w:val="none" w:sz="0" w:space="0" w:color="auto"/>
                        <w:bottom w:val="none" w:sz="0" w:space="0" w:color="auto"/>
                        <w:right w:val="none" w:sz="0" w:space="0" w:color="auto"/>
                      </w:divBdr>
                      <w:divsChild>
                        <w:div w:id="1884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21199">
      <w:bodyDiv w:val="1"/>
      <w:marLeft w:val="0"/>
      <w:marRight w:val="0"/>
      <w:marTop w:val="0"/>
      <w:marBottom w:val="0"/>
      <w:divBdr>
        <w:top w:val="none" w:sz="0" w:space="0" w:color="auto"/>
        <w:left w:val="none" w:sz="0" w:space="0" w:color="auto"/>
        <w:bottom w:val="none" w:sz="0" w:space="0" w:color="auto"/>
        <w:right w:val="none" w:sz="0" w:space="0" w:color="auto"/>
      </w:divBdr>
    </w:div>
    <w:div w:id="515270196">
      <w:bodyDiv w:val="1"/>
      <w:marLeft w:val="0"/>
      <w:marRight w:val="0"/>
      <w:marTop w:val="0"/>
      <w:marBottom w:val="0"/>
      <w:divBdr>
        <w:top w:val="none" w:sz="0" w:space="0" w:color="auto"/>
        <w:left w:val="none" w:sz="0" w:space="0" w:color="auto"/>
        <w:bottom w:val="none" w:sz="0" w:space="0" w:color="auto"/>
        <w:right w:val="none" w:sz="0" w:space="0" w:color="auto"/>
      </w:divBdr>
    </w:div>
    <w:div w:id="1107387986">
      <w:bodyDiv w:val="1"/>
      <w:marLeft w:val="0"/>
      <w:marRight w:val="0"/>
      <w:marTop w:val="0"/>
      <w:marBottom w:val="0"/>
      <w:divBdr>
        <w:top w:val="none" w:sz="0" w:space="0" w:color="auto"/>
        <w:left w:val="none" w:sz="0" w:space="0" w:color="auto"/>
        <w:bottom w:val="none" w:sz="0" w:space="0" w:color="auto"/>
        <w:right w:val="none" w:sz="0" w:space="0" w:color="auto"/>
      </w:divBdr>
    </w:div>
    <w:div w:id="1232810102">
      <w:bodyDiv w:val="1"/>
      <w:marLeft w:val="0"/>
      <w:marRight w:val="0"/>
      <w:marTop w:val="0"/>
      <w:marBottom w:val="0"/>
      <w:divBdr>
        <w:top w:val="none" w:sz="0" w:space="0" w:color="auto"/>
        <w:left w:val="none" w:sz="0" w:space="0" w:color="auto"/>
        <w:bottom w:val="none" w:sz="0" w:space="0" w:color="auto"/>
        <w:right w:val="none" w:sz="0" w:space="0" w:color="auto"/>
      </w:divBdr>
      <w:divsChild>
        <w:div w:id="361705732">
          <w:marLeft w:val="0"/>
          <w:marRight w:val="0"/>
          <w:marTop w:val="216"/>
          <w:marBottom w:val="0"/>
          <w:divBdr>
            <w:top w:val="none" w:sz="0" w:space="0" w:color="auto"/>
            <w:left w:val="none" w:sz="0" w:space="0" w:color="auto"/>
            <w:bottom w:val="none" w:sz="0" w:space="0" w:color="auto"/>
            <w:right w:val="none" w:sz="0" w:space="0" w:color="auto"/>
          </w:divBdr>
        </w:div>
        <w:div w:id="645403915">
          <w:marLeft w:val="0"/>
          <w:marRight w:val="0"/>
          <w:marTop w:val="216"/>
          <w:marBottom w:val="0"/>
          <w:divBdr>
            <w:top w:val="none" w:sz="0" w:space="0" w:color="auto"/>
            <w:left w:val="none" w:sz="0" w:space="0" w:color="auto"/>
            <w:bottom w:val="none" w:sz="0" w:space="0" w:color="auto"/>
            <w:right w:val="none" w:sz="0" w:space="0" w:color="auto"/>
          </w:divBdr>
        </w:div>
        <w:div w:id="879123182">
          <w:marLeft w:val="0"/>
          <w:marRight w:val="0"/>
          <w:marTop w:val="216"/>
          <w:marBottom w:val="0"/>
          <w:divBdr>
            <w:top w:val="none" w:sz="0" w:space="0" w:color="auto"/>
            <w:left w:val="none" w:sz="0" w:space="0" w:color="auto"/>
            <w:bottom w:val="none" w:sz="0" w:space="0" w:color="auto"/>
            <w:right w:val="none" w:sz="0" w:space="0" w:color="auto"/>
          </w:divBdr>
        </w:div>
        <w:div w:id="32926807">
          <w:marLeft w:val="0"/>
          <w:marRight w:val="0"/>
          <w:marTop w:val="216"/>
          <w:marBottom w:val="0"/>
          <w:divBdr>
            <w:top w:val="none" w:sz="0" w:space="0" w:color="auto"/>
            <w:left w:val="none" w:sz="0" w:space="0" w:color="auto"/>
            <w:bottom w:val="none" w:sz="0" w:space="0" w:color="auto"/>
            <w:right w:val="none" w:sz="0" w:space="0" w:color="auto"/>
          </w:divBdr>
        </w:div>
        <w:div w:id="538277312">
          <w:marLeft w:val="0"/>
          <w:marRight w:val="0"/>
          <w:marTop w:val="216"/>
          <w:marBottom w:val="0"/>
          <w:divBdr>
            <w:top w:val="none" w:sz="0" w:space="0" w:color="auto"/>
            <w:left w:val="none" w:sz="0" w:space="0" w:color="auto"/>
            <w:bottom w:val="none" w:sz="0" w:space="0" w:color="auto"/>
            <w:right w:val="none" w:sz="0" w:space="0" w:color="auto"/>
          </w:divBdr>
        </w:div>
        <w:div w:id="1749502950">
          <w:marLeft w:val="0"/>
          <w:marRight w:val="0"/>
          <w:marTop w:val="216"/>
          <w:marBottom w:val="0"/>
          <w:divBdr>
            <w:top w:val="none" w:sz="0" w:space="0" w:color="auto"/>
            <w:left w:val="none" w:sz="0" w:space="0" w:color="auto"/>
            <w:bottom w:val="none" w:sz="0" w:space="0" w:color="auto"/>
            <w:right w:val="none" w:sz="0" w:space="0" w:color="auto"/>
          </w:divBdr>
        </w:div>
        <w:div w:id="1150554492">
          <w:marLeft w:val="0"/>
          <w:marRight w:val="0"/>
          <w:marTop w:val="216"/>
          <w:marBottom w:val="0"/>
          <w:divBdr>
            <w:top w:val="none" w:sz="0" w:space="0" w:color="auto"/>
            <w:left w:val="none" w:sz="0" w:space="0" w:color="auto"/>
            <w:bottom w:val="none" w:sz="0" w:space="0" w:color="auto"/>
            <w:right w:val="none" w:sz="0" w:space="0" w:color="auto"/>
          </w:divBdr>
        </w:div>
      </w:divsChild>
    </w:div>
    <w:div w:id="1317147114">
      <w:bodyDiv w:val="1"/>
      <w:marLeft w:val="0"/>
      <w:marRight w:val="0"/>
      <w:marTop w:val="0"/>
      <w:marBottom w:val="0"/>
      <w:divBdr>
        <w:top w:val="none" w:sz="0" w:space="0" w:color="auto"/>
        <w:left w:val="none" w:sz="0" w:space="0" w:color="auto"/>
        <w:bottom w:val="none" w:sz="0" w:space="0" w:color="auto"/>
        <w:right w:val="none" w:sz="0" w:space="0" w:color="auto"/>
      </w:divBdr>
      <w:divsChild>
        <w:div w:id="1070688092">
          <w:marLeft w:val="0"/>
          <w:marRight w:val="0"/>
          <w:marTop w:val="216"/>
          <w:marBottom w:val="0"/>
          <w:divBdr>
            <w:top w:val="none" w:sz="0" w:space="0" w:color="auto"/>
            <w:left w:val="none" w:sz="0" w:space="0" w:color="auto"/>
            <w:bottom w:val="none" w:sz="0" w:space="0" w:color="auto"/>
            <w:right w:val="none" w:sz="0" w:space="0" w:color="auto"/>
          </w:divBdr>
        </w:div>
        <w:div w:id="802698301">
          <w:marLeft w:val="0"/>
          <w:marRight w:val="0"/>
          <w:marTop w:val="216"/>
          <w:marBottom w:val="0"/>
          <w:divBdr>
            <w:top w:val="none" w:sz="0" w:space="0" w:color="auto"/>
            <w:left w:val="none" w:sz="0" w:space="0" w:color="auto"/>
            <w:bottom w:val="none" w:sz="0" w:space="0" w:color="auto"/>
            <w:right w:val="none" w:sz="0" w:space="0" w:color="auto"/>
          </w:divBdr>
        </w:div>
        <w:div w:id="1936553576">
          <w:marLeft w:val="0"/>
          <w:marRight w:val="0"/>
          <w:marTop w:val="216"/>
          <w:marBottom w:val="0"/>
          <w:divBdr>
            <w:top w:val="none" w:sz="0" w:space="0" w:color="auto"/>
            <w:left w:val="none" w:sz="0" w:space="0" w:color="auto"/>
            <w:bottom w:val="none" w:sz="0" w:space="0" w:color="auto"/>
            <w:right w:val="none" w:sz="0" w:space="0" w:color="auto"/>
          </w:divBdr>
        </w:div>
        <w:div w:id="796023547">
          <w:marLeft w:val="0"/>
          <w:marRight w:val="0"/>
          <w:marTop w:val="216"/>
          <w:marBottom w:val="0"/>
          <w:divBdr>
            <w:top w:val="none" w:sz="0" w:space="0" w:color="auto"/>
            <w:left w:val="none" w:sz="0" w:space="0" w:color="auto"/>
            <w:bottom w:val="none" w:sz="0" w:space="0" w:color="auto"/>
            <w:right w:val="none" w:sz="0" w:space="0" w:color="auto"/>
          </w:divBdr>
        </w:div>
        <w:div w:id="1857189631">
          <w:marLeft w:val="0"/>
          <w:marRight w:val="0"/>
          <w:marTop w:val="216"/>
          <w:marBottom w:val="0"/>
          <w:divBdr>
            <w:top w:val="none" w:sz="0" w:space="0" w:color="auto"/>
            <w:left w:val="none" w:sz="0" w:space="0" w:color="auto"/>
            <w:bottom w:val="none" w:sz="0" w:space="0" w:color="auto"/>
            <w:right w:val="none" w:sz="0" w:space="0" w:color="auto"/>
          </w:divBdr>
        </w:div>
      </w:divsChild>
    </w:div>
    <w:div w:id="1502311001">
      <w:bodyDiv w:val="1"/>
      <w:marLeft w:val="0"/>
      <w:marRight w:val="0"/>
      <w:marTop w:val="0"/>
      <w:marBottom w:val="0"/>
      <w:divBdr>
        <w:top w:val="none" w:sz="0" w:space="0" w:color="auto"/>
        <w:left w:val="none" w:sz="0" w:space="0" w:color="auto"/>
        <w:bottom w:val="none" w:sz="0" w:space="0" w:color="auto"/>
        <w:right w:val="none" w:sz="0" w:space="0" w:color="auto"/>
      </w:divBdr>
    </w:div>
    <w:div w:id="1744640207">
      <w:bodyDiv w:val="1"/>
      <w:marLeft w:val="0"/>
      <w:marRight w:val="0"/>
      <w:marTop w:val="0"/>
      <w:marBottom w:val="0"/>
      <w:divBdr>
        <w:top w:val="none" w:sz="0" w:space="0" w:color="auto"/>
        <w:left w:val="none" w:sz="0" w:space="0" w:color="auto"/>
        <w:bottom w:val="none" w:sz="0" w:space="0" w:color="auto"/>
        <w:right w:val="none" w:sz="0" w:space="0" w:color="auto"/>
      </w:divBdr>
    </w:div>
    <w:div w:id="1747411404">
      <w:bodyDiv w:val="1"/>
      <w:marLeft w:val="0"/>
      <w:marRight w:val="0"/>
      <w:marTop w:val="0"/>
      <w:marBottom w:val="0"/>
      <w:divBdr>
        <w:top w:val="none" w:sz="0" w:space="0" w:color="auto"/>
        <w:left w:val="none" w:sz="0" w:space="0" w:color="auto"/>
        <w:bottom w:val="none" w:sz="0" w:space="0" w:color="auto"/>
        <w:right w:val="none" w:sz="0" w:space="0" w:color="auto"/>
      </w:divBdr>
      <w:divsChild>
        <w:div w:id="1525705045">
          <w:marLeft w:val="0"/>
          <w:marRight w:val="0"/>
          <w:marTop w:val="216"/>
          <w:marBottom w:val="0"/>
          <w:divBdr>
            <w:top w:val="none" w:sz="0" w:space="0" w:color="auto"/>
            <w:left w:val="none" w:sz="0" w:space="0" w:color="auto"/>
            <w:bottom w:val="none" w:sz="0" w:space="0" w:color="auto"/>
            <w:right w:val="none" w:sz="0" w:space="0" w:color="auto"/>
          </w:divBdr>
        </w:div>
        <w:div w:id="1325817363">
          <w:marLeft w:val="0"/>
          <w:marRight w:val="0"/>
          <w:marTop w:val="216"/>
          <w:marBottom w:val="0"/>
          <w:divBdr>
            <w:top w:val="none" w:sz="0" w:space="0" w:color="auto"/>
            <w:left w:val="none" w:sz="0" w:space="0" w:color="auto"/>
            <w:bottom w:val="none" w:sz="0" w:space="0" w:color="auto"/>
            <w:right w:val="none" w:sz="0" w:space="0" w:color="auto"/>
          </w:divBdr>
        </w:div>
        <w:div w:id="1164129973">
          <w:marLeft w:val="0"/>
          <w:marRight w:val="0"/>
          <w:marTop w:val="216"/>
          <w:marBottom w:val="0"/>
          <w:divBdr>
            <w:top w:val="none" w:sz="0" w:space="0" w:color="auto"/>
            <w:left w:val="none" w:sz="0" w:space="0" w:color="auto"/>
            <w:bottom w:val="none" w:sz="0" w:space="0" w:color="auto"/>
            <w:right w:val="none" w:sz="0" w:space="0" w:color="auto"/>
          </w:divBdr>
        </w:div>
        <w:div w:id="689990553">
          <w:marLeft w:val="0"/>
          <w:marRight w:val="0"/>
          <w:marTop w:val="216"/>
          <w:marBottom w:val="0"/>
          <w:divBdr>
            <w:top w:val="none" w:sz="0" w:space="0" w:color="auto"/>
            <w:left w:val="none" w:sz="0" w:space="0" w:color="auto"/>
            <w:bottom w:val="none" w:sz="0" w:space="0" w:color="auto"/>
            <w:right w:val="none" w:sz="0" w:space="0" w:color="auto"/>
          </w:divBdr>
        </w:div>
      </w:divsChild>
    </w:div>
    <w:div w:id="1750689883">
      <w:bodyDiv w:val="1"/>
      <w:marLeft w:val="0"/>
      <w:marRight w:val="0"/>
      <w:marTop w:val="0"/>
      <w:marBottom w:val="0"/>
      <w:divBdr>
        <w:top w:val="none" w:sz="0" w:space="0" w:color="auto"/>
        <w:left w:val="none" w:sz="0" w:space="0" w:color="auto"/>
        <w:bottom w:val="none" w:sz="0" w:space="0" w:color="auto"/>
        <w:right w:val="none" w:sz="0" w:space="0" w:color="auto"/>
      </w:divBdr>
    </w:div>
    <w:div w:id="1942449369">
      <w:bodyDiv w:val="1"/>
      <w:marLeft w:val="0"/>
      <w:marRight w:val="0"/>
      <w:marTop w:val="0"/>
      <w:marBottom w:val="0"/>
      <w:divBdr>
        <w:top w:val="none" w:sz="0" w:space="0" w:color="auto"/>
        <w:left w:val="none" w:sz="0" w:space="0" w:color="auto"/>
        <w:bottom w:val="none" w:sz="0" w:space="0" w:color="auto"/>
        <w:right w:val="none" w:sz="0" w:space="0" w:color="auto"/>
      </w:divBdr>
    </w:div>
    <w:div w:id="2028749635">
      <w:bodyDiv w:val="1"/>
      <w:marLeft w:val="0"/>
      <w:marRight w:val="0"/>
      <w:marTop w:val="0"/>
      <w:marBottom w:val="0"/>
      <w:divBdr>
        <w:top w:val="none" w:sz="0" w:space="0" w:color="auto"/>
        <w:left w:val="none" w:sz="0" w:space="0" w:color="auto"/>
        <w:bottom w:val="none" w:sz="0" w:space="0" w:color="auto"/>
        <w:right w:val="none" w:sz="0" w:space="0" w:color="auto"/>
      </w:divBdr>
      <w:divsChild>
        <w:div w:id="34984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eps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Hurter, Gerda</dc:creator>
  <cp:keywords/>
  <dc:description/>
  <cp:lastModifiedBy>Patrick William Go</cp:lastModifiedBy>
  <cp:revision>2</cp:revision>
  <dcterms:created xsi:type="dcterms:W3CDTF">2017-10-04T18:41:00Z</dcterms:created>
  <dcterms:modified xsi:type="dcterms:W3CDTF">2017-10-04T18:41:00Z</dcterms:modified>
</cp:coreProperties>
</file>