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MuleSoft Development Standards</w:t>
      </w:r>
    </w:p>
    <w:p>
      <w:pPr/>
      <w:r>
        <w:t xml:space="preserve">Oct 9, 2026</w:t>
      </w:r>
      <w:r>
        <w:t xml:space="preserve"> · </w:t>
      </w:r>
      <w:r>
        <w:t xml:space="preserve">@Vikas Hegde</w:t>
      </w:r>
    </w:p>
    <w:p>
      <w:pPr>
        <w:pStyle w:val="Heading2"/>
      </w:pPr>
      <w:r>
        <w:t xml:space="preserve">Purpose &amp; scope</w:t>
      </w:r>
    </w:p>
    <w:p>
      <w:pPr/>
      <w:r>
        <w:t xml:space="preserve">Every Mule 4 application the integration team ships must meet all </w:t>
      </w:r>
      <w:r>
        <w:rPr>
          <w:b/>
        </w:rPr>
        <w:t xml:space="preserve">Blocking</w:t>
      </w:r>
      <w:r>
        <w:t xml:space="preserve"> rules in this document before its pull request merges; </w:t>
      </w:r>
      <w:r>
        <w:rPr>
          <w:b/>
        </w:rPr>
        <w:t xml:space="preserve">Advisory</w:t>
      </w:r>
      <w:r>
        <w:t xml:space="preserve"> rules are expected but can be waived with a written reason in the PR.</w:t>
      </w:r>
    </w:p>
    <w:p>
      <w:pPr/>
      <w:r>
        <w:rPr>
          <w:b/>
        </w:rPr>
        <w:t xml:space="preserve">Applies to:</w:t>
      </w:r>
      <w:r>
        <w:t xml:space="preserve"> experience, process and system APIs, batch jobs and event-driven integrations built on Mule 4 and deployed to Anypoint Platform (CloudHub 1.0, CloudHub 2.0 or Runtime Fabric). Shared libraries and API fragments published to Exchange follow the same rules.</w:t>
      </w:r>
    </w:p>
    <w:p>
      <w:pPr/>
      <w:r>
        <w:rPr>
          <w:b/>
        </w:rPr>
        <w:t xml:space="preserve">Rule strength:</w:t>
      </w:r>
      <w:r>
        <w:t xml:space="preserve"> </w:t>
      </w:r>
      <w:r>
        <w:rPr>
          <w:i/>
        </w:rPr>
        <w:t xml:space="preserve">must</w:t>
      </w:r>
      <w:r>
        <w:t xml:space="preserve"> = Blocking (CI or the reviewer fails the PR); </w:t>
      </w:r>
      <w:r>
        <w:rPr>
          <w:i/>
        </w:rPr>
        <w:t xml:space="preserve">should</w:t>
      </w:r>
      <w:r>
        <w:t xml:space="preserve"> = Advisory (reviewer flags it); </w:t>
      </w:r>
      <w:r>
        <w:rPr>
          <w:i/>
        </w:rPr>
        <w:t xml:space="preserve">may</w:t>
      </w:r>
      <w:r>
        <w:t xml:space="preserve"> = team's choice. Severity is restated per rule in the review checklist at the end.</w:t>
      </w:r>
    </w:p>
    <w:p>
      <w:pPr/>
      <w:r>
        <w:rPr>
          <w:b/>
        </w:rPr>
        <w:t xml:space="preserve">Placeholders:</w:t>
      </w:r>
      <w:r>
        <w:t xml:space="preserve"> this is a sanitized export. Names such as </w:t>
      </w:r>
      <w:r>
        <w:rPr>
          <w:rStyle w:val="CodeChar"/>
        </w:rPr>
        <w:t xml:space="preserve">&lt;org&gt;</w:t>
      </w:r>
      <w:r>
        <w:t xml:space="preserve">, </w:t>
      </w:r>
      <w:r>
        <w:rPr>
          <w:rStyle w:val="CodeChar"/>
        </w:rPr>
        <w:t xml:space="preserve">&lt;domain&gt;</w:t>
      </w:r>
      <w:r>
        <w:t xml:space="preserve">, </w:t>
      </w:r>
      <w:r>
        <w:rPr>
          <w:rStyle w:val="CodeChar"/>
        </w:rPr>
        <w:t xml:space="preserve">customer-orders-sys-v1</w:t>
      </w:r>
      <w:r>
        <w:t xml:space="preserve"> and </w:t>
      </w:r>
      <w:r>
        <w:rPr>
          <w:rStyle w:val="CodeChar"/>
        </w:rPr>
        <w:t xml:space="preserve">erp</w:t>
      </w:r>
      <w:r>
        <w:t xml:space="preserve"> are examples; substitute your own organisation, domain and system names. Nothing here identifies a specific client, environment or endpoint.</w:t>
      </w:r>
    </w:p>
    <w:p>
      <w:pPr/>
      <w:r>
        <w:rPr>
          <w:b/>
        </w:rPr>
        <w:t xml:space="preserve">Ownership:</w:t>
      </w:r>
      <w:r>
        <w:t xml:space="preserve"> the integration architecture group owns this document, reviews it at every Mule LTS release, and records changes in the review checklist's version note.</w:t>
      </w:r>
    </w:p>
    <w:p>
      <w:pPr/>
      <w:r>
        <w:rPr>
          <w:b/>
        </w:rPr>
        <w:t xml:space="preserve">Provenance:</w:t>
      </w:r>
      <w:r>
        <w:t xml:space="preserve"> every rule follows MuleSoft documentation or a MuleSoft-published ruleset where one exists; those pages are linked in Sources at the end. Where MuleSoft publishes no recommendation, the rule is ordinary engineering practice. A rule marked </w:t>
      </w:r>
      <w:r>
        <w:rPr>
          <w:b/>
        </w:rPr>
        <w:t xml:space="preserve">(org)</w:t>
      </w:r>
      <w:r>
        <w:t xml:space="preserve"> is an organisation-specific choice that can be changed without departing from MuleSoft guidance.</w:t>
      </w:r>
    </w:p>
    <w:p>
      <w:pPr>
        <w:pStyle w:val="Heading2"/>
      </w:pPr>
      <w:r>
        <w:t xml:space="preserve">Naming conventions</w:t>
      </w:r>
    </w:p>
    <w:p>
      <w:pPr/>
      <w:r>
        <w:t xml:space="preserve">MuleSoft requires a naming convention but does not prescribe one, so the convention below is an organisation choice </w:t>
      </w:r>
      <w:r>
        <w:rPr>
          <w:b/>
        </w:rPr>
        <w:t xml:space="preserve">(org)</w:t>
      </w:r>
      <w:r>
        <w:t xml:space="preserve"> built on MuleSoft's own defaults: the System/Process/Experience layers of API-led connectivity, APIkit's generated flow names, the </w:t>
      </w:r>
      <w:r>
        <w:rPr>
          <w:rStyle w:val="CodeChar"/>
        </w:rPr>
        <w:t xml:space="preserve">modules/</w:t>
      </w:r>
      <w:r>
        <w:t xml:space="preserve"> folder for DataWeave modules and the reserved </w:t>
      </w:r>
      <w:r>
        <w:rPr>
          <w:rStyle w:val="CodeChar"/>
        </w:rPr>
        <w:t xml:space="preserve">http.port</w:t>
      </w:r>
      <w:r>
        <w:t xml:space="preserve"> property. One lowercase kebab-case name travels from Git to Exchange to the runtime, with the environment added only as a deployment suffix.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w:t>
            </w:r>
          </w:p>
        </w:tc>
        <w:tc>
          <w:tcPr>
            <w:tcW w:w="3120" w:type="dxa"/>
            <w:shd w:val="clear" w:color="auto" w:fill="F2F2F2"/>
          </w:tcPr>
          <w:p>
            <w:pPr/>
            <w:r>
              <w:t xml:space="preserve">Pattern</w:t>
            </w:r>
          </w:p>
        </w:tc>
        <w:tc>
          <w:tcPr>
            <w:tcW w:w="3120" w:type="dxa"/>
            <w:shd w:val="clear" w:color="auto" w:fill="F2F2F2"/>
          </w:tcPr>
          <w:p>
            <w:pPr/>
            <w:r>
              <w:t xml:space="preserve">Example</w:t>
            </w:r>
          </w:p>
        </w:tc>
      </w:tr>
      <w:tr>
        <w:tc>
          <w:tcPr>
            <w:tcW w:w="3120" w:type="dxa"/>
          </w:tcPr>
          <w:p>
            <w:pPr/>
            <w:r>
              <w:t xml:space="preserve">Git repository / Maven </w:t>
            </w:r>
            <w:r>
              <w:rPr>
                <w:rStyle w:val="CodeChar"/>
              </w:rPr>
              <w:t xml:space="preserve">artifactId</w:t>
            </w:r>
          </w:p>
        </w:tc>
        <w:tc>
          <w:tcPr>
            <w:tcW w:w="3120" w:type="dxa"/>
          </w:tcPr>
          <w:p>
            <w:pPr/>
            <w:r>
              <w:rPr>
                <w:rStyle w:val="CodeChar"/>
              </w:rPr>
              <w:t xml:space="preserve">&lt;domain&gt;-&lt;layer&gt;-v&lt;major&gt;</w:t>
            </w:r>
            <w:r>
              <w:t xml:space="preserve"> — layer is </w:t>
            </w:r>
            <w:r>
              <w:rPr>
                <w:rStyle w:val="CodeChar"/>
              </w:rPr>
              <w:t xml:space="preserve">exp</w:t>
            </w:r>
            <w:r>
              <w:t xml:space="preserve">, </w:t>
            </w:r>
            <w:r>
              <w:rPr>
                <w:rStyle w:val="CodeChar"/>
              </w:rPr>
              <w:t xml:space="preserve">prc</w:t>
            </w:r>
            <w:r>
              <w:t xml:space="preserve"> or </w:t>
            </w:r>
            <w:r>
              <w:rPr>
                <w:rStyle w:val="CodeChar"/>
              </w:rPr>
              <w:t xml:space="preserve">sys</w:t>
            </w:r>
            <w:r>
              <w:t xml:space="preserve">, the short form of MuleSoft's Experience, Process and System API layers; the major-version suffix lets two majors run side by side (org)</w:t>
            </w:r>
          </w:p>
        </w:tc>
        <w:tc>
          <w:tcPr>
            <w:tcW w:w="3120" w:type="dxa"/>
          </w:tcPr>
          <w:p>
            <w:pPr/>
            <w:r>
              <w:rPr>
                <w:rStyle w:val="CodeChar"/>
              </w:rPr>
              <w:t xml:space="preserve">customer-orders-sys-v1</w:t>
            </w:r>
          </w:p>
        </w:tc>
      </w:tr>
      <w:tr>
        <w:tc>
          <w:tcPr>
            <w:tcW w:w="3120" w:type="dxa"/>
          </w:tcPr>
          <w:p>
            <w:pPr/>
            <w:r>
              <w:t xml:space="preserve">Exchange API specification</w:t>
            </w:r>
          </w:p>
        </w:tc>
        <w:tc>
          <w:tcPr>
            <w:tcW w:w="3120" w:type="dxa"/>
          </w:tcPr>
          <w:p>
            <w:pPr/>
            <w:r>
              <w:t xml:space="preserve">asset </w:t>
            </w:r>
            <w:r>
              <w:rPr>
                <w:rStyle w:val="CodeChar"/>
              </w:rPr>
              <w:t xml:space="preserve">&lt;domain&gt;-&lt;layer&gt;-api</w:t>
            </w:r>
            <w:r>
              <w:t xml:space="preserve">; title spells the layer out, as MuleSoft's own accelerator assets do (</w:t>
            </w:r>
            <w:r>
              <w:rPr>
                <w:i/>
              </w:rPr>
              <w:t xml:space="preserve">Customer Orders System API</w:t>
            </w:r>
            <w:r>
              <w:t xml:space="preserve">) (org)</w:t>
            </w:r>
          </w:p>
        </w:tc>
        <w:tc>
          <w:tcPr>
            <w:tcW w:w="3120" w:type="dxa"/>
          </w:tcPr>
          <w:p>
            <w:pPr/>
            <w:r>
              <w:rPr>
                <w:rStyle w:val="CodeChar"/>
              </w:rPr>
              <w:t xml:space="preserve">customer-orders-sys-api</w:t>
            </w:r>
          </w:p>
        </w:tc>
      </w:tr>
      <w:tr>
        <w:tc>
          <w:tcPr>
            <w:tcW w:w="3120" w:type="dxa"/>
          </w:tcPr>
          <w:p>
            <w:pPr/>
            <w:r>
              <w:t xml:space="preserve">Runtime application (CloudHub / RTF)</w:t>
            </w:r>
          </w:p>
        </w:tc>
        <w:tc>
          <w:tcPr>
            <w:tcW w:w="3120" w:type="dxa"/>
          </w:tcPr>
          <w:p>
            <w:pPr/>
            <w:r>
              <w:rPr>
                <w:rStyle w:val="CodeChar"/>
              </w:rPr>
              <w:t xml:space="preserve">&lt;artifactId&gt;-&lt;env&gt;</w:t>
            </w:r>
            <w:r>
              <w:t xml:space="preserve"> — CloudHub application names must be unique across the platform, so the environment suffix is required (org)</w:t>
            </w:r>
          </w:p>
        </w:tc>
        <w:tc>
          <w:tcPr>
            <w:tcW w:w="3120" w:type="dxa"/>
          </w:tcPr>
          <w:p>
            <w:pPr/>
            <w:r>
              <w:rPr>
                <w:rStyle w:val="CodeChar"/>
              </w:rPr>
              <w:t xml:space="preserve">customer-orders-sys-v1-uat</w:t>
            </w:r>
          </w:p>
        </w:tc>
      </w:tr>
      <w:tr>
        <w:tc>
          <w:tcPr>
            <w:tcW w:w="3120" w:type="dxa"/>
          </w:tcPr>
          <w:p>
            <w:pPr/>
            <w:r>
              <w:t xml:space="preserve">API base path</w:t>
            </w:r>
          </w:p>
        </w:tc>
        <w:tc>
          <w:tcPr>
            <w:tcW w:w="3120" w:type="dxa"/>
          </w:tcPr>
          <w:p>
            <w:pPr/>
            <w:r>
              <w:rPr>
                <w:rStyle w:val="CodeChar"/>
              </w:rPr>
              <w:t xml:space="preserve">/api/v&lt;major&gt;</w:t>
            </w:r>
            <w:r>
              <w:t xml:space="preserve"> — major version only; a defined base-URL pattern is a rule in MuleSoft's Anypoint Best Practices ruleset (org)</w:t>
            </w:r>
          </w:p>
        </w:tc>
        <w:tc>
          <w:tcPr>
            <w:tcW w:w="3120" w:type="dxa"/>
          </w:tcPr>
          <w:p>
            <w:pPr/>
            <w:r>
              <w:rPr>
                <w:rStyle w:val="CodeChar"/>
              </w:rPr>
              <w:t xml:space="preserve">/api/v1/orders</w:t>
            </w:r>
          </w:p>
        </w:tc>
      </w:tr>
      <w:tr>
        <w:tc>
          <w:tcPr>
            <w:tcW w:w="3120" w:type="dxa"/>
          </w:tcPr>
          <w:p>
            <w:pPr/>
            <w:r>
              <w:t xml:space="preserve">Mule configuration files</w:t>
            </w:r>
          </w:p>
        </w:tc>
        <w:tc>
          <w:tcPr>
            <w:tcW w:w="3120" w:type="dxa"/>
          </w:tcPr>
          <w:p>
            <w:pPr/>
            <w:r>
              <w:t xml:space="preserve">MuleSoft: one file for global elements, one per use case or resource, separate files for common logic → </w:t>
            </w:r>
            <w:r>
              <w:rPr>
                <w:rStyle w:val="CodeChar"/>
              </w:rPr>
              <w:t xml:space="preserve">global.xml</w:t>
            </w:r>
            <w:r>
              <w:t xml:space="preserve">, </w:t>
            </w:r>
            <w:r>
              <w:rPr>
                <w:rStyle w:val="CodeChar"/>
              </w:rPr>
              <w:t xml:space="preserve">&lt;name&gt;-api.xml</w:t>
            </w:r>
            <w:r>
              <w:t xml:space="preserve"> (router), </w:t>
            </w:r>
            <w:r>
              <w:rPr>
                <w:rStyle w:val="CodeChar"/>
              </w:rPr>
              <w:t xml:space="preserve">&lt;resource&gt;-impl.xml</w:t>
            </w:r>
            <w:r>
              <w:t xml:space="preserve">, </w:t>
            </w:r>
            <w:r>
              <w:rPr>
                <w:rStyle w:val="CodeChar"/>
              </w:rPr>
              <w:t xml:space="preserve">error-handler.xml</w:t>
            </w:r>
          </w:p>
        </w:tc>
        <w:tc>
          <w:tcPr>
            <w:tcW w:w="3120" w:type="dxa"/>
          </w:tcPr>
          <w:p>
            <w:pPr/>
            <w:r>
              <w:rPr>
                <w:rStyle w:val="CodeChar"/>
              </w:rPr>
              <w:t xml:space="preserve">orders-impl.xml</w:t>
            </w:r>
          </w:p>
        </w:tc>
      </w:tr>
      <w:tr>
        <w:tc>
          <w:tcPr>
            <w:tcW w:w="3120" w:type="dxa"/>
          </w:tcPr>
          <w:p>
            <w:pPr/>
            <w:r>
              <w:t xml:space="preserve">APIkit generated flows</w:t>
            </w:r>
          </w:p>
        </w:tc>
        <w:tc>
          <w:tcPr>
            <w:tcW w:w="3120" w:type="dxa"/>
          </w:tcPr>
          <w:p>
            <w:pPr/>
            <w:r>
              <w:t xml:space="preserve">generated name kept verbatim — MuleSoft: generate flows from the specification</w:t>
            </w:r>
          </w:p>
        </w:tc>
        <w:tc>
          <w:tcPr>
            <w:tcW w:w="3120" w:type="dxa"/>
          </w:tcPr>
          <w:p>
            <w:pPr/>
            <w:r>
              <w:rPr>
                <w:rStyle w:val="CodeChar"/>
              </w:rPr>
              <w:t xml:space="preserve">get:\orders\(orderId):customer-orders-config</w:t>
            </w:r>
          </w:p>
        </w:tc>
      </w:tr>
      <w:tr>
        <w:tc>
          <w:tcPr>
            <w:tcW w:w="3120" w:type="dxa"/>
          </w:tcPr>
          <w:p>
            <w:pPr/>
            <w:r>
              <w:t xml:space="preserve">Implementation flows</w:t>
            </w:r>
          </w:p>
        </w:tc>
        <w:tc>
          <w:tcPr>
            <w:tcW w:w="3120" w:type="dxa"/>
          </w:tcPr>
          <w:p>
            <w:pPr/>
            <w:r>
              <w:rPr>
                <w:rStyle w:val="CodeChar"/>
              </w:rPr>
              <w:t xml:space="preserve">&lt;verb&gt;-&lt;resource&gt;-flow</w:t>
            </w:r>
            <w:r>
              <w:t xml:space="preserve"> (org)</w:t>
            </w:r>
          </w:p>
        </w:tc>
        <w:tc>
          <w:tcPr>
            <w:tcW w:w="3120" w:type="dxa"/>
          </w:tcPr>
          <w:p>
            <w:pPr/>
            <w:r>
              <w:rPr>
                <w:rStyle w:val="CodeChar"/>
              </w:rPr>
              <w:t xml:space="preserve">get-order-by-id-flow</w:t>
            </w:r>
          </w:p>
        </w:tc>
      </w:tr>
      <w:tr>
        <w:tc>
          <w:tcPr>
            <w:tcW w:w="3120" w:type="dxa"/>
          </w:tcPr>
          <w:p>
            <w:pPr/>
            <w:r>
              <w:t xml:space="preserve">Sub-flows</w:t>
            </w:r>
          </w:p>
        </w:tc>
        <w:tc>
          <w:tcPr>
            <w:tcW w:w="3120" w:type="dxa"/>
          </w:tcPr>
          <w:p>
            <w:pPr/>
            <w:r>
              <w:rPr>
                <w:rStyle w:val="CodeChar"/>
              </w:rPr>
              <w:t xml:space="preserve">&lt;action&gt;-&lt;object&gt;-subflow</w:t>
            </w:r>
            <w:r>
              <w:t xml:space="preserve"> (org)</w:t>
            </w:r>
          </w:p>
        </w:tc>
        <w:tc>
          <w:tcPr>
            <w:tcW w:w="3120" w:type="dxa"/>
          </w:tcPr>
          <w:p>
            <w:pPr/>
            <w:r>
              <w:rPr>
                <w:rStyle w:val="CodeChar"/>
              </w:rPr>
              <w:t xml:space="preserve">build-erp-order-request-subflow</w:t>
            </w:r>
          </w:p>
        </w:tc>
      </w:tr>
      <w:tr>
        <w:tc>
          <w:tcPr>
            <w:tcW w:w="3120" w:type="dxa"/>
          </w:tcPr>
          <w:p>
            <w:pPr/>
            <w:r>
              <w:t xml:space="preserve">Global configuration elements</w:t>
            </w:r>
          </w:p>
        </w:tc>
        <w:tc>
          <w:tcPr>
            <w:tcW w:w="3120" w:type="dxa"/>
          </w:tcPr>
          <w:p>
            <w:pPr/>
            <w:r>
              <w:rPr>
                <w:rStyle w:val="CodeChar"/>
              </w:rPr>
              <w:t xml:space="preserve">&lt;system&gt;-&lt;connector&gt;-config</w:t>
            </w:r>
            <w:r>
              <w:t xml:space="preserve"> (org); the listener is </w:t>
            </w:r>
            <w:r>
              <w:rPr>
                <w:rStyle w:val="CodeChar"/>
              </w:rPr>
              <w:t xml:space="preserve">http-listener-config</w:t>
            </w:r>
          </w:p>
        </w:tc>
        <w:tc>
          <w:tcPr>
            <w:tcW w:w="3120" w:type="dxa"/>
          </w:tcPr>
          <w:p>
            <w:pPr/>
            <w:r>
              <w:rPr>
                <w:rStyle w:val="CodeChar"/>
              </w:rPr>
              <w:t xml:space="preserve">erp-http-request-config</w:t>
            </w:r>
            <w:r>
              <w:t xml:space="preserve">, </w:t>
            </w:r>
            <w:r>
              <w:rPr>
                <w:rStyle w:val="CodeChar"/>
              </w:rPr>
              <w:t xml:space="preserve">orders-db-config</w:t>
            </w:r>
          </w:p>
        </w:tc>
      </w:tr>
      <w:tr>
        <w:tc>
          <w:tcPr>
            <w:tcW w:w="3120" w:type="dxa"/>
          </w:tcPr>
          <w:p>
            <w:pPr/>
            <w:r>
              <w:t xml:space="preserve">Property keys</w:t>
            </w:r>
          </w:p>
        </w:tc>
        <w:tc>
          <w:tcPr>
            <w:tcW w:w="3120" w:type="dxa"/>
          </w:tcPr>
          <w:p>
            <w:pPr/>
            <w:r>
              <w:t xml:space="preserve">lowercase dot path </w:t>
            </w:r>
            <w:r>
              <w:rPr>
                <w:rStyle w:val="CodeChar"/>
              </w:rPr>
              <w:t xml:space="preserve">&lt;system&gt;.&lt;property&gt;</w:t>
            </w:r>
            <w:r>
              <w:t xml:space="preserve"> (org); MuleSoft reserves </w:t>
            </w:r>
            <w:r>
              <w:rPr>
                <w:rStyle w:val="CodeChar"/>
              </w:rPr>
              <w:t xml:space="preserve">http.port</w:t>
            </w:r>
            <w:r>
              <w:t xml:space="preserve">, </w:t>
            </w:r>
            <w:r>
              <w:rPr>
                <w:rStyle w:val="CodeChar"/>
              </w:rPr>
              <w:t xml:space="preserve">https.port</w:t>
            </w:r>
            <w:r>
              <w:t xml:space="preserve">, </w:t>
            </w:r>
            <w:r>
              <w:rPr>
                <w:rStyle w:val="CodeChar"/>
              </w:rPr>
              <w:t xml:space="preserve">http.private.port</w:t>
            </w:r>
            <w:r>
              <w:t xml:space="preserve"> and </w:t>
            </w:r>
            <w:r>
              <w:rPr>
                <w:rStyle w:val="CodeChar"/>
              </w:rPr>
              <w:t xml:space="preserve">https.private.port</w:t>
            </w:r>
            <w:r>
              <w:t xml:space="preserve">; secrets are referenced as </w:t>
            </w:r>
            <w:r>
              <w:rPr>
                <w:rStyle w:val="CodeChar"/>
              </w:rPr>
              <w:t xml:space="preserve">${secure::&lt;key&gt;}</w:t>
            </w:r>
          </w:p>
        </w:tc>
        <w:tc>
          <w:tcPr>
            <w:tcW w:w="3120" w:type="dxa"/>
          </w:tcPr>
          <w:p>
            <w:pPr/>
            <w:r>
              <w:rPr>
                <w:rStyle w:val="CodeChar"/>
              </w:rPr>
              <w:t xml:space="preserve">erp.http.host</w:t>
            </w:r>
            <w:r>
              <w:t xml:space="preserve">, </w:t>
            </w:r>
            <w:r>
              <w:rPr>
                <w:rStyle w:val="CodeChar"/>
              </w:rPr>
              <w:t xml:space="preserve">${secure::erp.password}</w:t>
            </w:r>
          </w:p>
        </w:tc>
      </w:tr>
      <w:tr>
        <w:tc>
          <w:tcPr>
            <w:tcW w:w="3120" w:type="dxa"/>
          </w:tcPr>
          <w:p>
            <w:pPr/>
            <w:r>
              <w:t xml:space="preserve">Flow variables</w:t>
            </w:r>
          </w:p>
        </w:tc>
        <w:tc>
          <w:tcPr>
            <w:tcW w:w="3120" w:type="dxa"/>
          </w:tcPr>
          <w:p>
            <w:pPr/>
            <w:r>
              <w:rPr>
                <w:rStyle w:val="CodeChar"/>
              </w:rPr>
              <w:t xml:space="preserve">camelCase</w:t>
            </w:r>
            <w:r>
              <w:t xml:space="preserve"> (org)</w:t>
            </w:r>
          </w:p>
        </w:tc>
        <w:tc>
          <w:tcPr>
            <w:tcW w:w="3120" w:type="dxa"/>
          </w:tcPr>
          <w:p>
            <w:pPr/>
            <w:r>
              <w:rPr>
                <w:rStyle w:val="CodeChar"/>
              </w:rPr>
              <w:t xml:space="preserve">vars.orderId</w:t>
            </w:r>
            <w:r>
              <w:t xml:space="preserve">, </w:t>
            </w:r>
            <w:r>
              <w:rPr>
                <w:rStyle w:val="CodeChar"/>
              </w:rPr>
              <w:t xml:space="preserve">vars.httpStatus</w:t>
            </w:r>
          </w:p>
        </w:tc>
      </w:tr>
      <w:tr>
        <w:tc>
          <w:tcPr>
            <w:tcW w:w="3120" w:type="dxa"/>
          </w:tcPr>
          <w:p>
            <w:pPr/>
            <w:r>
              <w:t xml:space="preserve">DataWeave scripts</w:t>
            </w:r>
          </w:p>
        </w:tc>
        <w:tc>
          <w:tcPr>
            <w:tcW w:w="3120" w:type="dxa"/>
          </w:tcPr>
          <w:p>
            <w:pPr/>
            <w:r>
              <w:t xml:space="preserve">externalised to </w:t>
            </w:r>
            <w:r>
              <w:rPr>
                <w:rStyle w:val="CodeChar"/>
              </w:rPr>
              <w:t xml:space="preserve">src/main/resources/dwl/&lt;resource&gt;/&lt;purpose&gt;.dwl</w:t>
            </w:r>
            <w:r>
              <w:t xml:space="preserve">, kebab-case — MuleSoft: move inline scripts to external files; folder and file names (org)</w:t>
            </w:r>
          </w:p>
        </w:tc>
        <w:tc>
          <w:tcPr>
            <w:tcW w:w="3120" w:type="dxa"/>
          </w:tcPr>
          <w:p>
            <w:pPr/>
            <w:r>
              <w:rPr>
                <w:rStyle w:val="CodeChar"/>
              </w:rPr>
              <w:t xml:space="preserve">dwl/orders/map-order-to-erp-request.dwl</w:t>
            </w:r>
          </w:p>
        </w:tc>
      </w:tr>
      <w:tr>
        <w:tc>
          <w:tcPr>
            <w:tcW w:w="3120" w:type="dxa"/>
          </w:tcPr>
          <w:p>
            <w:pPr/>
            <w:r>
              <w:t xml:space="preserve">DataWeave function modules</w:t>
            </w:r>
          </w:p>
        </w:tc>
        <w:tc>
          <w:tcPr>
            <w:tcW w:w="3120" w:type="dxa"/>
          </w:tcPr>
          <w:p>
            <w:pPr/>
            <w:r>
              <w:rPr>
                <w:rStyle w:val="CodeChar"/>
              </w:rPr>
              <w:t xml:space="preserve">src/main/resources/modules/&lt;Module&gt;.dwl</w:t>
            </w:r>
            <w:r>
              <w:t xml:space="preserve">, imported as </w:t>
            </w:r>
            <w:r>
              <w:rPr>
                <w:rStyle w:val="CodeChar"/>
              </w:rPr>
              <w:t xml:space="preserve">modules::&lt;Module&gt;</w:t>
            </w:r>
            <w:r>
              <w:t xml:space="preserve"> — MuleSoft's documented location and PascalCase example</w:t>
            </w:r>
          </w:p>
        </w:tc>
        <w:tc>
          <w:tcPr>
            <w:tcW w:w="3120" w:type="dxa"/>
          </w:tcPr>
          <w:p>
            <w:pPr/>
            <w:r>
              <w:rPr>
                <w:rStyle w:val="CodeChar"/>
              </w:rPr>
              <w:t xml:space="preserve">modules/OrderFunctions.dwl</w:t>
            </w:r>
          </w:p>
        </w:tc>
      </w:tr>
      <w:tr>
        <w:tc>
          <w:tcPr>
            <w:tcW w:w="3120" w:type="dxa"/>
          </w:tcPr>
          <w:p>
            <w:pPr/>
            <w:r>
              <w:t xml:space="preserve">Custom error types</w:t>
            </w:r>
          </w:p>
        </w:tc>
        <w:tc>
          <w:tcPr>
            <w:tcW w:w="3120" w:type="dxa"/>
          </w:tcPr>
          <w:p>
            <w:pPr/>
            <w:r>
              <w:rPr>
                <w:rStyle w:val="CodeChar"/>
              </w:rPr>
              <w:t xml:space="preserve">APP:&lt;REASON&gt;</w:t>
            </w:r>
            <w:r>
              <w:t xml:space="preserve"> in upper snake case (org)</w:t>
            </w:r>
          </w:p>
        </w:tc>
        <w:tc>
          <w:tcPr>
            <w:tcW w:w="3120" w:type="dxa"/>
          </w:tcPr>
          <w:p>
            <w:pPr/>
            <w:r>
              <w:rPr>
                <w:rStyle w:val="CodeChar"/>
              </w:rPr>
              <w:t xml:space="preserve">APP:ORDER_NOT_FOUND</w:t>
            </w:r>
          </w:p>
        </w:tc>
      </w:tr>
      <w:tr>
        <w:tc>
          <w:tcPr>
            <w:tcW w:w="3120" w:type="dxa"/>
          </w:tcPr>
          <w:p>
            <w:pPr/>
            <w:r>
              <w:t xml:space="preserve">Anypoint MQ queue / topic</w:t>
            </w:r>
          </w:p>
        </w:tc>
        <w:tc>
          <w:tcPr>
            <w:tcW w:w="3120" w:type="dxa"/>
          </w:tcPr>
          <w:p>
            <w:pPr/>
            <w:r>
              <w:rPr>
                <w:rStyle w:val="CodeChar"/>
              </w:rPr>
              <w:t xml:space="preserve">&lt;domain&gt;-&lt;event&gt;-&lt;env&gt;</w:t>
            </w:r>
            <w:r>
              <w:t xml:space="preserve">; dead-letter queue </w:t>
            </w:r>
            <w:r>
              <w:rPr>
                <w:rStyle w:val="CodeChar"/>
              </w:rPr>
              <w:t xml:space="preserve">dlq-&lt;queue&gt;</w:t>
            </w:r>
            <w:r>
              <w:t xml:space="preserve"> (org)</w:t>
            </w:r>
          </w:p>
        </w:tc>
        <w:tc>
          <w:tcPr>
            <w:tcW w:w="3120" w:type="dxa"/>
          </w:tcPr>
          <w:p>
            <w:pPr/>
            <w:r>
              <w:rPr>
                <w:rStyle w:val="CodeChar"/>
              </w:rPr>
              <w:t xml:space="preserve">orders-created-uat</w:t>
            </w:r>
            <w:r>
              <w:t xml:space="preserve">, </w:t>
            </w:r>
            <w:r>
              <w:rPr>
                <w:rStyle w:val="CodeChar"/>
              </w:rPr>
              <w:t xml:space="preserve">dlq-orders-created-uat</w:t>
            </w:r>
          </w:p>
        </w:tc>
      </w:tr>
      <w:tr>
        <w:tc>
          <w:tcPr>
            <w:tcW w:w="3120" w:type="dxa"/>
          </w:tcPr>
          <w:p>
            <w:pPr/>
            <w:r>
              <w:t xml:space="preserve">Object Store</w:t>
            </w:r>
          </w:p>
        </w:tc>
        <w:tc>
          <w:tcPr>
            <w:tcW w:w="3120" w:type="dxa"/>
          </w:tcPr>
          <w:p>
            <w:pPr/>
            <w:r>
              <w:rPr>
                <w:rStyle w:val="CodeChar"/>
              </w:rPr>
              <w:t xml:space="preserve">&lt;purpose&gt;-os</w:t>
            </w:r>
            <w:r>
              <w:t xml:space="preserve"> (org)</w:t>
            </w:r>
          </w:p>
        </w:tc>
        <w:tc>
          <w:tcPr>
            <w:tcW w:w="3120" w:type="dxa"/>
          </w:tcPr>
          <w:p>
            <w:pPr/>
            <w:r>
              <w:rPr>
                <w:rStyle w:val="CodeChar"/>
              </w:rPr>
              <w:t xml:space="preserve">erp-token-cache-os</w:t>
            </w:r>
          </w:p>
        </w:tc>
      </w:tr>
      <w:tr>
        <w:tc>
          <w:tcPr>
            <w:tcW w:w="3120" w:type="dxa"/>
          </w:tcPr>
          <w:p>
            <w:pPr/>
            <w:r>
              <w:t xml:space="preserve">API Manager client application</w:t>
            </w:r>
          </w:p>
        </w:tc>
        <w:tc>
          <w:tcPr>
            <w:tcW w:w="3120" w:type="dxa"/>
          </w:tcPr>
          <w:p>
            <w:pPr/>
            <w:r>
              <w:rPr>
                <w:rStyle w:val="CodeChar"/>
              </w:rPr>
              <w:t xml:space="preserve">&lt;consumer&gt;-&lt;env&gt;</w:t>
            </w:r>
            <w:r>
              <w:t xml:space="preserve"> (org)</w:t>
            </w:r>
          </w:p>
        </w:tc>
        <w:tc>
          <w:tcPr>
            <w:tcW w:w="3120" w:type="dxa"/>
          </w:tcPr>
          <w:p>
            <w:pPr/>
            <w:r>
              <w:rPr>
                <w:rStyle w:val="CodeChar"/>
              </w:rPr>
              <w:t xml:space="preserve">mobile-app-prod</w:t>
            </w:r>
          </w:p>
        </w:tc>
      </w:tr>
      <w:tr>
        <w:tc>
          <w:tcPr>
            <w:tcW w:w="3120" w:type="dxa"/>
          </w:tcPr>
          <w:p>
            <w:pPr/>
            <w:r>
              <w:t xml:space="preserve">Git branches</w:t>
            </w:r>
          </w:p>
        </w:tc>
        <w:tc>
          <w:tcPr>
            <w:tcW w:w="3120" w:type="dxa"/>
          </w:tcPr>
          <w:p>
            <w:pPr/>
            <w:r>
              <w:rPr>
                <w:rStyle w:val="CodeChar"/>
              </w:rPr>
              <w:t xml:space="preserve">feature/&lt;ticket&gt;-&lt;slug&gt;</w:t>
            </w:r>
            <w:r>
              <w:t xml:space="preserve">, </w:t>
            </w:r>
            <w:r>
              <w:rPr>
                <w:rStyle w:val="CodeChar"/>
              </w:rPr>
              <w:t xml:space="preserve">bugfix/&lt;ticket&gt;-&lt;slug&gt;</w:t>
            </w:r>
            <w:r>
              <w:t xml:space="preserve">, </w:t>
            </w:r>
            <w:r>
              <w:rPr>
                <w:rStyle w:val="CodeChar"/>
              </w:rPr>
              <w:t xml:space="preserve">hotfix/&lt;ticket&gt;-&lt;slug&gt;</w:t>
            </w:r>
            <w:r>
              <w:t xml:space="preserve">, </w:t>
            </w:r>
            <w:r>
              <w:rPr>
                <w:rStyle w:val="CodeChar"/>
              </w:rPr>
              <w:t xml:space="preserve">release/&lt;semver&gt;</w:t>
            </w:r>
            <w:r>
              <w:t xml:space="preserve"> (org)</w:t>
            </w:r>
          </w:p>
        </w:tc>
        <w:tc>
          <w:tcPr>
            <w:tcW w:w="3120" w:type="dxa"/>
          </w:tcPr>
          <w:p>
            <w:pPr/>
            <w:r>
              <w:rPr>
                <w:rStyle w:val="CodeChar"/>
              </w:rPr>
              <w:t xml:space="preserve">feature/INT-1234-order-cancellation</w:t>
            </w:r>
          </w:p>
        </w:tc>
      </w:tr>
      <w:tr>
        <w:tc>
          <w:tcPr>
            <w:tcW w:w="3120" w:type="dxa"/>
          </w:tcPr>
          <w:p>
            <w:pPr/>
            <w:r>
              <w:t xml:space="preserve">Commit message</w:t>
            </w:r>
          </w:p>
        </w:tc>
        <w:tc>
          <w:tcPr>
            <w:tcW w:w="3120" w:type="dxa"/>
          </w:tcPr>
          <w:p>
            <w:pPr/>
            <w:r>
              <w:rPr>
                <w:rStyle w:val="CodeChar"/>
              </w:rPr>
              <w:t xml:space="preserve">&lt;TICKET&gt;: imperative summary (≤ 72 chars)</w:t>
            </w:r>
            <w:r>
              <w:t xml:space="preserve"> (org)</w:t>
            </w:r>
          </w:p>
        </w:tc>
        <w:tc>
          <w:tcPr>
            <w:tcW w:w="3120" w:type="dxa"/>
          </w:tcPr>
          <w:p>
            <w:pPr/>
            <w:r>
              <w:rPr>
                <w:rStyle w:val="CodeChar"/>
              </w:rPr>
              <w:t xml:space="preserve">INT-1234: add cancel order endpoint</w:t>
            </w:r>
          </w:p>
        </w:tc>
      </w:tr>
    </w:tbl>
    <w:p>
      <w:pPr/>
      <w:r>
        <w:rPr>
          <w:b/>
        </w:rPr>
        <w:t xml:space="preserve">Rules</w:t>
      </w:r>
    </w:p>
    <w:p>
      <w:pPr>
        <w:pStyle w:val="ListParagraph"/>
        <w:numPr>
          <w:ilvl w:val="0"/>
          <w:numId w:val="2"/>
        </w:numPr>
      </w:pPr>
      <w:r>
        <w:t xml:space="preserve">Kebab-case everywhere except DataWeave modules (PascalCase, as in MuleSoft's examples), flow variables (camelCase) and error reasons (UPPER_SNAKE). No spaces, no underscores elsewhere, no uppercase in file or flow names. </w:t>
      </w:r>
      <w:r>
        <w:rPr>
          <w:i/>
        </w:rPr>
        <w:t xml:space="preserve">Blocking.</w:t>
      </w:r>
    </w:p>
    <w:p>
      <w:pPr>
        <w:pStyle w:val="ListParagraph"/>
        <w:numPr>
          <w:ilvl w:val="0"/>
          <w:numId w:val="2"/>
        </w:numPr>
      </w:pPr>
      <w:r>
        <w:t xml:space="preserve">The environment token never appears inside a repository, Exchange asset or </w:t>
      </w:r>
      <w:r>
        <w:rPr>
          <w:rStyle w:val="CodeChar"/>
        </w:rPr>
        <w:t xml:space="preserve">artifactId</w:t>
      </w:r>
      <w:r>
        <w:t xml:space="preserve">; it is appended only at deployment. </w:t>
      </w:r>
      <w:r>
        <w:rPr>
          <w:i/>
        </w:rPr>
        <w:t xml:space="preserve">Blocking.</w:t>
      </w:r>
    </w:p>
    <w:p>
      <w:pPr>
        <w:pStyle w:val="ListParagraph"/>
        <w:numPr>
          <w:ilvl w:val="0"/>
          <w:numId w:val="2"/>
        </w:numPr>
      </w:pPr>
      <w:r>
        <w:t xml:space="preserve">A new major API version is a new repository and a new </w:t>
      </w:r>
      <w:r>
        <w:rPr>
          <w:rStyle w:val="CodeChar"/>
        </w:rPr>
        <w:t xml:space="preserve">artifactId</w:t>
      </w:r>
      <w:r>
        <w:t xml:space="preserve"> (</w:t>
      </w:r>
      <w:r>
        <w:rPr>
          <w:rStyle w:val="CodeChar"/>
        </w:rPr>
        <w:t xml:space="preserve">…-v2</w:t>
      </w:r>
      <w:r>
        <w:t xml:space="preserve">), never a branch of the old one (org). </w:t>
      </w:r>
      <w:r>
        <w:rPr>
          <w:i/>
        </w:rPr>
        <w:t xml:space="preserve">Blocking.</w:t>
      </w:r>
    </w:p>
    <w:p>
      <w:pPr>
        <w:pStyle w:val="ListParagraph"/>
        <w:numPr>
          <w:ilvl w:val="0"/>
          <w:numId w:val="2"/>
        </w:numPr>
      </w:pPr>
      <w:r>
        <w:t xml:space="preserve">Generated APIkit flow names are never changed; the router binds to them. </w:t>
      </w:r>
      <w:r>
        <w:rPr>
          <w:i/>
        </w:rPr>
        <w:t xml:space="preserve">Blocking.</w:t>
      </w:r>
    </w:p>
    <w:p>
      <w:pPr>
        <w:pStyle w:val="ListParagraph"/>
        <w:numPr>
          <w:ilvl w:val="0"/>
          <w:numId w:val="2"/>
        </w:numPr>
      </w:pPr>
      <w:r>
        <w:t xml:space="preserve">Every processor carries a </w:t>
      </w:r>
      <w:r>
        <w:rPr>
          <w:rStyle w:val="CodeChar"/>
        </w:rPr>
        <w:t xml:space="preserve">doc:name</w:t>
      </w:r>
      <w:r>
        <w:t xml:space="preserve"> that states intent (</w:t>
      </w:r>
      <w:r>
        <w:rPr>
          <w:rStyle w:val="CodeChar"/>
        </w:rPr>
        <w:t xml:space="preserve">Call ERP create order</w:t>
      </w:r>
      <w:r>
        <w:t xml:space="preserve">), not the component type; MUnit's </w:t>
      </w:r>
      <w:r>
        <w:rPr>
          <w:rStyle w:val="CodeChar"/>
        </w:rPr>
        <w:t xml:space="preserve">mock-when</w:t>
      </w:r>
      <w:r>
        <w:t xml:space="preserve"> matches processors on it. </w:t>
      </w:r>
      <w:r>
        <w:rPr>
          <w:i/>
        </w:rPr>
        <w:t xml:space="preserve">Advisory.</w:t>
      </w:r>
    </w:p>
    <w:p>
      <w:pPr>
        <w:pStyle w:val="Heading2"/>
      </w:pPr>
      <w:r>
        <w:t xml:space="preserve">POM &amp; runtime</w:t>
      </w:r>
    </w:p>
    <w:p>
      <w:pPr/>
      <w:r>
        <w:t xml:space="preserve">Every application inherits one parent POM, targets the single approved LTS runtime and Java version, and declares each dependency with an exact version; the child POM holds nothing the parent can hold.</w:t>
      </w:r>
    </w:p>
    <w:p>
      <w:pPr/>
      <w:r>
        <w:rPr>
          <w:b/>
        </w:rPr>
        <w:t xml:space="preserve">Approved versions</w:t>
      </w:r>
      <w:r>
        <w:t xml:space="preserve"> (values at the time of this export — replace with your organisation's current approvals and re-check at every LTS review)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Approved value</w:t>
            </w:r>
          </w:p>
        </w:tc>
        <w:tc>
          <w:tcPr>
            <w:tcW w:w="3120" w:type="dxa"/>
            <w:shd w:val="clear" w:color="auto" w:fill="F2F2F2"/>
          </w:tcPr>
          <w:p>
            <w:pPr/>
            <w:r>
              <w:t xml:space="preserve">Rule</w:t>
            </w:r>
          </w:p>
        </w:tc>
      </w:tr>
      <w:tr>
        <w:tc>
          <w:tcPr>
            <w:tcW w:w="3120" w:type="dxa"/>
          </w:tcPr>
          <w:p>
            <w:pPr/>
            <w:r>
              <w:t xml:space="preserve">Mule runtime</w:t>
            </w:r>
          </w:p>
        </w:tc>
        <w:tc>
          <w:tcPr>
            <w:tcW w:w="3120" w:type="dxa"/>
          </w:tcPr>
          <w:p>
            <w:pPr/>
            <w:r>
              <w:t xml:space="preserve">4.9 LTS (released February 2025; Standard Support to August 2027)</w:t>
            </w:r>
          </w:p>
        </w:tc>
        <w:tc>
          <w:tcPr>
            <w:tcW w:w="3120" w:type="dxa"/>
          </w:tcPr>
          <w:p>
            <w:pPr/>
            <w:r>
              <w:t xml:space="preserve">MuleSoft positions the LTS channel for teams that want to avoid frequent version maintenance; Edge releases (4.10–4.13) never reach </w:t>
            </w:r>
            <w:r>
              <w:rPr>
                <w:rStyle w:val="CodeChar"/>
              </w:rPr>
              <w:t xml:space="preserve">uat</w:t>
            </w:r>
            <w:r>
              <w:t xml:space="preserve"> or </w:t>
            </w:r>
            <w:r>
              <w:rPr>
                <w:rStyle w:val="CodeChar"/>
              </w:rPr>
              <w:t xml:space="preserve">prod</w:t>
            </w:r>
            <w:r>
              <w:t xml:space="preserve">. </w:t>
            </w:r>
            <w:r>
              <w:rPr>
                <w:rStyle w:val="CodeChar"/>
              </w:rPr>
              <w:t xml:space="preserve">app.runtime</w:t>
            </w:r>
            <w:r>
              <w:t xml:space="preserve"> comes from the parent, not the child</w:t>
            </w:r>
          </w:p>
        </w:tc>
      </w:tr>
      <w:tr>
        <w:tc>
          <w:tcPr>
            <w:tcW w:w="3120" w:type="dxa"/>
          </w:tcPr>
          <w:p>
            <w:pPr/>
            <w:r>
              <w:t xml:space="preserve">Java</w:t>
            </w:r>
          </w:p>
        </w:tc>
        <w:tc>
          <w:tcPr>
            <w:tcW w:w="3120" w:type="dxa"/>
          </w:tcPr>
          <w:p>
            <w:pPr/>
            <w:r>
              <w:t xml:space="preserve">17 — the only Java version listed for 4.9 and later</w:t>
            </w:r>
          </w:p>
        </w:tc>
        <w:tc>
          <w:tcPr>
            <w:tcW w:w="3120" w:type="dxa"/>
          </w:tcPr>
          <w:p>
            <w:pPr/>
            <w:r>
              <w:rPr>
                <w:rStyle w:val="CodeChar"/>
              </w:rPr>
              <w:t xml:space="preserve">javaSpecificationVersions</w:t>
            </w:r>
            <w:r>
              <w:t xml:space="preserve"> in </w:t>
            </w:r>
            <w:r>
              <w:rPr>
                <w:rStyle w:val="CodeChar"/>
              </w:rPr>
              <w:t xml:space="preserve">mule-artifact.json</w:t>
            </w:r>
            <w:r>
              <w:t xml:space="preserve"> and the deployment </w:t>
            </w:r>
            <w:r>
              <w:rPr>
                <w:rStyle w:val="CodeChar"/>
              </w:rPr>
              <w:t xml:space="preserve">javaVersion</w:t>
            </w:r>
            <w:r>
              <w:t xml:space="preserve"> both say 17</w:t>
            </w:r>
          </w:p>
        </w:tc>
      </w:tr>
      <w:tr>
        <w:tc>
          <w:tcPr>
            <w:tcW w:w="3120" w:type="dxa"/>
          </w:tcPr>
          <w:p>
            <w:pPr/>
            <w:r>
              <w:rPr>
                <w:rStyle w:val="CodeChar"/>
              </w:rPr>
              <w:t xml:space="preserve">mule-maven-plugin</w:t>
            </w:r>
          </w:p>
        </w:tc>
        <w:tc>
          <w:tcPr>
            <w:tcW w:w="3120" w:type="dxa"/>
          </w:tcPr>
          <w:p>
            <w:pPr/>
            <w:r>
              <w:t xml:space="preserve">pinned in parent (4.1.1 or later is required for the LTS channel)</w:t>
            </w:r>
          </w:p>
        </w:tc>
        <w:tc>
          <w:tcPr>
            <w:tcW w:w="3120" w:type="dxa"/>
          </w:tcPr>
          <w:p>
            <w:pPr/>
            <w:r>
              <w:t xml:space="preserve">No version in the child POM</w:t>
            </w:r>
          </w:p>
        </w:tc>
      </w:tr>
      <w:tr>
        <w:tc>
          <w:tcPr>
            <w:tcW w:w="3120" w:type="dxa"/>
          </w:tcPr>
          <w:p>
            <w:pPr/>
            <w:r>
              <w:rPr>
                <w:rStyle w:val="CodeChar"/>
              </w:rPr>
              <w:t xml:space="preserve">munit-maven-plugin</w:t>
            </w:r>
          </w:p>
        </w:tc>
        <w:tc>
          <w:tcPr>
            <w:tcW w:w="3120" w:type="dxa"/>
          </w:tcPr>
          <w:p>
            <w:pPr/>
            <w:r>
              <w:t xml:space="preserve">pinned in parent (MUnit 3.x)</w:t>
            </w:r>
          </w:p>
        </w:tc>
        <w:tc>
          <w:tcPr>
            <w:tcW w:w="3120" w:type="dxa"/>
          </w:tcPr>
          <w:p>
            <w:pPr/>
            <w:r>
              <w:t xml:space="preserve">Coverage settings live in the parent (see Coverage)</w:t>
            </w:r>
          </w:p>
        </w:tc>
      </w:tr>
      <w:tr>
        <w:tc>
          <w:tcPr>
            <w:tcW w:w="3120" w:type="dxa"/>
          </w:tcPr>
          <w:p>
            <w:pPr/>
            <w:r>
              <w:t xml:space="preserve">Connectors and shared libraries</w:t>
            </w:r>
          </w:p>
        </w:tc>
        <w:tc>
          <w:tcPr>
            <w:tcW w:w="3120" w:type="dxa"/>
          </w:tcPr>
          <w:p>
            <w:pPr/>
            <w:r>
              <w:t xml:space="preserve">pinned in parent </w:t>
            </w:r>
            <w:r>
              <w:rPr>
                <w:rStyle w:val="CodeChar"/>
              </w:rPr>
              <w:t xml:space="preserve">dependencyManagement</w:t>
            </w:r>
          </w:p>
        </w:tc>
        <w:tc>
          <w:tcPr>
            <w:tcW w:w="3120" w:type="dxa"/>
          </w:tcPr>
          <w:p>
            <w:pPr/>
            <w:r>
              <w:t xml:space="preserve">Child declares </w:t>
            </w:r>
            <w:r>
              <w:rPr>
                <w:rStyle w:val="CodeChar"/>
              </w:rPr>
              <w:t xml:space="preserve">groupId</w:t>
            </w:r>
            <w:r>
              <w:t xml:space="preserve">/</w:t>
            </w:r>
            <w:r>
              <w:rPr>
                <w:rStyle w:val="CodeChar"/>
              </w:rPr>
              <w:t xml:space="preserve">artifactId</w:t>
            </w:r>
            <w:r>
              <w:t xml:space="preserve">/</w:t>
            </w:r>
            <w:r>
              <w:rPr>
                <w:rStyle w:val="CodeChar"/>
              </w:rPr>
              <w:t xml:space="preserve">classifier</w:t>
            </w:r>
            <w:r>
              <w:t xml:space="preserve"> only</w:t>
            </w:r>
          </w:p>
        </w:tc>
      </w:tr>
    </w:tbl>
    <w:p>
      <w:pPr/>
      <w:r>
        <w:rPr>
          <w:b/>
        </w:rPr>
        <w:t xml:space="preserve">Parent POM</w:t>
      </w:r>
      <w:r>
        <w:t xml:space="preserve"> — </w:t>
      </w:r>
      <w:r>
        <w:rPr>
          <w:rStyle w:val="CodeChar"/>
        </w:rPr>
        <w:t xml:space="preserve">&lt;org&gt;-mule-parent</w:t>
      </w:r>
      <w:r>
        <w:t xml:space="preserve">, published to Exchange, the same arrangement MuleSoft uses for its own accelerators (the </w:t>
      </w:r>
      <w:r>
        <w:rPr>
          <w:i/>
        </w:rPr>
        <w:t xml:space="preserve">Accelerator POM Parent</w:t>
      </w:r>
      <w:r>
        <w:t xml:space="preserve"> asset). It owns </w:t>
      </w:r>
      <w:r>
        <w:rPr>
          <w:rStyle w:val="CodeChar"/>
        </w:rPr>
        <w:t xml:space="preserve">app.runtime</w:t>
      </w:r>
      <w:r>
        <w:t xml:space="preserve">, all plugin versions and plugin configuration, </w:t>
      </w:r>
      <w:r>
        <w:rPr>
          <w:rStyle w:val="CodeChar"/>
        </w:rPr>
        <w:t xml:space="preserve">dependencyManagement</w:t>
      </w:r>
      <w:r>
        <w:t xml:space="preserve"> for every approved connector, Exchange repositories, </w:t>
      </w:r>
      <w:r>
        <w:rPr>
          <w:rStyle w:val="CodeChar"/>
        </w:rPr>
        <w:t xml:space="preserve">distributionManagement</w:t>
      </w:r>
      <w:r>
        <w:t xml:space="preserve">, MUnit and coverage configuration, and the </w:t>
      </w:r>
      <w:r>
        <w:rPr>
          <w:rStyle w:val="CodeChar"/>
        </w:rPr>
        <w:t xml:space="preserve">secure.key</w:t>
      </w:r>
      <w:r>
        <w:t xml:space="preserve"> test default. A child POM contains only </w:t>
      </w:r>
      <w:r>
        <w:rPr>
          <w:rStyle w:val="CodeChar"/>
        </w:rPr>
        <w:t xml:space="preserve">parent</w:t>
      </w:r>
      <w:r>
        <w:t xml:space="preserve">, </w:t>
      </w:r>
      <w:r>
        <w:rPr>
          <w:rStyle w:val="CodeChar"/>
        </w:rPr>
        <w:t xml:space="preserve">artifactId</w:t>
      </w:r>
      <w:r>
        <w:t xml:space="preserve">, </w:t>
      </w:r>
      <w:r>
        <w:rPr>
          <w:rStyle w:val="CodeChar"/>
        </w:rPr>
        <w:t xml:space="preserve">version</w:t>
      </w:r>
      <w:r>
        <w:t xml:space="preserve">, </w:t>
      </w:r>
      <w:r>
        <w:rPr>
          <w:rStyle w:val="CodeChar"/>
        </w:rPr>
        <w:t xml:space="preserve">name</w:t>
      </w:r>
      <w:r>
        <w:t xml:space="preserve">, dependencies without versions, and application-specific properties, so a runtime or plugin upgrade is one change in one place. </w:t>
      </w:r>
      <w:r>
        <w:rPr>
          <w:i/>
        </w:rPr>
        <w:t xml:space="preserve">Blocking.</w:t>
      </w:r>
    </w:p>
    <w:p>
      <w:pPr/>
      <w:r>
        <w:rPr>
          <w:b/>
        </w:rPr>
        <w:t xml:space="preserve">Coordinates</w:t>
      </w:r>
    </w:p>
    <w:p>
      <w:pPr>
        <w:pStyle w:val="ListParagraph"/>
        <w:numPr>
          <w:ilvl w:val="0"/>
          <w:numId w:val="3"/>
        </w:numPr>
      </w:pPr>
      <w:r>
        <w:rPr>
          <w:rStyle w:val="CodeChar"/>
        </w:rPr>
        <w:t xml:space="preserve">groupId</w:t>
      </w:r>
      <w:r>
        <w:t xml:space="preserve"> = the Anypoint organization ID, or the business-group ID when the asset is published to a business group; MuleSoft's Exchange publishing requires it. </w:t>
      </w:r>
      <w:r>
        <w:rPr>
          <w:i/>
        </w:rPr>
        <w:t xml:space="preserve">Blocking.</w:t>
      </w:r>
    </w:p>
    <w:p>
      <w:pPr>
        <w:pStyle w:val="ListParagraph"/>
        <w:numPr>
          <w:ilvl w:val="0"/>
          <w:numId w:val="3"/>
        </w:numPr>
      </w:pPr>
      <w:r>
        <w:rPr>
          <w:rStyle w:val="CodeChar"/>
        </w:rPr>
        <w:t xml:space="preserve">artifactId</w:t>
      </w:r>
      <w:r>
        <w:t xml:space="preserve"> follows the naming section; its </w:t>
      </w:r>
      <w:r>
        <w:rPr>
          <w:rStyle w:val="CodeChar"/>
        </w:rPr>
        <w:t xml:space="preserve">-v&lt;major&gt;</w:t>
      </w:r>
      <w:r>
        <w:t xml:space="preserve"> suffix matches the </w:t>
      </w:r>
      <w:r>
        <w:rPr>
          <w:rStyle w:val="CodeChar"/>
        </w:rPr>
        <w:t xml:space="preserve">MAJOR</w:t>
      </w:r>
      <w:r>
        <w:t xml:space="preserve"> of </w:t>
      </w:r>
      <w:r>
        <w:rPr>
          <w:rStyle w:val="CodeChar"/>
        </w:rPr>
        <w:t xml:space="preserve">version</w:t>
      </w:r>
      <w:r>
        <w:t xml:space="preserve"> (org). </w:t>
      </w:r>
      <w:r>
        <w:rPr>
          <w:i/>
        </w:rPr>
        <w:t xml:space="preserve">Blocking.</w:t>
      </w:r>
    </w:p>
    <w:p>
      <w:pPr>
        <w:pStyle w:val="ListParagraph"/>
        <w:numPr>
          <w:ilvl w:val="0"/>
          <w:numId w:val="3"/>
        </w:numPr>
      </w:pPr>
      <w:r>
        <w:rPr>
          <w:rStyle w:val="CodeChar"/>
        </w:rPr>
        <w:t xml:space="preserve">version</w:t>
      </w:r>
      <w:r>
        <w:t xml:space="preserve"> is semantic </w:t>
      </w:r>
      <w:r>
        <w:rPr>
          <w:rStyle w:val="CodeChar"/>
        </w:rPr>
        <w:t xml:space="preserve">MAJOR.MINOR.PATCH</w:t>
      </w:r>
      <w:r>
        <w:t xml:space="preserve">, the scheme Mule runtime itself uses. </w:t>
      </w:r>
      <w:r>
        <w:rPr>
          <w:rStyle w:val="CodeChar"/>
        </w:rPr>
        <w:t xml:space="preserve">-SNAPSHOT</w:t>
      </w:r>
      <w:r>
        <w:t xml:space="preserve"> marks an in-development build and is deployed to </w:t>
      </w:r>
      <w:r>
        <w:rPr>
          <w:rStyle w:val="CodeChar"/>
        </w:rPr>
        <w:t xml:space="preserve">dev</w:t>
      </w:r>
      <w:r>
        <w:t xml:space="preserve"> only; anything promoted to </w:t>
      </w:r>
      <w:r>
        <w:rPr>
          <w:rStyle w:val="CodeChar"/>
        </w:rPr>
        <w:t xml:space="preserve">uat</w:t>
      </w:r>
      <w:r>
        <w:t xml:space="preserve"> or </w:t>
      </w:r>
      <w:r>
        <w:rPr>
          <w:rStyle w:val="CodeChar"/>
        </w:rPr>
        <w:t xml:space="preserve">prod</w:t>
      </w:r>
      <w:r>
        <w:t xml:space="preserve"> carries a plain release version. </w:t>
      </w:r>
      <w:r>
        <w:rPr>
          <w:i/>
        </w:rPr>
        <w:t xml:space="preserve">Blocking.</w:t>
      </w:r>
    </w:p>
    <w:p>
      <w:pPr>
        <w:pStyle w:val="ListParagraph"/>
        <w:numPr>
          <w:ilvl w:val="0"/>
          <w:numId w:val="3"/>
        </w:numPr>
      </w:pPr>
      <w:r>
        <w:rPr>
          <w:rStyle w:val="CodeChar"/>
        </w:rPr>
        <w:t xml:space="preserve">version</w:t>
      </w:r>
      <w:r>
        <w:t xml:space="preserve"> is bumped on every merge to </w:t>
      </w:r>
      <w:r>
        <w:rPr>
          <w:rStyle w:val="CodeChar"/>
        </w:rPr>
        <w:t xml:space="preserve">main</w:t>
      </w:r>
      <w:r>
        <w:t xml:space="preserve">: PATCH for fixes, MINOR for backward-compatible features, MAJOR only with a new repository. </w:t>
      </w:r>
      <w:r>
        <w:rPr>
          <w:i/>
        </w:rPr>
        <w:t xml:space="preserve">Blocking.</w:t>
      </w:r>
    </w:p>
    <w:p>
      <w:pPr/>
      <w:r>
        <w:rPr>
          <w:b/>
        </w:rPr>
        <w:t xml:space="preserve">Dependencies</w:t>
      </w:r>
    </w:p>
    <w:p>
      <w:pPr>
        <w:pStyle w:val="ListParagraph"/>
        <w:numPr>
          <w:ilvl w:val="0"/>
          <w:numId w:val="4"/>
        </w:numPr>
      </w:pPr>
      <w:r>
        <w:t xml:space="preserve">Only MuleSoft-supported connectors from Exchange and the organisation's shared libraries. A community or custom connector needs architecture approval and a security scan recorded in the PR. </w:t>
      </w:r>
      <w:r>
        <w:rPr>
          <w:i/>
        </w:rPr>
        <w:t xml:space="preserve">Blocking.</w:t>
      </w:r>
    </w:p>
    <w:p>
      <w:pPr>
        <w:pStyle w:val="ListParagraph"/>
        <w:numPr>
          <w:ilvl w:val="0"/>
          <w:numId w:val="4"/>
        </w:numPr>
      </w:pPr>
      <w:r>
        <w:t xml:space="preserve">Exact versions only: no ranges, no </w:t>
      </w:r>
      <w:r>
        <w:rPr>
          <w:rStyle w:val="CodeChar"/>
        </w:rPr>
        <w:t xml:space="preserve">LATEST</w:t>
      </w:r>
      <w:r>
        <w:t xml:space="preserve">, no </w:t>
      </w:r>
      <w:r>
        <w:rPr>
          <w:rStyle w:val="CodeChar"/>
        </w:rPr>
        <w:t xml:space="preserve">RELEASE</w:t>
      </w:r>
      <w:r>
        <w:t xml:space="preserve">. </w:t>
      </w:r>
      <w:r>
        <w:rPr>
          <w:i/>
        </w:rPr>
        <w:t xml:space="preserve">Blocking.</w:t>
      </w:r>
    </w:p>
    <w:p>
      <w:pPr>
        <w:pStyle w:val="ListParagraph"/>
        <w:numPr>
          <w:ilvl w:val="0"/>
          <w:numId w:val="4"/>
        </w:numPr>
      </w:pPr>
      <w:r>
        <w:t xml:space="preserve">The API specification is consumed from Exchange as a dependency (</w:t>
      </w:r>
      <w:r>
        <w:rPr>
          <w:rStyle w:val="CodeChar"/>
        </w:rPr>
        <w:t xml:space="preserve">&lt;classifier&gt;raml&lt;/classifier&gt;</w:t>
      </w:r>
      <w:r>
        <w:t xml:space="preserve"> or </w:t>
      </w:r>
      <w:r>
        <w:rPr>
          <w:rStyle w:val="CodeChar"/>
        </w:rPr>
        <w:t xml:space="preserve">oas</w:t>
      </w:r>
      <w:r>
        <w:t xml:space="preserve">, </w:t>
      </w:r>
      <w:r>
        <w:rPr>
          <w:rStyle w:val="CodeChar"/>
        </w:rPr>
        <w:t xml:space="preserve">&lt;type&gt;zip&lt;/type&gt;</w:t>
      </w:r>
      <w:r>
        <w:t xml:space="preserve">), never copied into </w:t>
      </w:r>
      <w:r>
        <w:rPr>
          <w:rStyle w:val="CodeChar"/>
        </w:rPr>
        <w:t xml:space="preserve">src/main/resources/api</w:t>
      </w:r>
      <w:r>
        <w:t xml:space="preserve">. </w:t>
      </w:r>
      <w:r>
        <w:rPr>
          <w:i/>
        </w:rPr>
        <w:t xml:space="preserve">Blocking.</w:t>
      </w:r>
    </w:p>
    <w:p>
      <w:pPr>
        <w:pStyle w:val="ListParagraph"/>
        <w:numPr>
          <w:ilvl w:val="0"/>
          <w:numId w:val="4"/>
        </w:numPr>
      </w:pPr>
      <w:r>
        <w:t xml:space="preserve">Connectors carry </w:t>
      </w:r>
      <w:r>
        <w:rPr>
          <w:rStyle w:val="CodeChar"/>
        </w:rPr>
        <w:t xml:space="preserve">&lt;classifier&gt;mule-plugin&lt;/classifier&gt;</w:t>
      </w:r>
      <w:r>
        <w:t xml:space="preserve">; JDBC drivers and similar JARs go through </w:t>
      </w:r>
      <w:r>
        <w:rPr>
          <w:rStyle w:val="CodeChar"/>
        </w:rPr>
        <w:t xml:space="preserve">sharedLibraries</w:t>
      </w:r>
      <w:r>
        <w:t xml:space="preserve">, declared once in the parent. </w:t>
      </w:r>
      <w:r>
        <w:rPr>
          <w:i/>
        </w:rPr>
        <w:t xml:space="preserve">Blocking.</w:t>
      </w:r>
    </w:p>
    <w:p>
      <w:pPr>
        <w:pStyle w:val="ListParagraph"/>
        <w:numPr>
          <w:ilvl w:val="0"/>
          <w:numId w:val="4"/>
        </w:numPr>
      </w:pPr>
      <w:r>
        <w:t xml:space="preserve">Test-only artifacts are scoped </w:t>
      </w:r>
      <w:r>
        <w:rPr>
          <w:rStyle w:val="CodeChar"/>
        </w:rPr>
        <w:t xml:space="preserve">test</w:t>
      </w:r>
      <w:r>
        <w:t xml:space="preserve">; </w:t>
      </w:r>
      <w:r>
        <w:rPr>
          <w:rStyle w:val="CodeChar"/>
        </w:rPr>
        <w:t xml:space="preserve">mvn dependency:analyze</w:t>
      </w:r>
      <w:r>
        <w:t xml:space="preserve"> runs in CI and unused declared dependencies are removed. </w:t>
      </w:r>
      <w:r>
        <w:rPr>
          <w:i/>
        </w:rPr>
        <w:t xml:space="preserve">Advisory.</w:t>
      </w:r>
    </w:p>
    <w:p>
      <w:pPr/>
      <w:r>
        <w:rPr>
          <w:rStyle w:val="CodeChar"/>
          <w:b/>
        </w:rPr>
        <w:t xml:space="preserve">mule-artifact.json</w:t>
      </w:r>
    </w:p>
    <w:p>
      <w:pPr>
        <w:pStyle w:val="ListParagraph"/>
        <w:numPr>
          <w:ilvl w:val="0"/>
          <w:numId w:val="5"/>
        </w:numPr>
      </w:pPr>
      <w:r>
        <w:rPr>
          <w:rStyle w:val="CodeChar"/>
        </w:rPr>
        <w:t xml:space="preserve">minMuleVersion</w:t>
      </w:r>
      <w:r>
        <w:t xml:space="preserve"> equals the approved runtime's </w:t>
      </w:r>
      <w:r>
        <w:rPr>
          <w:rStyle w:val="CodeChar"/>
        </w:rPr>
        <w:t xml:space="preserve">major.minor</w:t>
      </w:r>
      <w:r>
        <w:t xml:space="preserve">. </w:t>
      </w:r>
      <w:r>
        <w:rPr>
          <w:i/>
        </w:rPr>
        <w:t xml:space="preserve">Blocking.</w:t>
      </w:r>
    </w:p>
    <w:p>
      <w:pPr>
        <w:pStyle w:val="ListParagraph"/>
        <w:numPr>
          <w:ilvl w:val="0"/>
          <w:numId w:val="5"/>
        </w:numPr>
      </w:pPr>
      <w:r>
        <w:rPr>
          <w:rStyle w:val="CodeChar"/>
        </w:rPr>
        <w:t xml:space="preserve">secureProperties</w:t>
      </w:r>
      <w:r>
        <w:t xml:space="preserve"> lists every property key that holds a secret, so Runtime Manager masks it. </w:t>
      </w:r>
      <w:r>
        <w:rPr>
          <w:i/>
        </w:rPr>
        <w:t xml:space="preserve">Blocking.</w:t>
      </w:r>
    </w:p>
    <w:p>
      <w:pPr/>
      <w:r>
        <w:rPr>
          <w:b/>
        </w:rPr>
        <w:t xml:space="preserve">Build and deployment configuration</w:t>
      </w:r>
    </w:p>
    <w:p>
      <w:pPr>
        <w:pStyle w:val="ListParagraph"/>
        <w:numPr>
          <w:ilvl w:val="0"/>
          <w:numId w:val="6"/>
        </w:numPr>
      </w:pPr>
      <w:r>
        <w:t xml:space="preserve">Every deployment to a shared environment runs through CI/CD with the Mule Maven plugin, as MuleSoft's build best practices state; a manual upload in Runtime Manager is redeployed through the pipeline before the application is promoted further. </w:t>
      </w:r>
      <w:r>
        <w:rPr>
          <w:i/>
        </w:rPr>
        <w:t xml:space="preserve">Blocking.</w:t>
      </w:r>
    </w:p>
    <w:p>
      <w:pPr>
        <w:pStyle w:val="ListParagraph"/>
        <w:numPr>
          <w:ilvl w:val="0"/>
          <w:numId w:val="6"/>
        </w:numPr>
      </w:pPr>
      <w:r>
        <w:t xml:space="preserve">The </w:t>
      </w:r>
      <w:r>
        <w:rPr>
          <w:rStyle w:val="CodeChar"/>
        </w:rPr>
        <w:t xml:space="preserve">mule-maven-plugin</w:t>
      </w:r>
      <w:r>
        <w:t xml:space="preserve"> deployment block is parameterised by pipeline variables (</w:t>
      </w:r>
      <w:r>
        <w:rPr>
          <w:rStyle w:val="CodeChar"/>
        </w:rPr>
        <w:t xml:space="preserve">${anypoint.env}</w:t>
      </w:r>
      <w:r>
        <w:t xml:space="preserve">, </w:t>
      </w:r>
      <w:r>
        <w:rPr>
          <w:rStyle w:val="CodeChar"/>
        </w:rPr>
        <w:t xml:space="preserve">${app.name}</w:t>
      </w:r>
      <w:r>
        <w:t xml:space="preserve">, </w:t>
      </w:r>
      <w:r>
        <w:rPr>
          <w:rStyle w:val="CodeChar"/>
        </w:rPr>
        <w:t xml:space="preserve">${app.vcores}</w:t>
      </w:r>
      <w:r>
        <w:t xml:space="preserve">); there are no per-environment Maven profiles. Environment is a pipeline variable, not a POM branch. </w:t>
      </w:r>
      <w:r>
        <w:rPr>
          <w:i/>
        </w:rPr>
        <w:t xml:space="preserve">Blocking.</w:t>
      </w:r>
    </w:p>
    <w:p>
      <w:pPr>
        <w:pStyle w:val="ListParagraph"/>
        <w:numPr>
          <w:ilvl w:val="0"/>
          <w:numId w:val="6"/>
        </w:numPr>
      </w:pPr>
      <w:r>
        <w:t xml:space="preserve">Anypoint and Exchange credentials live in the CI runner's </w:t>
      </w:r>
      <w:r>
        <w:rPr>
          <w:rStyle w:val="CodeChar"/>
        </w:rPr>
        <w:t xml:space="preserve">settings.xml</w:t>
      </w:r>
      <w:r>
        <w:t xml:space="preserve"> or secret store, never in any POM. </w:t>
      </w:r>
      <w:r>
        <w:rPr>
          <w:i/>
        </w:rPr>
        <w:t xml:space="preserve">Blocking.</w:t>
      </w:r>
    </w:p>
    <w:p>
      <w:pPr>
        <w:pStyle w:val="ListParagraph"/>
        <w:numPr>
          <w:ilvl w:val="0"/>
          <w:numId w:val="6"/>
        </w:numPr>
      </w:pPr>
      <w:r>
        <w:rPr>
          <w:rStyle w:val="CodeChar"/>
        </w:rPr>
        <w:t xml:space="preserve">finalName</w:t>
      </w:r>
      <w:r>
        <w:t xml:space="preserve"> is not overridden, so every artifact stays traceable to its </w:t>
      </w:r>
      <w:r>
        <w:rPr>
          <w:rStyle w:val="CodeChar"/>
        </w:rPr>
        <w:t xml:space="preserve">artifactId</w:t>
      </w:r>
      <w:r>
        <w:t xml:space="preserve"> and </w:t>
      </w:r>
      <w:r>
        <w:rPr>
          <w:rStyle w:val="CodeChar"/>
        </w:rPr>
        <w:t xml:space="preserve">version</w:t>
      </w:r>
      <w:r>
        <w:t xml:space="preserve">. </w:t>
      </w:r>
      <w:r>
        <w:rPr>
          <w:i/>
        </w:rPr>
        <w:t xml:space="preserve">Blocking.</w:t>
      </w:r>
    </w:p>
    <w:p>
      <w:pPr>
        <w:pStyle w:val="ListParagraph"/>
        <w:numPr>
          <w:ilvl w:val="0"/>
          <w:numId w:val="6"/>
        </w:numPr>
      </w:pPr>
      <w:r>
        <w:t xml:space="preserve">Packaging runs </w:t>
      </w:r>
      <w:r>
        <w:rPr>
          <w:rStyle w:val="CodeChar"/>
        </w:rPr>
        <w:t xml:space="preserve">mvn clean package</w:t>
      </w:r>
      <w:r>
        <w:t xml:space="preserve"> with tests in a separate pipeline stage that must pass first; </w:t>
      </w:r>
      <w:r>
        <w:rPr>
          <w:rStyle w:val="CodeChar"/>
        </w:rPr>
        <w:t xml:space="preserve">-DskipTests</w:t>
      </w:r>
      <w:r>
        <w:t xml:space="preserve"> is permitted only in the packaging stage after that gate. </w:t>
      </w:r>
      <w:r>
        <w:rPr>
          <w:i/>
        </w:rPr>
        <w:t xml:space="preserve">Advisory.</w:t>
      </w:r>
    </w:p>
    <w:p>
      <w:pPr>
        <w:pStyle w:val="Heading2"/>
      </w:pPr>
      <w:r>
        <w:t xml:space="preserve">APIkit &amp; API design</w:t>
      </w:r>
    </w:p>
    <w:p>
      <w:pPr/>
      <w:r>
        <w:t xml:space="preserve">The specification in Exchange is the contract: it is designed and published before any implementation, the APIkit router enforces it unchanged, and the generated flows do nothing but delegate.</w:t>
      </w:r>
    </w:p>
    <w:p>
      <w:pPr/>
      <w:r>
        <w:rPr>
          <w:b/>
        </w:rPr>
        <w:t xml:space="preserve">Specification</w:t>
      </w:r>
    </w:p>
    <w:p>
      <w:pPr>
        <w:pStyle w:val="ListParagraph"/>
        <w:numPr>
          <w:ilvl w:val="0"/>
          <w:numId w:val="7"/>
        </w:numPr>
      </w:pPr>
      <w:r>
        <w:t xml:space="preserve">Spec-first. The RAML 1.0 or OAS 3.0 specification is published to Exchange, with a reviewed version, before implementation starts; the application consumes that published version as a dependency. </w:t>
      </w:r>
      <w:r>
        <w:rPr>
          <w:i/>
        </w:rPr>
        <w:t xml:space="preserve">Blocking.</w:t>
      </w:r>
    </w:p>
    <w:p>
      <w:pPr>
        <w:pStyle w:val="ListParagraph"/>
        <w:numPr>
          <w:ilvl w:val="0"/>
          <w:numId w:val="7"/>
        </w:numPr>
      </w:pPr>
      <w:r>
        <w:t xml:space="preserve">The specification passes MuleSoft's </w:t>
      </w:r>
      <w:r>
        <w:rPr>
          <w:b/>
        </w:rPr>
        <w:t xml:space="preserve">Anypoint Best Practices</w:t>
      </w:r>
      <w:r>
        <w:t xml:space="preserve"> governance ruleset, applied through API Governance: lowercase or kebab-case resource paths, camelCase field names, ISO-8601 date-time representation, a schema and an example on every request and response, the standard status codes per method, and a title and descriptions on the API and each operation. A violation blocks publication. </w:t>
      </w:r>
      <w:r>
        <w:rPr>
          <w:i/>
        </w:rPr>
        <w:t xml:space="preserve">Blocking.</w:t>
      </w:r>
    </w:p>
    <w:p>
      <w:pPr>
        <w:pStyle w:val="ListParagraph"/>
        <w:numPr>
          <w:ilvl w:val="0"/>
          <w:numId w:val="7"/>
        </w:numPr>
      </w:pPr>
      <w:r>
        <w:t xml:space="preserve">Every API reuses the organisation's Exchange fragments: </w:t>
      </w:r>
      <w:r>
        <w:rPr>
          <w:rStyle w:val="CodeChar"/>
        </w:rPr>
        <w:t xml:space="preserve">&lt;org&gt;-common-traits</w:t>
      </w:r>
      <w:r>
        <w:t xml:space="preserve"> (pagination, </w:t>
      </w:r>
      <w:r>
        <w:rPr>
          <w:rStyle w:val="CodeChar"/>
        </w:rPr>
        <w:t xml:space="preserve">x-correlation-id</w:t>
      </w:r>
      <w:r>
        <w:t xml:space="preserve"> header, standard error responses, the </w:t>
      </w:r>
      <w:r>
        <w:rPr>
          <w:rStyle w:val="CodeChar"/>
        </w:rPr>
        <w:t xml:space="preserve">client-id-enforcement</w:t>
      </w:r>
      <w:r>
        <w:t xml:space="preserve"> security scheme) and </w:t>
      </w:r>
      <w:r>
        <w:rPr>
          <w:rStyle w:val="CodeChar"/>
        </w:rPr>
        <w:t xml:space="preserve">&lt;org&gt;-common-types</w:t>
      </w:r>
      <w:r>
        <w:t xml:space="preserve"> (</w:t>
      </w:r>
      <w:r>
        <w:rPr>
          <w:rStyle w:val="CodeChar"/>
        </w:rPr>
        <w:t xml:space="preserve">Error</w:t>
      </w:r>
      <w:r>
        <w:t xml:space="preserve">, </w:t>
      </w:r>
      <w:r>
        <w:rPr>
          <w:rStyle w:val="CodeChar"/>
        </w:rPr>
        <w:t xml:space="preserve">Money</w:t>
      </w:r>
      <w:r>
        <w:t xml:space="preserve">, </w:t>
      </w:r>
      <w:r>
        <w:rPr>
          <w:rStyle w:val="CodeChar"/>
        </w:rPr>
        <w:t xml:space="preserve">Address</w:t>
      </w:r>
      <w:r>
        <w:t xml:space="preserve">, and so on). A locally redefined copy of a shared type is a review finding (org). </w:t>
      </w:r>
      <w:r>
        <w:rPr>
          <w:i/>
        </w:rPr>
        <w:t xml:space="preserve">Blocking.</w:t>
      </w:r>
    </w:p>
    <w:p>
      <w:pPr>
        <w:pStyle w:val="ListParagraph"/>
        <w:numPr>
          <w:ilvl w:val="0"/>
          <w:numId w:val="7"/>
        </w:numPr>
      </w:pPr>
      <w:r>
        <w:t xml:space="preserve">Resources are plural nouns with no verbs (</w:t>
      </w:r>
      <w:r>
        <w:rPr>
          <w:rStyle w:val="CodeChar"/>
        </w:rPr>
        <w:t xml:space="preserve">/orders/{orderId}/line-items</w:t>
      </w:r>
      <w:r>
        <w:t xml:space="preserve">); identifiers are path parameters; filtering and paging are query parameters (</w:t>
      </w:r>
      <w:r>
        <w:rPr>
          <w:rStyle w:val="CodeChar"/>
        </w:rPr>
        <w:t xml:space="preserve">limit</w:t>
      </w:r>
      <w:r>
        <w:t xml:space="preserve">, </w:t>
      </w:r>
      <w:r>
        <w:rPr>
          <w:rStyle w:val="CodeChar"/>
        </w:rPr>
        <w:t xml:space="preserve">offset</w:t>
      </w:r>
      <w:r>
        <w:t xml:space="preserve">, or </w:t>
      </w:r>
      <w:r>
        <w:rPr>
          <w:rStyle w:val="CodeChar"/>
        </w:rPr>
        <w:t xml:space="preserve">pageSize</w:t>
      </w:r>
      <w:r>
        <w:t xml:space="preserve">, </w:t>
      </w:r>
      <w:r>
        <w:rPr>
          <w:rStyle w:val="CodeChar"/>
        </w:rPr>
        <w:t xml:space="preserve">pageToken</w:t>
      </w:r>
      <w:r>
        <w:t xml:space="preserve">) (org, extending the ruleset's lowercase rule). </w:t>
      </w:r>
      <w:r>
        <w:rPr>
          <w:i/>
        </w:rPr>
        <w:t xml:space="preserve">Blocking.</w:t>
      </w:r>
    </w:p>
    <w:p>
      <w:pPr>
        <w:pStyle w:val="ListParagraph"/>
        <w:numPr>
          <w:ilvl w:val="0"/>
          <w:numId w:val="7"/>
        </w:numPr>
      </w:pPr>
      <w:r>
        <w:t xml:space="preserve">JSON bodies use camelCase field names and ISO-8601 UTC timestamps (</w:t>
      </w:r>
      <w:r>
        <w:rPr>
          <w:rStyle w:val="CodeChar"/>
        </w:rPr>
        <w:t xml:space="preserve">2026-10-09T15:10:00Z</w:t>
      </w:r>
      <w:r>
        <w:t xml:space="preserve">) per the ruleset, plus string identifiers and explicit currency codes (org). </w:t>
      </w:r>
      <w:r>
        <w:rPr>
          <w:i/>
        </w:rPr>
        <w:t xml:space="preserve">Blocking.</w:t>
      </w:r>
    </w:p>
    <w:p>
      <w:pPr>
        <w:pStyle w:val="ListParagraph"/>
        <w:numPr>
          <w:ilvl w:val="0"/>
          <w:numId w:val="7"/>
        </w:numPr>
      </w:pPr>
      <w:r>
        <w:t xml:space="preserve">Each operation documents its success response and at least </w:t>
      </w:r>
      <w:r>
        <w:rPr>
          <w:rStyle w:val="CodeChar"/>
        </w:rPr>
        <w:t xml:space="preserve">400</w:t>
      </w:r>
      <w:r>
        <w:t xml:space="preserve">, </w:t>
      </w:r>
      <w:r>
        <w:rPr>
          <w:rStyle w:val="CodeChar"/>
        </w:rPr>
        <w:t xml:space="preserve">401</w:t>
      </w:r>
      <w:r>
        <w:t xml:space="preserve">, </w:t>
      </w:r>
      <w:r>
        <w:rPr>
          <w:rStyle w:val="CodeChar"/>
        </w:rPr>
        <w:t xml:space="preserve">403</w:t>
      </w:r>
      <w:r>
        <w:t xml:space="preserve">, </w:t>
      </w:r>
      <w:r>
        <w:rPr>
          <w:rStyle w:val="CodeChar"/>
        </w:rPr>
        <w:t xml:space="preserve">404</w:t>
      </w:r>
      <w:r>
        <w:t xml:space="preserve"> and </w:t>
      </w:r>
      <w:r>
        <w:rPr>
          <w:rStyle w:val="CodeChar"/>
        </w:rPr>
        <w:t xml:space="preserve">500</w:t>
      </w:r>
      <w:r>
        <w:t xml:space="preserve">, every response with a schema and an example that validates against it. </w:t>
      </w:r>
      <w:r>
        <w:rPr>
          <w:i/>
        </w:rPr>
        <w:t xml:space="preserve">Blocking.</w:t>
      </w:r>
    </w:p>
    <w:p>
      <w:pPr>
        <w:pStyle w:val="ListParagraph"/>
        <w:numPr>
          <w:ilvl w:val="0"/>
          <w:numId w:val="7"/>
        </w:numPr>
      </w:pPr>
      <w:r>
        <w:t xml:space="preserve">The major version is in the base path (</w:t>
      </w:r>
      <w:r>
        <w:rPr>
          <w:rStyle w:val="CodeChar"/>
        </w:rPr>
        <w:t xml:space="preserve">/api/v1</w:t>
      </w:r>
      <w:r>
        <w:t xml:space="preserve">). A breaking change is a new major version in a new repository; additive changes raise the Exchange asset's minor version (org). </w:t>
      </w:r>
      <w:r>
        <w:rPr>
          <w:i/>
        </w:rPr>
        <w:t xml:space="preserve">Blocking.</w:t>
      </w:r>
    </w:p>
    <w:p>
      <w:pPr/>
      <w:r>
        <w:rPr>
          <w:b/>
        </w:rPr>
        <w:t xml:space="preserve">Router and generated flows</w:t>
      </w:r>
    </w:p>
    <w:p>
      <w:pPr>
        <w:pStyle w:val="ListParagraph"/>
        <w:numPr>
          <w:ilvl w:val="0"/>
          <w:numId w:val="8"/>
        </w:numPr>
      </w:pPr>
      <w:r>
        <w:t xml:space="preserve">One APIkit router per application, configured as </w:t>
      </w:r>
      <w:r>
        <w:rPr>
          <w:rStyle w:val="CodeChar"/>
        </w:rPr>
        <w:t xml:space="preserve">&lt;name&gt;-config</w:t>
      </w:r>
      <w:r>
        <w:t xml:space="preserve"> and pointed at the Exchange dependency (</w:t>
      </w:r>
      <w:r>
        <w:rPr>
          <w:rStyle w:val="CodeChar"/>
        </w:rPr>
        <w:t xml:space="preserve">resource::</w:t>
      </w:r>
      <w:r>
        <w:t xml:space="preserve"> reference), never at a local copy of the spec. </w:t>
      </w:r>
      <w:r>
        <w:rPr>
          <w:i/>
        </w:rPr>
        <w:t xml:space="preserve">Blocking.</w:t>
      </w:r>
    </w:p>
    <w:p>
      <w:pPr>
        <w:pStyle w:val="ListParagraph"/>
        <w:numPr>
          <w:ilvl w:val="0"/>
          <w:numId w:val="8"/>
        </w:numPr>
      </w:pPr>
      <w:r>
        <w:t xml:space="preserve">Generated flows keep their generated names and contain only a </w:t>
      </w:r>
      <w:r>
        <w:rPr>
          <w:rStyle w:val="CodeChar"/>
        </w:rPr>
        <w:t xml:space="preserve">flow-ref</w:t>
      </w:r>
      <w:r>
        <w:t xml:space="preserve"> to the implementation flow in </w:t>
      </w:r>
      <w:r>
        <w:rPr>
          <w:rStyle w:val="CodeChar"/>
        </w:rPr>
        <w:t xml:space="preserve">&lt;resource&gt;-impl.xml</w:t>
      </w:r>
      <w:r>
        <w:t xml:space="preserve"> (at most a </w:t>
      </w:r>
      <w:r>
        <w:rPr>
          <w:rStyle w:val="CodeChar"/>
        </w:rPr>
        <w:t xml:space="preserve">set-variable</w:t>
      </w:r>
      <w:r>
        <w:t xml:space="preserve"> for </w:t>
      </w:r>
      <w:r>
        <w:rPr>
          <w:rStyle w:val="CodeChar"/>
        </w:rPr>
        <w:t xml:space="preserve">httpStatus</w:t>
      </w:r>
      <w:r>
        <w:t xml:space="preserve">). Business logic in a generated flow is a review finding. </w:t>
      </w:r>
      <w:r>
        <w:rPr>
          <w:i/>
        </w:rPr>
        <w:t xml:space="preserve">Blocking.</w:t>
      </w:r>
    </w:p>
    <w:p>
      <w:pPr>
        <w:pStyle w:val="ListParagraph"/>
        <w:numPr>
          <w:ilvl w:val="0"/>
          <w:numId w:val="8"/>
        </w:numPr>
      </w:pPr>
      <w:r>
        <w:t xml:space="preserve">Request validation stays on (</w:t>
      </w:r>
      <w:r>
        <w:rPr>
          <w:rStyle w:val="CodeChar"/>
        </w:rPr>
        <w:t xml:space="preserve">disableValidations="false"</w:t>
      </w:r>
      <w:r>
        <w:t xml:space="preserve">); the router validates against the spec, and the implementation does not re-validate schema. </w:t>
      </w:r>
      <w:r>
        <w:rPr>
          <w:i/>
        </w:rPr>
        <w:t xml:space="preserve">Blocking.</w:t>
      </w:r>
    </w:p>
    <w:p>
      <w:pPr>
        <w:pStyle w:val="ListParagraph"/>
        <w:numPr>
          <w:ilvl w:val="0"/>
          <w:numId w:val="8"/>
        </w:numPr>
      </w:pPr>
      <w:r>
        <w:t xml:space="preserve">The console flow's </w:t>
      </w:r>
      <w:r>
        <w:rPr>
          <w:rStyle w:val="CodeChar"/>
        </w:rPr>
        <w:t xml:space="preserve">initialState</w:t>
      </w:r>
      <w:r>
        <w:t xml:space="preserve"> is </w:t>
      </w:r>
      <w:r>
        <w:rPr>
          <w:rStyle w:val="CodeChar"/>
        </w:rPr>
        <w:t xml:space="preserve">${api.console.state}</w:t>
      </w:r>
      <w:r>
        <w:t xml:space="preserve">: </w:t>
      </w:r>
      <w:r>
        <w:rPr>
          <w:rStyle w:val="CodeChar"/>
        </w:rPr>
        <w:t xml:space="preserve">started</w:t>
      </w:r>
      <w:r>
        <w:t xml:space="preserve"> in </w:t>
      </w:r>
      <w:r>
        <w:rPr>
          <w:rStyle w:val="CodeChar"/>
        </w:rPr>
        <w:t xml:space="preserve">dev</w:t>
      </w:r>
      <w:r>
        <w:t xml:space="preserve"> and </w:t>
      </w:r>
      <w:r>
        <w:rPr>
          <w:rStyle w:val="CodeChar"/>
        </w:rPr>
        <w:t xml:space="preserve">test</w:t>
      </w:r>
      <w:r>
        <w:t xml:space="preserve">, </w:t>
      </w:r>
      <w:r>
        <w:rPr>
          <w:rStyle w:val="CodeChar"/>
        </w:rPr>
        <w:t xml:space="preserve">stopped</w:t>
      </w:r>
      <w:r>
        <w:t xml:space="preserve"> in </w:t>
      </w:r>
      <w:r>
        <w:rPr>
          <w:rStyle w:val="CodeChar"/>
        </w:rPr>
        <w:t xml:space="preserve">uat</w:t>
      </w:r>
      <w:r>
        <w:t xml:space="preserve"> and </w:t>
      </w:r>
      <w:r>
        <w:rPr>
          <w:rStyle w:val="CodeChar"/>
        </w:rPr>
        <w:t xml:space="preserve">prod</w:t>
      </w:r>
      <w:r>
        <w:t xml:space="preserve">. </w:t>
      </w:r>
      <w:r>
        <w:rPr>
          <w:i/>
        </w:rPr>
        <w:t xml:space="preserve">Blocking.</w:t>
      </w:r>
    </w:p>
    <w:p>
      <w:pPr>
        <w:pStyle w:val="ListParagraph"/>
        <w:numPr>
          <w:ilvl w:val="0"/>
          <w:numId w:val="8"/>
        </w:numPr>
      </w:pPr>
      <w:r>
        <w:t xml:space="preserve">One </w:t>
      </w:r>
      <w:r>
        <w:rPr>
          <w:rStyle w:val="CodeChar"/>
        </w:rPr>
        <w:t xml:space="preserve">http-listener-config</w:t>
      </w:r>
      <w:r>
        <w:t xml:space="preserve"> on </w:t>
      </w:r>
      <w:r>
        <w:rPr>
          <w:rStyle w:val="CodeChar"/>
        </w:rPr>
        <w:t xml:space="preserve">${http.port}</w:t>
      </w:r>
      <w:r>
        <w:t xml:space="preserve"> with base path </w:t>
      </w:r>
      <w:r>
        <w:rPr>
          <w:rStyle w:val="CodeChar"/>
        </w:rPr>
        <w:t xml:space="preserve">/api/v&lt;major&gt;/*</w:t>
      </w:r>
      <w:r>
        <w:t xml:space="preserve">; TLS terminates at the platform load balancer or ingress unless architecture records an exception. </w:t>
      </w:r>
      <w:r>
        <w:rPr>
          <w:i/>
        </w:rPr>
        <w:t xml:space="preserve">Blocking.</w:t>
      </w:r>
    </w:p>
    <w:p>
      <w:pPr>
        <w:pStyle w:val="ListParagraph"/>
        <w:numPr>
          <w:ilvl w:val="0"/>
          <w:numId w:val="8"/>
        </w:numPr>
      </w:pPr>
      <w:r>
        <w:t xml:space="preserve">API autodiscovery (</w:t>
      </w:r>
      <w:r>
        <w:rPr>
          <w:rStyle w:val="CodeChar"/>
        </w:rPr>
        <w:t xml:space="preserve">api-gateway:autodiscovery</w:t>
      </w:r>
      <w:r>
        <w:t xml:space="preserve">) is configured with </w:t>
      </w:r>
      <w:r>
        <w:rPr>
          <w:rStyle w:val="CodeChar"/>
        </w:rPr>
        <w:t xml:space="preserve">apiId="${api.id}"</w:t>
      </w:r>
      <w:r>
        <w:t xml:space="preserve"> and </w:t>
      </w:r>
      <w:r>
        <w:rPr>
          <w:rStyle w:val="CodeChar"/>
        </w:rPr>
        <w:t xml:space="preserve">api.id</w:t>
      </w:r>
      <w:r>
        <w:t xml:space="preserve"> is supplied per environment as a deployment property, so API Manager policies apply. </w:t>
      </w:r>
      <w:r>
        <w:rPr>
          <w:i/>
        </w:rPr>
        <w:t xml:space="preserve">Blocking.</w:t>
      </w:r>
    </w:p>
    <w:p>
      <w:pPr>
        <w:pStyle w:val="ListParagraph"/>
        <w:numPr>
          <w:ilvl w:val="0"/>
          <w:numId w:val="8"/>
        </w:numPr>
      </w:pPr>
      <w:r>
        <w:t xml:space="preserve">The APIkit-generated error handler is deleted from the main flow; </w:t>
      </w:r>
      <w:r>
        <w:rPr>
          <w:rStyle w:val="CodeChar"/>
        </w:rPr>
        <w:t xml:space="preserve">APIKIT:*</w:t>
      </w:r>
      <w:r>
        <w:t xml:space="preserve"> errors are mapped in the global error handler (see Logging &amp; error handling). </w:t>
      </w:r>
      <w:r>
        <w:rPr>
          <w:i/>
        </w:rPr>
        <w:t xml:space="preserve">Blocking.</w:t>
      </w:r>
    </w:p>
    <w:p>
      <w:pPr/>
      <w:r>
        <w:rPr>
          <w:b/>
        </w:rPr>
        <w:t xml:space="preserve">Response conventions</w:t>
      </w:r>
    </w:p>
    <w:p>
      <w:pPr>
        <w:pStyle w:val="ListParagraph"/>
        <w:numPr>
          <w:ilvl w:val="0"/>
          <w:numId w:val="9"/>
        </w:numPr>
      </w:pPr>
      <w:r>
        <w:t xml:space="preserve">Default </w:t>
      </w:r>
      <w:r>
        <w:rPr>
          <w:rStyle w:val="CodeChar"/>
        </w:rPr>
        <w:t xml:space="preserve">Content-Type: application/json</w:t>
      </w:r>
      <w:r>
        <w:t xml:space="preserve">; </w:t>
      </w:r>
      <w:r>
        <w:rPr>
          <w:rStyle w:val="CodeChar"/>
        </w:rPr>
        <w:t xml:space="preserve">x-correlation-id</w:t>
      </w:r>
      <w:r>
        <w:t xml:space="preserve"> is echoed on every response, including errors. </w:t>
      </w:r>
      <w:r>
        <w:rPr>
          <w:i/>
        </w:rPr>
        <w:t xml:space="preserve">Blocking.</w:t>
      </w:r>
    </w:p>
    <w:p>
      <w:pPr>
        <w:pStyle w:val="ListParagraph"/>
        <w:numPr>
          <w:ilvl w:val="0"/>
          <w:numId w:val="9"/>
        </w:numPr>
      </w:pPr>
      <w:r>
        <w:rPr>
          <w:rStyle w:val="CodeChar"/>
        </w:rPr>
        <w:t xml:space="preserve">201 Created</w:t>
      </w:r>
      <w:r>
        <w:t xml:space="preserve"> carries a </w:t>
      </w:r>
      <w:r>
        <w:rPr>
          <w:rStyle w:val="CodeChar"/>
        </w:rPr>
        <w:t xml:space="preserve">Location</w:t>
      </w:r>
      <w:r>
        <w:t xml:space="preserve"> header; </w:t>
      </w:r>
      <w:r>
        <w:rPr>
          <w:rStyle w:val="CodeChar"/>
        </w:rPr>
        <w:t xml:space="preserve">204 No Content</w:t>
      </w:r>
      <w:r>
        <w:t xml:space="preserve"> carries no body; collection responses are an object with an </w:t>
      </w:r>
      <w:r>
        <w:rPr>
          <w:rStyle w:val="CodeChar"/>
        </w:rPr>
        <w:t xml:space="preserve">items</w:t>
      </w:r>
      <w:r>
        <w:t xml:space="preserve"> array, never a bare array, so paging metadata can be added without a breaking change. </w:t>
      </w:r>
      <w:r>
        <w:rPr>
          <w:i/>
        </w:rPr>
        <w:t xml:space="preserve">Advisory.</w:t>
      </w:r>
    </w:p>
    <w:p>
      <w:pPr>
        <w:pStyle w:val="ListParagraph"/>
        <w:numPr>
          <w:ilvl w:val="0"/>
          <w:numId w:val="9"/>
        </w:numPr>
      </w:pPr>
      <w:r>
        <w:t xml:space="preserve">Errors always use the standard envelope from the error-handling section; a raw connector or runtime message never reaches a consumer. </w:t>
      </w:r>
      <w:r>
        <w:rPr>
          <w:i/>
        </w:rPr>
        <w:t xml:space="preserve">Blocking.</w:t>
      </w:r>
    </w:p>
    <w:p>
      <w:pPr>
        <w:pStyle w:val="Heading2"/>
      </w:pPr>
      <w:r>
        <w:t xml:space="preserve">Configuration &amp; secrets</w:t>
      </w:r>
    </w:p>
    <w:p>
      <w:pPr/>
      <w:r>
        <w:t xml:space="preserve">This follows MuleSoft's documented model: one properties file holds a default for every property, environment-specific values are supplied as deployment properties at deploy time rather than packaged per environment, secrets are encrypted with the Secure Configuration Properties module and referenced with the </w:t>
      </w:r>
      <w:r>
        <w:rPr>
          <w:rStyle w:val="CodeChar"/>
        </w:rPr>
        <w:t xml:space="preserve">secure::</w:t>
      </w:r>
      <w:r>
        <w:t xml:space="preserve"> prefix, and every secret name is listed in </w:t>
      </w:r>
      <w:r>
        <w:rPr>
          <w:rStyle w:val="CodeChar"/>
        </w:rPr>
        <w:t xml:space="preserve">secureProperties</w:t>
      </w:r>
      <w:r>
        <w:t xml:space="preserve"> so Runtime Manager hides it.</w:t>
      </w:r>
    </w:p>
    <w:p>
      <w:pPr/>
      <w:r>
        <w:rPr>
          <w:b/>
        </w:rPr>
        <w:t xml:space="preserve">File layout</w:t>
      </w:r>
    </w:p>
    <w:p>
      <w:pPr>
        <w:pStyle w:val="Code"/>
      </w:pPr>
      <w:bookmarkStart w:id="1" w:name="bongo_lang_text_1"/>
      <w:bookmarkEnd w:id="1"/>
      <w:r>
        <w:t xml:space="preserve">src/main/resources/</w:t>
        <w:br/>
        <w:t xml:space="preserve">  config.yaml            a default for every property the application reads</w:t>
        <w:br/>
        <w:t xml:space="preserve">  config-secure.yaml     encrypted values only, referenced as ${secure::key}</w:t>
        <w:br/>
        <w:t xml:space="preserve">  tls/                   truststores (public certificates) only</w:t>
        <w:br/>
        <w:t xml:space="preserve">&lt;pipeline repository&gt;/</w:t>
        <w:br/>
        <w:t xml:space="preserve">  &lt;app&gt;/dev.yaml, test.yaml, uat.yaml, prod.yaml</w:t>
        <w:br/>
        <w:t xml:space="preserve">                         per-environment overrides, applied as deployment</w:t>
        <w:br/>
        <w:t xml:space="preserve">                         properties by the Mule Maven plugin (org)</w:t>
      </w:r>
    </w:p>
    <w:p>
      <w:pPr/>
      <w:r>
        <w:rPr>
          <w:rStyle w:val="CodeChar"/>
        </w:rPr>
        <w:t xml:space="preserve">global.xml</w:t>
      </w:r>
      <w:r>
        <w:t xml:space="preserve"> loads </w:t>
      </w:r>
      <w:r>
        <w:rPr>
          <w:rStyle w:val="CodeChar"/>
        </w:rPr>
        <w:t xml:space="preserve">config.yaml</w:t>
      </w:r>
      <w:r>
        <w:t xml:space="preserve"> with </w:t>
      </w:r>
      <w:r>
        <w:rPr>
          <w:rStyle w:val="CodeChar"/>
        </w:rPr>
        <w:t xml:space="preserve">&lt;configuration-properties&gt;</w:t>
      </w:r>
      <w:r>
        <w:t xml:space="preserve"> and </w:t>
      </w:r>
      <w:r>
        <w:rPr>
          <w:rStyle w:val="CodeChar"/>
        </w:rPr>
        <w:t xml:space="preserve">config-secure.yaml</w:t>
      </w:r>
      <w:r>
        <w:t xml:space="preserve"> with </w:t>
      </w:r>
      <w:r>
        <w:rPr>
          <w:rStyle w:val="CodeChar"/>
        </w:rPr>
        <w:t xml:space="preserve">secure-properties:config</w:t>
      </w:r>
      <w:r>
        <w:t xml:space="preserve"> using </w:t>
      </w:r>
      <w:r>
        <w:rPr>
          <w:rStyle w:val="CodeChar"/>
        </w:rPr>
        <w:t xml:space="preserve">key="${secure.key}"</w:t>
      </w:r>
      <w:r>
        <w:t xml:space="preserve"> and AES/CBC. MuleSoft's precedence applies: deployment properties, then system properties, then environment variables, then application property files, then </w:t>
      </w:r>
      <w:r>
        <w:rPr>
          <w:rStyle w:val="CodeChar"/>
        </w:rPr>
        <w:t xml:space="preserve">&lt;global-property&gt;</w:t>
      </w:r>
      <w:r>
        <w:t xml:space="preserve"> values; when two files define the same key, the first definition wins. MuleSoft's build guidance is explicit that configuration files for every environment should not be packaged inside the application. The documented alternative — one file per environment selected with </w:t>
      </w:r>
      <w:r>
        <w:rPr>
          <w:rStyle w:val="CodeChar"/>
        </w:rPr>
        <w:t xml:space="preserve">&lt;configuration-properties file="${env}-properties.yaml"/&gt;</w:t>
      </w:r>
      <w:r>
        <w:t xml:space="preserve"> and a </w:t>
      </w:r>
      <w:r>
        <w:rPr>
          <w:rStyle w:val="CodeChar"/>
        </w:rPr>
        <w:t xml:space="preserve">&lt;global-property name="env" value="dev"/&gt;</w:t>
      </w:r>
      <w:r>
        <w:t xml:space="preserve"> default — is permitted only where a team needs every environment's values in the application repository, and then the key-set rule below applies to those files instead (org).</w:t>
      </w:r>
    </w:p>
    <w:p>
      <w:pPr/>
      <w:r>
        <w:rPr>
          <w:b/>
        </w:rPr>
        <w:t xml:space="preserve">Property rules</w:t>
      </w:r>
    </w:p>
    <w:p>
      <w:pPr>
        <w:pStyle w:val="ListParagraph"/>
        <w:numPr>
          <w:ilvl w:val="0"/>
          <w:numId w:val="10"/>
        </w:numPr>
      </w:pPr>
      <w:r>
        <w:t xml:space="preserve">Every property the application reads has a default in </w:t>
      </w:r>
      <w:r>
        <w:rPr>
          <w:rStyle w:val="CodeChar"/>
        </w:rPr>
        <w:t xml:space="preserve">config.yaml</w:t>
      </w:r>
      <w:r>
        <w:t xml:space="preserve">. MuleSoft notes that properties passed only at runtime break metadata resolution in Studio; a default also keeps local runs working. </w:t>
      </w:r>
      <w:r>
        <w:rPr>
          <w:i/>
        </w:rPr>
        <w:t xml:space="preserve">Blocking.</w:t>
      </w:r>
    </w:p>
    <w:p>
      <w:pPr>
        <w:pStyle w:val="ListParagraph"/>
        <w:numPr>
          <w:ilvl w:val="0"/>
          <w:numId w:val="10"/>
        </w:numPr>
      </w:pPr>
      <w:r>
        <w:t xml:space="preserve">Environment-specific values are deployment properties. They are set by the pipeline through the Mule Maven plugin from a versioned per-environment override set, which is the only path into Runtime Manager; nobody edits a property in the Runtime Manager console by hand (org). </w:t>
      </w:r>
      <w:r>
        <w:rPr>
          <w:i/>
        </w:rPr>
        <w:t xml:space="preserve">Blocking.</w:t>
      </w:r>
    </w:p>
    <w:p>
      <w:pPr>
        <w:pStyle w:val="ListParagraph"/>
        <w:numPr>
          <w:ilvl w:val="0"/>
          <w:numId w:val="10"/>
        </w:numPr>
      </w:pPr>
      <w:r>
        <w:t xml:space="preserve">The override set of every environment carries the same keys, and CI diffs the key sets before a promotion (org). </w:t>
      </w:r>
      <w:r>
        <w:rPr>
          <w:i/>
        </w:rPr>
        <w:t xml:space="preserve">Blocking.</w:t>
      </w:r>
      <w:r>
        <w:t xml:space="preserve"> This is the guard against a promotion failing on a property that exists in one environment and not the next.</w:t>
      </w:r>
    </w:p>
    <w:p>
      <w:pPr>
        <w:pStyle w:val="ListParagraph"/>
        <w:numPr>
          <w:ilvl w:val="0"/>
          <w:numId w:val="10"/>
        </w:numPr>
      </w:pPr>
      <w:r>
        <w:t xml:space="preserve">No hard-coded hostnames, ports, paths, credentials, timeouts, pool sizes, cron expressions, queue names or feature flags in XML or DataWeave; each is a property placeholder, named by the naming section. </w:t>
      </w:r>
      <w:r>
        <w:rPr>
          <w:i/>
        </w:rPr>
        <w:t xml:space="preserve">Blocking.</w:t>
      </w:r>
    </w:p>
    <w:p>
      <w:pPr>
        <w:pStyle w:val="ListParagraph"/>
        <w:numPr>
          <w:ilvl w:val="0"/>
          <w:numId w:val="10"/>
        </w:numPr>
      </w:pPr>
      <w:r>
        <w:rPr>
          <w:rStyle w:val="CodeChar"/>
        </w:rPr>
        <w:t xml:space="preserve">secure.key</w:t>
      </w:r>
      <w:r>
        <w:t xml:space="preserve"> is a deployment property and is listed in </w:t>
      </w:r>
      <w:r>
        <w:rPr>
          <w:rStyle w:val="CodeChar"/>
        </w:rPr>
        <w:t xml:space="preserve">secureProperties</w:t>
      </w:r>
      <w:r>
        <w:t xml:space="preserve">, as MuleSoft's example does, so it is never visible after deployment. It never appears in any file, POM, log or README. </w:t>
      </w:r>
      <w:r>
        <w:rPr>
          <w:i/>
        </w:rPr>
        <w:t xml:space="preserve">Blocking.</w:t>
      </w:r>
    </w:p>
    <w:p>
      <w:pPr>
        <w:pStyle w:val="ListParagraph"/>
        <w:numPr>
          <w:ilvl w:val="0"/>
          <w:numId w:val="10"/>
        </w:numPr>
      </w:pPr>
      <w:r>
        <w:t xml:space="preserve">API Manager instances, policies, contracts and MQ queues are created and promoted by the pipeline (Anypoint CLI or platform APIs), and the </w:t>
      </w:r>
      <w:r>
        <w:rPr>
          <w:rStyle w:val="CodeChar"/>
        </w:rPr>
        <w:t xml:space="preserve">api.id</w:t>
      </w:r>
      <w:r>
        <w:t xml:space="preserve"> deployment property is captured from that step rather than typed by hand (org). </w:t>
      </w:r>
      <w:r>
        <w:rPr>
          <w:i/>
        </w:rPr>
        <w:t xml:space="preserve">Advisory.</w:t>
      </w:r>
    </w:p>
    <w:p>
      <w:pPr>
        <w:pStyle w:val="ListParagraph"/>
        <w:numPr>
          <w:ilvl w:val="0"/>
          <w:numId w:val="10"/>
        </w:numPr>
      </w:pPr>
      <w:r>
        <w:t xml:space="preserve">Feature flags are booleans named </w:t>
      </w:r>
      <w:r>
        <w:rPr>
          <w:rStyle w:val="CodeChar"/>
        </w:rPr>
        <w:t xml:space="preserve">feature.&lt;name&gt;.enabled</w:t>
      </w:r>
      <w:r>
        <w:t xml:space="preserve"> and default to </w:t>
      </w:r>
      <w:r>
        <w:rPr>
          <w:rStyle w:val="CodeChar"/>
        </w:rPr>
        <w:t xml:space="preserve">false</w:t>
      </w:r>
      <w:r>
        <w:t xml:space="preserve"> in </w:t>
      </w:r>
      <w:r>
        <w:rPr>
          <w:rStyle w:val="CodeChar"/>
        </w:rPr>
        <w:t xml:space="preserve">config.yaml</w:t>
      </w:r>
      <w:r>
        <w:t xml:space="preserve"> (org). </w:t>
      </w:r>
      <w:r>
        <w:rPr>
          <w:i/>
        </w:rPr>
        <w:t xml:space="preserve">Advisory.</w:t>
      </w:r>
    </w:p>
    <w:p>
      <w:pPr/>
      <w:r>
        <w:rPr>
          <w:b/>
        </w:rPr>
        <w:t xml:space="preserve">Secrets</w:t>
      </w:r>
    </w:p>
    <w:p>
      <w:pPr>
        <w:pStyle w:val="ListParagraph"/>
        <w:numPr>
          <w:ilvl w:val="0"/>
          <w:numId w:val="11"/>
        </w:numPr>
      </w:pPr>
      <w:r>
        <w:t xml:space="preserve">A secret is any password, client secret, API key, token, keystore password or private key. Every secret is encrypted with MuleSoft's Secure Properties Tool, stored in </w:t>
      </w:r>
      <w:r>
        <w:rPr>
          <w:rStyle w:val="CodeChar"/>
        </w:rPr>
        <w:t xml:space="preserve">config-secure.yaml</w:t>
      </w:r>
      <w:r>
        <w:t xml:space="preserve">, and referenced only as </w:t>
      </w:r>
      <w:r>
        <w:rPr>
          <w:rStyle w:val="CodeChar"/>
        </w:rPr>
        <w:t xml:space="preserve">${secure::&lt;key&gt;}</w:t>
      </w:r>
      <w:r>
        <w:t xml:space="preserve">; the module demands the key at runtime. </w:t>
      </w:r>
      <w:r>
        <w:rPr>
          <w:i/>
        </w:rPr>
        <w:t xml:space="preserve">Blocking.</w:t>
      </w:r>
    </w:p>
    <w:p>
      <w:pPr>
        <w:pStyle w:val="ListParagraph"/>
        <w:numPr>
          <w:ilvl w:val="0"/>
          <w:numId w:val="11"/>
        </w:numPr>
      </w:pPr>
      <w:r>
        <w:t xml:space="preserve">A plaintext secret anywhere in the repository — property files, test resources, comments, commit history — is a Blocking finding and the secret is rotated the same day. </w:t>
      </w:r>
      <w:r>
        <w:rPr>
          <w:i/>
        </w:rPr>
        <w:t xml:space="preserve">Blocking.</w:t>
      </w:r>
    </w:p>
    <w:p>
      <w:pPr>
        <w:pStyle w:val="ListParagraph"/>
        <w:numPr>
          <w:ilvl w:val="0"/>
          <w:numId w:val="11"/>
        </w:numPr>
      </w:pPr>
      <w:r>
        <w:t xml:space="preserve">One encryption key per environment, held in the organisation's secret store with access limited to the platform team; a key never moves between environments. </w:t>
      </w:r>
      <w:r>
        <w:rPr>
          <w:i/>
        </w:rPr>
        <w:t xml:space="preserve">Blocking.</w:t>
      </w:r>
    </w:p>
    <w:p>
      <w:pPr>
        <w:pStyle w:val="ListParagraph"/>
        <w:numPr>
          <w:ilvl w:val="0"/>
          <w:numId w:val="11"/>
        </w:numPr>
      </w:pPr>
      <w:r>
        <w:rPr>
          <w:rStyle w:val="CodeChar"/>
        </w:rPr>
        <w:t xml:space="preserve">secureProperties</w:t>
      </w:r>
      <w:r>
        <w:t xml:space="preserve"> in </w:t>
      </w:r>
      <w:r>
        <w:rPr>
          <w:rStyle w:val="CodeChar"/>
        </w:rPr>
        <w:t xml:space="preserve">mule-artifact.json</w:t>
      </w:r>
      <w:r>
        <w:t xml:space="preserve"> lists every secret property name — with the </w:t>
      </w:r>
      <w:r>
        <w:rPr>
          <w:rStyle w:val="CodeChar"/>
        </w:rPr>
        <w:t xml:space="preserve">secure::</w:t>
      </w:r>
      <w:r>
        <w:t xml:space="preserve"> prefix for values from the secure file — plus </w:t>
      </w:r>
      <w:r>
        <w:rPr>
          <w:rStyle w:val="CodeChar"/>
        </w:rPr>
        <w:t xml:space="preserve">secure.key</w:t>
      </w:r>
      <w:r>
        <w:t xml:space="preserve">, so Runtime Manager masks them; MuleSoft keeps a property hidden once it has been flagged. </w:t>
      </w:r>
      <w:r>
        <w:rPr>
          <w:i/>
        </w:rPr>
        <w:t xml:space="preserve">Blocking.</w:t>
      </w:r>
    </w:p>
    <w:p>
      <w:pPr>
        <w:pStyle w:val="ListParagraph"/>
        <w:numPr>
          <w:ilvl w:val="0"/>
          <w:numId w:val="11"/>
        </w:numPr>
      </w:pPr>
      <w:r>
        <w:t xml:space="preserve">A secret overridden per environment is set as a safely hidden deployment property, never as a plaintext override. </w:t>
      </w:r>
      <w:r>
        <w:rPr>
          <w:i/>
        </w:rPr>
        <w:t xml:space="preserve">Blocking.</w:t>
      </w:r>
    </w:p>
    <w:p>
      <w:pPr>
        <w:pStyle w:val="ListParagraph"/>
        <w:numPr>
          <w:ilvl w:val="0"/>
          <w:numId w:val="11"/>
        </w:numPr>
      </w:pPr>
      <w:r>
        <w:t xml:space="preserve">Private-key material for </w:t>
      </w:r>
      <w:r>
        <w:rPr>
          <w:rStyle w:val="CodeChar"/>
        </w:rPr>
        <w:t xml:space="preserve">uat</w:t>
      </w:r>
      <w:r>
        <w:t xml:space="preserve"> and </w:t>
      </w:r>
      <w:r>
        <w:rPr>
          <w:rStyle w:val="CodeChar"/>
        </w:rPr>
        <w:t xml:space="preserve">prod</w:t>
      </w:r>
      <w:r>
        <w:t xml:space="preserve"> is not committed. It is supplied through Anypoint Secrets Manager where available, or injected by the pipeline. Where the platform offers no injection path, a committed keystore needs security-team approval and its password in the secure file. Truststores holding only public certificates may be committed. </w:t>
      </w:r>
      <w:r>
        <w:rPr>
          <w:i/>
        </w:rPr>
        <w:t xml:space="preserve">Blocking.</w:t>
      </w:r>
    </w:p>
    <w:p>
      <w:pPr>
        <w:pStyle w:val="ListParagraph"/>
        <w:numPr>
          <w:ilvl w:val="0"/>
          <w:numId w:val="11"/>
        </w:numPr>
      </w:pPr>
      <w:r>
        <w:rPr>
          <w:rStyle w:val="CodeChar"/>
        </w:rPr>
        <w:t xml:space="preserve">config.yaml</w:t>
      </w:r>
      <w:r>
        <w:t xml:space="preserve"> defaults and any local override hold dummy credentials only, nothing that opens a real system. </w:t>
      </w:r>
      <w:r>
        <w:rPr>
          <w:i/>
        </w:rPr>
        <w:t xml:space="preserve">Blocking.</w:t>
      </w:r>
    </w:p>
    <w:p>
      <w:pPr>
        <w:pStyle w:val="ListParagraph"/>
        <w:numPr>
          <w:ilvl w:val="0"/>
          <w:numId w:val="11"/>
        </w:numPr>
      </w:pPr>
      <w:r>
        <w:rPr>
          <w:rStyle w:val="CodeChar"/>
        </w:rPr>
        <w:t xml:space="preserve">.gitignore</w:t>
      </w:r>
      <w:r>
        <w:t xml:space="preserve"> excludes </w:t>
      </w:r>
      <w:r>
        <w:rPr>
          <w:rStyle w:val="CodeChar"/>
        </w:rPr>
        <w:t xml:space="preserve">settings.xml</w:t>
      </w:r>
      <w:r>
        <w:t xml:space="preserve">, </w:t>
      </w:r>
      <w:r>
        <w:rPr>
          <w:rStyle w:val="CodeChar"/>
        </w:rPr>
        <w:t xml:space="preserve">.env</w:t>
      </w:r>
      <w:r>
        <w:t xml:space="preserve">, </w:t>
      </w:r>
      <w:r>
        <w:rPr>
          <w:rStyle w:val="CodeChar"/>
        </w:rPr>
        <w:t xml:space="preserve">*.key</w:t>
      </w:r>
      <w:r>
        <w:t xml:space="preserve"> and any local override file. </w:t>
      </w:r>
      <w:r>
        <w:rPr>
          <w:i/>
        </w:rPr>
        <w:t xml:space="preserve">Blocking.</w:t>
      </w:r>
    </w:p>
    <w:p>
      <w:pPr>
        <w:pStyle w:val="Heading2"/>
      </w:pPr>
      <w:r>
        <w:t xml:space="preserve">Logging &amp; error handling</w:t>
      </w:r>
    </w:p>
    <w:p>
      <w:pPr/>
      <w:r>
        <w:t xml:space="preserve">Every log line is one JSON object carrying the correlation ID, every error passes through one global handler, and every consumer receives the same error envelope with a safe message; the detail stays in the log, linked by that ID.</w:t>
      </w:r>
    </w:p>
    <w:p>
      <w:pPr/>
      <w:r>
        <w:rPr>
          <w:b/>
        </w:rPr>
        <w:t xml:space="preserve">Logging</w:t>
      </w:r>
    </w:p>
    <w:p>
      <w:pPr>
        <w:pStyle w:val="ListParagraph"/>
        <w:numPr>
          <w:ilvl w:val="0"/>
          <w:numId w:val="12"/>
        </w:numPr>
      </w:pPr>
      <w:r>
        <w:rPr>
          <w:rStyle w:val="CodeChar"/>
        </w:rPr>
        <w:t xml:space="preserve">log4j2.xml</w:t>
      </w:r>
      <w:r>
        <w:t xml:space="preserve"> uses a JSON layout. Mandatory fields: </w:t>
      </w:r>
      <w:r>
        <w:rPr>
          <w:rStyle w:val="CodeChar"/>
        </w:rPr>
        <w:t xml:space="preserve">timestamp</w:t>
      </w:r>
      <w:r>
        <w:t xml:space="preserve"> (UTC), </w:t>
      </w:r>
      <w:r>
        <w:rPr>
          <w:rStyle w:val="CodeChar"/>
        </w:rPr>
        <w:t xml:space="preserve">level</w:t>
      </w:r>
      <w:r>
        <w:t xml:space="preserve">, </w:t>
      </w:r>
      <w:r>
        <w:rPr>
          <w:rStyle w:val="CodeChar"/>
        </w:rPr>
        <w:t xml:space="preserve">appName</w:t>
      </w:r>
      <w:r>
        <w:t xml:space="preserve">, </w:t>
      </w:r>
      <w:r>
        <w:rPr>
          <w:rStyle w:val="CodeChar"/>
        </w:rPr>
        <w:t xml:space="preserve">env</w:t>
      </w:r>
      <w:r>
        <w:t xml:space="preserve">, </w:t>
      </w:r>
      <w:r>
        <w:rPr>
          <w:rStyle w:val="CodeChar"/>
        </w:rPr>
        <w:t xml:space="preserve">correlationId</w:t>
      </w:r>
      <w:r>
        <w:t xml:space="preserve">, </w:t>
      </w:r>
      <w:r>
        <w:rPr>
          <w:rStyle w:val="CodeChar"/>
        </w:rPr>
        <w:t xml:space="preserve">flowName</w:t>
      </w:r>
      <w:r>
        <w:t xml:space="preserve">, </w:t>
      </w:r>
      <w:r>
        <w:rPr>
          <w:rStyle w:val="CodeChar"/>
        </w:rPr>
        <w:t xml:space="preserve">message</w:t>
      </w:r>
      <w:r>
        <w:t xml:space="preserve">; plus </w:t>
      </w:r>
      <w:r>
        <w:rPr>
          <w:rStyle w:val="CodeChar"/>
        </w:rPr>
        <w:t xml:space="preserve">system</w:t>
      </w:r>
      <w:r>
        <w:t xml:space="preserve">, </w:t>
      </w:r>
      <w:r>
        <w:rPr>
          <w:rStyle w:val="CodeChar"/>
        </w:rPr>
        <w:t xml:space="preserve">operation</w:t>
      </w:r>
      <w:r>
        <w:t xml:space="preserve">, </w:t>
      </w:r>
      <w:r>
        <w:rPr>
          <w:rStyle w:val="CodeChar"/>
        </w:rPr>
        <w:t xml:space="preserve">elapsedMs</w:t>
      </w:r>
      <w:r>
        <w:t xml:space="preserve"> and </w:t>
      </w:r>
      <w:r>
        <w:rPr>
          <w:rStyle w:val="CodeChar"/>
        </w:rPr>
        <w:t xml:space="preserve">status</w:t>
      </w:r>
      <w:r>
        <w:t xml:space="preserve"> on outbound calls, and </w:t>
      </w:r>
      <w:r>
        <w:rPr>
          <w:rStyle w:val="CodeChar"/>
        </w:rPr>
        <w:t xml:space="preserve">errorType</w:t>
      </w:r>
      <w:r>
        <w:t xml:space="preserve">, </w:t>
      </w:r>
      <w:r>
        <w:rPr>
          <w:rStyle w:val="CodeChar"/>
        </w:rPr>
        <w:t xml:space="preserve">errorDescription</w:t>
      </w:r>
      <w:r>
        <w:t xml:space="preserve"> on errors. The platform appender is kept so Runtime Manager logs stay available; SIEM or APM appenders are added beside it. </w:t>
      </w:r>
      <w:r>
        <w:rPr>
          <w:i/>
        </w:rPr>
        <w:t xml:space="preserve">Blocking.</w:t>
      </w:r>
    </w:p>
    <w:p>
      <w:pPr>
        <w:pStyle w:val="ListParagraph"/>
        <w:numPr>
          <w:ilvl w:val="0"/>
          <w:numId w:val="12"/>
        </w:numPr>
      </w:pPr>
      <w:r>
        <w:t xml:space="preserve">Logging goes through a JSON Logger module published to the organisation's Exchange, the approach MuleSoft's engineering blog describes (</w:t>
      </w:r>
      <w:r>
        <w:rPr>
          <w:rStyle w:val="CodeChar"/>
        </w:rPr>
        <w:t xml:space="preserve">&lt;org&gt;-logger</w:t>
      </w:r>
      <w:r>
        <w:t xml:space="preserve">) or the application's single </w:t>
      </w:r>
      <w:r>
        <w:rPr>
          <w:rStyle w:val="CodeChar"/>
        </w:rPr>
        <w:t xml:space="preserve">log-event-subflow</w:t>
      </w:r>
      <w:r>
        <w:t xml:space="preserve">; free-text </w:t>
      </w:r>
      <w:r>
        <w:rPr>
          <w:rStyle w:val="CodeChar"/>
        </w:rPr>
        <w:t xml:space="preserve">&lt;logger&gt;</w:t>
      </w:r>
      <w:r>
        <w:t xml:space="preserve"> components are a review finding. </w:t>
      </w:r>
      <w:r>
        <w:rPr>
          <w:i/>
        </w:rPr>
        <w:t xml:space="preserve">Blocking.</w:t>
      </w:r>
    </w:p>
    <w:p>
      <w:pPr>
        <w:pStyle w:val="ListParagraph"/>
        <w:numPr>
          <w:ilvl w:val="0"/>
          <w:numId w:val="12"/>
        </w:numPr>
      </w:pPr>
      <w:r>
        <w:t xml:space="preserve">Mandatory log points: request received (</w:t>
      </w:r>
      <w:r>
        <w:rPr>
          <w:rStyle w:val="CodeChar"/>
        </w:rPr>
        <w:t xml:space="preserve">INFO</w:t>
      </w:r>
      <w:r>
        <w:t xml:space="preserve">), each outbound system call completed with elapsed time and status (</w:t>
      </w:r>
      <w:r>
        <w:rPr>
          <w:rStyle w:val="CodeChar"/>
        </w:rPr>
        <w:t xml:space="preserve">INFO</w:t>
      </w:r>
      <w:r>
        <w:t xml:space="preserve">), request completed with status and elapsed time (</w:t>
      </w:r>
      <w:r>
        <w:rPr>
          <w:rStyle w:val="CodeChar"/>
        </w:rPr>
        <w:t xml:space="preserve">INFO</w:t>
      </w:r>
      <w:r>
        <w:t xml:space="preserve">), every handled error (</w:t>
      </w:r>
      <w:r>
        <w:rPr>
          <w:rStyle w:val="CodeChar"/>
        </w:rPr>
        <w:t xml:space="preserve">ERROR</w:t>
      </w:r>
      <w:r>
        <w:t xml:space="preserve">, or </w:t>
      </w:r>
      <w:r>
        <w:rPr>
          <w:rStyle w:val="CodeChar"/>
        </w:rPr>
        <w:t xml:space="preserve">WARN</w:t>
      </w:r>
      <w:r>
        <w:t xml:space="preserve"> when a fallback applied). </w:t>
      </w:r>
      <w:r>
        <w:rPr>
          <w:i/>
        </w:rPr>
        <w:t xml:space="preserve">Blocking.</w:t>
      </w:r>
    </w:p>
    <w:p>
      <w:pPr>
        <w:pStyle w:val="ListParagraph"/>
        <w:numPr>
          <w:ilvl w:val="0"/>
          <w:numId w:val="12"/>
        </w:numPr>
      </w:pPr>
      <w:r>
        <w:t xml:space="preserve">Levels: root </w:t>
      </w:r>
      <w:r>
        <w:rPr>
          <w:rStyle w:val="CodeChar"/>
        </w:rPr>
        <w:t xml:space="preserve">INFO</w:t>
      </w:r>
      <w:r>
        <w:t xml:space="preserve"> in </w:t>
      </w:r>
      <w:r>
        <w:rPr>
          <w:rStyle w:val="CodeChar"/>
        </w:rPr>
        <w:t xml:space="preserve">prod</w:t>
      </w:r>
      <w:r>
        <w:t xml:space="preserve">; </w:t>
      </w:r>
      <w:r>
        <w:rPr>
          <w:rStyle w:val="CodeChar"/>
        </w:rPr>
        <w:t xml:space="preserve">DEBUG</w:t>
      </w:r>
      <w:r>
        <w:t xml:space="preserve"> only in </w:t>
      </w:r>
      <w:r>
        <w:rPr>
          <w:rStyle w:val="CodeChar"/>
        </w:rPr>
        <w:t xml:space="preserve">dev</w:t>
      </w:r>
      <w:r>
        <w:t xml:space="preserve"> and </w:t>
      </w:r>
      <w:r>
        <w:rPr>
          <w:rStyle w:val="CodeChar"/>
        </w:rPr>
        <w:t xml:space="preserve">test</w:t>
      </w:r>
      <w:r>
        <w:t xml:space="preserve">, switchable through the logging property without redeploying; </w:t>
      </w:r>
      <w:r>
        <w:rPr>
          <w:rStyle w:val="CodeChar"/>
        </w:rPr>
        <w:t xml:space="preserve">TRACE</w:t>
      </w:r>
      <w:r>
        <w:t xml:space="preserve"> is never used. </w:t>
      </w:r>
      <w:r>
        <w:rPr>
          <w:i/>
        </w:rPr>
        <w:t xml:space="preserve">Blocking.</w:t>
      </w:r>
    </w:p>
    <w:p>
      <w:pPr>
        <w:pStyle w:val="ListParagraph"/>
        <w:numPr>
          <w:ilvl w:val="0"/>
          <w:numId w:val="12"/>
        </w:numPr>
      </w:pPr>
      <w:r>
        <w:t xml:space="preserve">Payloads are logged only at </w:t>
      </w:r>
      <w:r>
        <w:rPr>
          <w:rStyle w:val="CodeChar"/>
        </w:rPr>
        <w:t xml:space="preserve">DEBUG</w:t>
      </w:r>
      <w:r>
        <w:t xml:space="preserve"> and only when </w:t>
      </w:r>
      <w:r>
        <w:rPr>
          <w:rStyle w:val="CodeChar"/>
        </w:rPr>
        <w:t xml:space="preserve">log.payload.enabled=true</w:t>
      </w:r>
      <w:r>
        <w:t xml:space="preserve">, which is </w:t>
      </w:r>
      <w:r>
        <w:rPr>
          <w:rStyle w:val="CodeChar"/>
        </w:rPr>
        <w:t xml:space="preserve">false</w:t>
      </w:r>
      <w:r>
        <w:t xml:space="preserve"> in </w:t>
      </w:r>
      <w:r>
        <w:rPr>
          <w:rStyle w:val="CodeChar"/>
        </w:rPr>
        <w:t xml:space="preserve">uat</w:t>
      </w:r>
      <w:r>
        <w:t xml:space="preserve"> and </w:t>
      </w:r>
      <w:r>
        <w:rPr>
          <w:rStyle w:val="CodeChar"/>
        </w:rPr>
        <w:t xml:space="preserve">prod</w:t>
      </w:r>
      <w:r>
        <w:t xml:space="preserve">. </w:t>
      </w:r>
      <w:r>
        <w:rPr>
          <w:i/>
        </w:rPr>
        <w:t xml:space="preserve">Blocking.</w:t>
      </w:r>
    </w:p>
    <w:p>
      <w:pPr>
        <w:pStyle w:val="ListParagraph"/>
        <w:numPr>
          <w:ilvl w:val="0"/>
          <w:numId w:val="12"/>
        </w:numPr>
      </w:pPr>
      <w:r>
        <w:t xml:space="preserve">Never logged, at any level: secrets, tokens, </w:t>
      </w:r>
      <w:r>
        <w:rPr>
          <w:rStyle w:val="CodeChar"/>
        </w:rPr>
        <w:t xml:space="preserve">Authorization</w:t>
      </w:r>
      <w:r>
        <w:t xml:space="preserve"> and </w:t>
      </w:r>
      <w:r>
        <w:rPr>
          <w:rStyle w:val="CodeChar"/>
        </w:rPr>
        <w:t xml:space="preserve">client_secret</w:t>
      </w:r>
      <w:r>
        <w:t xml:space="preserve"> headers, card numbers, passwords, and personal data (names, emails, phone numbers, national identifiers, addresses). Fields that must appear are passed through the shared masking function first. </w:t>
      </w:r>
      <w:r>
        <w:rPr>
          <w:i/>
        </w:rPr>
        <w:t xml:space="preserve">Blocking.</w:t>
      </w:r>
    </w:p>
    <w:p>
      <w:pPr>
        <w:pStyle w:val="ListParagraph"/>
        <w:numPr>
          <w:ilvl w:val="0"/>
          <w:numId w:val="12"/>
        </w:numPr>
      </w:pPr>
      <w:r>
        <w:t xml:space="preserve">The Mule </w:t>
      </w:r>
      <w:r>
        <w:rPr>
          <w:rStyle w:val="CodeChar"/>
        </w:rPr>
        <w:t xml:space="preserve">correlationId</w:t>
      </w:r>
      <w:r>
        <w:t xml:space="preserve"> is the correlation ID. The HTTP listener adopts an inbound </w:t>
      </w:r>
      <w:r>
        <w:rPr>
          <w:rStyle w:val="CodeChar"/>
        </w:rPr>
        <w:t xml:space="preserve">x-correlation-id</w:t>
      </w:r>
      <w:r>
        <w:t xml:space="preserve">, the HTTP requester forwards it, and non-HTTP calls carry it explicitly (an MQ message property, an audit column, a file name suffix). It is never replaced with a custom variable. </w:t>
      </w:r>
      <w:r>
        <w:rPr>
          <w:i/>
        </w:rPr>
        <w:t xml:space="preserve">Blocking.</w:t>
      </w:r>
    </w:p>
    <w:p>
      <w:pPr>
        <w:pStyle w:val="ListParagraph"/>
        <w:numPr>
          <w:ilvl w:val="0"/>
          <w:numId w:val="12"/>
        </w:numPr>
      </w:pPr>
      <w:r>
        <w:t xml:space="preserve">One event per line, no multi-line messages, no </w:t>
      </w:r>
      <w:r>
        <w:rPr>
          <w:rStyle w:val="CodeChar"/>
        </w:rPr>
        <w:t xml:space="preserve">System.out</w:t>
      </w:r>
      <w:r>
        <w:t xml:space="preserve">, no logging inside high-volume </w:t>
      </w:r>
      <w:r>
        <w:rPr>
          <w:rStyle w:val="CodeChar"/>
        </w:rPr>
        <w:t xml:space="preserve">foreach</w:t>
      </w:r>
      <w:r>
        <w:t xml:space="preserve"> or batch steps above </w:t>
      </w:r>
      <w:r>
        <w:rPr>
          <w:rStyle w:val="CodeChar"/>
        </w:rPr>
        <w:t xml:space="preserve">DEBUG</w:t>
      </w:r>
      <w:r>
        <w:t xml:space="preserve">. </w:t>
      </w:r>
      <w:r>
        <w:rPr>
          <w:i/>
        </w:rPr>
        <w:t xml:space="preserve">Advisory.</w:t>
      </w:r>
    </w:p>
    <w:p>
      <w:pPr/>
      <w:r>
        <w:rPr>
          <w:b/>
        </w:rPr>
        <w:t xml:space="preserve">Error handling</w:t>
      </w:r>
    </w:p>
    <w:p>
      <w:pPr>
        <w:pStyle w:val="ListParagraph"/>
        <w:numPr>
          <w:ilvl w:val="0"/>
          <w:numId w:val="13"/>
        </w:numPr>
      </w:pPr>
      <w:r>
        <w:t xml:space="preserve">One global error handler in </w:t>
      </w:r>
      <w:r>
        <w:rPr>
          <w:rStyle w:val="CodeChar"/>
        </w:rPr>
        <w:t xml:space="preserve">error-handler.xml</w:t>
      </w:r>
      <w:r>
        <w:t xml:space="preserve">, registered as </w:t>
      </w:r>
      <w:r>
        <w:rPr>
          <w:rStyle w:val="CodeChar"/>
        </w:rPr>
        <w:t xml:space="preserve">defaultErrorHandler-ref</w:t>
      </w:r>
      <w:r>
        <w:t xml:space="preserve"> on </w:t>
      </w:r>
      <w:r>
        <w:rPr>
          <w:rStyle w:val="CodeChar"/>
        </w:rPr>
        <w:t xml:space="preserve">&lt;configuration&gt;</w:t>
      </w:r>
      <w:r>
        <w:t xml:space="preserve">. Flows define no error handler of their own; a </w:t>
      </w:r>
      <w:r>
        <w:rPr>
          <w:rStyle w:val="CodeChar"/>
        </w:rPr>
        <w:t xml:space="preserve">try</w:t>
      </w:r>
      <w:r>
        <w:t xml:space="preserve"> scope is used only where a specific recovery exists. </w:t>
      </w:r>
      <w:r>
        <w:rPr>
          <w:i/>
        </w:rPr>
        <w:t xml:space="preserve">Blocking.</w:t>
      </w:r>
    </w:p>
    <w:p>
      <w:pPr>
        <w:pStyle w:val="ListParagraph"/>
        <w:numPr>
          <w:ilvl w:val="0"/>
          <w:numId w:val="13"/>
        </w:numPr>
      </w:pPr>
      <w:r>
        <w:rPr>
          <w:rStyle w:val="CodeChar"/>
        </w:rPr>
        <w:t xml:space="preserve">on-error-propagate</w:t>
      </w:r>
      <w:r>
        <w:t xml:space="preserve"> is the default. </w:t>
      </w:r>
      <w:r>
        <w:rPr>
          <w:rStyle w:val="CodeChar"/>
        </w:rPr>
        <w:t xml:space="preserve">on-error-continue</w:t>
      </w:r>
      <w:r>
        <w:t xml:space="preserve"> is allowed only when the flow has a defined fallback, is restricted to the named error types it handles, logs at </w:t>
      </w:r>
      <w:r>
        <w:rPr>
          <w:rStyle w:val="CodeChar"/>
        </w:rPr>
        <w:t xml:space="preserve">WARN</w:t>
      </w:r>
      <w:r>
        <w:t xml:space="preserve"> or above, and carries a comment saying why. A bare </w:t>
      </w:r>
      <w:r>
        <w:rPr>
          <w:rStyle w:val="CodeChar"/>
        </w:rPr>
        <w:t xml:space="preserve">on-error-continue</w:t>
      </w:r>
      <w:r>
        <w:t xml:space="preserve"> on </w:t>
      </w:r>
      <w:r>
        <w:rPr>
          <w:rStyle w:val="CodeChar"/>
        </w:rPr>
        <w:t xml:space="preserve">ANY</w:t>
      </w:r>
      <w:r>
        <w:t xml:space="preserve"> is a review finding. </w:t>
      </w:r>
      <w:r>
        <w:rPr>
          <w:i/>
        </w:rPr>
        <w:t xml:space="preserve">Blocking.</w:t>
      </w:r>
    </w:p>
    <w:p>
      <w:pPr>
        <w:pStyle w:val="ListParagraph"/>
        <w:numPr>
          <w:ilvl w:val="0"/>
          <w:numId w:val="13"/>
        </w:numPr>
      </w:pPr>
      <w:r>
        <w:t xml:space="preserve">Business errors are raised with </w:t>
      </w:r>
      <w:r>
        <w:rPr>
          <w:rStyle w:val="CodeChar"/>
        </w:rPr>
        <w:t xml:space="preserve">raise-error</w:t>
      </w:r>
      <w:r>
        <w:t xml:space="preserve"> as </w:t>
      </w:r>
      <w:r>
        <w:rPr>
          <w:rStyle w:val="CodeChar"/>
        </w:rPr>
        <w:t xml:space="preserve">APP:&lt;REASON&gt;</w:t>
      </w:r>
      <w:r>
        <w:t xml:space="preserve">; connector errors are translated at the component with </w:t>
      </w:r>
      <w:r>
        <w:rPr>
          <w:rStyle w:val="CodeChar"/>
        </w:rPr>
        <w:t xml:space="preserve">error-mapping</w:t>
      </w:r>
      <w:r>
        <w:t xml:space="preserve"> (for example </w:t>
      </w:r>
      <w:r>
        <w:rPr>
          <w:rStyle w:val="CodeChar"/>
        </w:rPr>
        <w:t xml:space="preserve">HTTP:NOT_FOUND</w:t>
      </w:r>
      <w:r>
        <w:t xml:space="preserve"> → </w:t>
      </w:r>
      <w:r>
        <w:rPr>
          <w:rStyle w:val="CodeChar"/>
        </w:rPr>
        <w:t xml:space="preserve">APP:ORDER_NOT_FOUND</w:t>
      </w:r>
      <w:r>
        <w:t xml:space="preserve">), so implementation flows speak only the </w:t>
      </w:r>
      <w:r>
        <w:rPr>
          <w:rStyle w:val="CodeChar"/>
        </w:rPr>
        <w:t xml:space="preserve">APP</w:t>
      </w:r>
      <w:r>
        <w:t xml:space="preserve"> vocabulary. </w:t>
      </w:r>
      <w:r>
        <w:rPr>
          <w:i/>
        </w:rPr>
        <w:t xml:space="preserve">Blocking.</w:t>
      </w:r>
    </w:p>
    <w:p>
      <w:pPr>
        <w:pStyle w:val="ListParagraph"/>
        <w:numPr>
          <w:ilvl w:val="0"/>
          <w:numId w:val="13"/>
        </w:numPr>
      </w:pPr>
      <w:r>
        <w:rPr>
          <w:rStyle w:val="CodeChar"/>
        </w:rPr>
        <w:t xml:space="preserve">until-successful</w:t>
      </w:r>
      <w:r>
        <w:t xml:space="preserve"> wraps only idempotent operations, with </w:t>
      </w:r>
      <w:r>
        <w:rPr>
          <w:rStyle w:val="CodeChar"/>
        </w:rPr>
        <w:t xml:space="preserve">maxRetries</w:t>
      </w:r>
      <w:r>
        <w:t xml:space="preserve"> and </w:t>
      </w:r>
      <w:r>
        <w:rPr>
          <w:rStyle w:val="CodeChar"/>
        </w:rPr>
        <w:t xml:space="preserve">millisBetweenRetries</w:t>
      </w:r>
      <w:r>
        <w:t xml:space="preserve"> from properties; retrying a non-idempotent write needs an idempotency key. </w:t>
      </w:r>
      <w:r>
        <w:rPr>
          <w:i/>
        </w:rPr>
        <w:t xml:space="preserve">Blocking.</w:t>
      </w:r>
    </w:p>
    <w:p>
      <w:pPr>
        <w:pStyle w:val="ListParagraph"/>
        <w:numPr>
          <w:ilvl w:val="0"/>
          <w:numId w:val="13"/>
        </w:numPr>
      </w:pPr>
      <w:r>
        <w:t xml:space="preserve">Event-driven flows (MQ, scheduler, file): failures propagate so the message reaches the dead-letter queue or is nacked, after the connector's retry policy; the error log carries the message ID. </w:t>
      </w:r>
      <w:r>
        <w:rPr>
          <w:i/>
        </w:rPr>
        <w:t xml:space="preserve">Blocking.</w:t>
      </w:r>
    </w:p>
    <w:p>
      <w:pPr>
        <w:pStyle w:val="ListParagraph"/>
        <w:numPr>
          <w:ilvl w:val="0"/>
          <w:numId w:val="13"/>
        </w:numPr>
      </w:pPr>
      <w:r>
        <w:t xml:space="preserve">Every error handler branch sets </w:t>
      </w:r>
      <w:r>
        <w:rPr>
          <w:rStyle w:val="CodeChar"/>
        </w:rPr>
        <w:t xml:space="preserve">vars.httpStatus</w:t>
      </w:r>
      <w:r>
        <w:t xml:space="preserve"> and builds the envelope with the shared </w:t>
      </w:r>
      <w:r>
        <w:rPr>
          <w:rStyle w:val="CodeChar"/>
        </w:rPr>
        <w:t xml:space="preserve">dwl/common/error-response.dwl</w:t>
      </w:r>
      <w:r>
        <w:t xml:space="preserve">. </w:t>
      </w:r>
      <w:r>
        <w:rPr>
          <w:i/>
        </w:rPr>
        <w:t xml:space="preserve">Blocking.</w:t>
      </w:r>
    </w:p>
    <w:p>
      <w:pPr/>
      <w:r>
        <w:rPr>
          <w:b/>
        </w:rPr>
        <w:t xml:space="preserve">Error envelope</w:t>
      </w:r>
    </w:p>
    <w:p>
      <w:pPr>
        <w:pStyle w:val="Code"/>
      </w:pPr>
      <w:bookmarkStart w:id="2" w:name="bongo_lang_json_2"/>
      <w:bookmarkEnd w:id="2"/>
      <w:r>
        <w:t xml:space="preserve">{</w:t>
        <w:br/>
        <w:t xml:space="preserve">  "error": {</w:t>
        <w:br/>
        <w:t xml:space="preserve">    "code": "ORDER_NOT_FOUND",</w:t>
        <w:br/>
        <w:t xml:space="preserve">    "message": "Order 12345 was not found",</w:t>
        <w:br/>
        <w:t xml:space="preserve">    "correlationId": "6f1c2a8e-…",</w:t>
        <w:br/>
        <w:t xml:space="preserve">    "timestamp": "2026-10-09T15:10:00Z",</w:t>
        <w:br/>
        <w:t xml:space="preserve">    "details": [ { "field": "lineItems[0].quantity", "issue": "must be greater than 0" } ]</w:t>
        <w:br/>
        <w:t xml:space="preserve">  }</w:t>
        <w:br/>
        <w:t xml:space="preserve">}</w:t>
      </w:r>
    </w:p>
    <w:p>
      <w:pPr/>
      <w:r>
        <w:rPr>
          <w:rStyle w:val="CodeChar"/>
        </w:rPr>
        <w:t xml:space="preserve">message</w:t>
      </w:r>
      <w:r>
        <w:t xml:space="preserve"> is safe for a consumer: no hostnames, SQL, stack traces or raw connector text. The full </w:t>
      </w:r>
      <w:r>
        <w:rPr>
          <w:rStyle w:val="CodeChar"/>
        </w:rPr>
        <w:t xml:space="preserve">error.description</w:t>
      </w:r>
      <w:r>
        <w:t xml:space="preserve"> and stack trace go to the log under the same </w:t>
      </w:r>
      <w:r>
        <w:rPr>
          <w:rStyle w:val="CodeChar"/>
        </w:rPr>
        <w:t xml:space="preserve">correlationId</w:t>
      </w:r>
      <w:r>
        <w:t xml:space="preserve">.</w:t>
      </w:r>
    </w:p>
    <w:p>
      <w:pPr/>
      <w:r>
        <w:rPr>
          <w:b/>
        </w:rPr>
        <w:t xml:space="preserve">Error mapping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Error type</w:t>
            </w:r>
          </w:p>
        </w:tc>
        <w:tc>
          <w:tcPr>
            <w:tcW w:w="3120" w:type="dxa"/>
            <w:shd w:val="clear" w:color="auto" w:fill="F2F2F2"/>
          </w:tcPr>
          <w:p>
            <w:pPr/>
            <w:r>
              <w:t xml:space="preserve">HTTP status</w:t>
            </w:r>
          </w:p>
        </w:tc>
        <w:tc>
          <w:tcPr>
            <w:tcW w:w="3120" w:type="dxa"/>
            <w:shd w:val="clear" w:color="auto" w:fill="F2F2F2"/>
          </w:tcPr>
          <w:p>
            <w:pPr/>
            <w:r>
              <w:rPr>
                <w:rStyle w:val="CodeChar"/>
              </w:rPr>
              <w:t xml:space="preserve">code</w:t>
            </w:r>
          </w:p>
        </w:tc>
      </w:tr>
      <w:tr>
        <w:tc>
          <w:tcPr>
            <w:tcW w:w="3120" w:type="dxa"/>
          </w:tcPr>
          <w:p>
            <w:pPr/>
            <w:r>
              <w:rPr>
                <w:rStyle w:val="CodeChar"/>
              </w:rPr>
              <w:t xml:space="preserve">APIKIT:BAD_REQUEST</w:t>
            </w:r>
            <w:r>
              <w:t xml:space="preserve">, </w:t>
            </w:r>
            <w:r>
              <w:rPr>
                <w:rStyle w:val="CodeChar"/>
              </w:rPr>
              <w:t xml:space="preserve">APP:VALIDATION</w:t>
            </w:r>
          </w:p>
        </w:tc>
        <w:tc>
          <w:tcPr>
            <w:tcW w:w="3120" w:type="dxa"/>
          </w:tcPr>
          <w:p>
            <w:pPr/>
            <w:r>
              <w:t xml:space="preserve">400</w:t>
            </w:r>
          </w:p>
        </w:tc>
        <w:tc>
          <w:tcPr>
            <w:tcW w:w="3120" w:type="dxa"/>
          </w:tcPr>
          <w:p>
            <w:pPr/>
            <w:r>
              <w:rPr>
                <w:rStyle w:val="CodeChar"/>
              </w:rPr>
              <w:t xml:space="preserve">VALIDATION_FAILED</w:t>
            </w:r>
          </w:p>
        </w:tc>
      </w:tr>
      <w:tr>
        <w:tc>
          <w:tcPr>
            <w:tcW w:w="3120" w:type="dxa"/>
          </w:tcPr>
          <w:p>
            <w:pPr/>
            <w:r>
              <w:rPr>
                <w:rStyle w:val="CodeChar"/>
              </w:rPr>
              <w:t xml:space="preserve">APIKIT:NOT_FOUND</w:t>
            </w:r>
            <w:r>
              <w:t xml:space="preserve">, </w:t>
            </w:r>
            <w:r>
              <w:rPr>
                <w:rStyle w:val="CodeChar"/>
              </w:rPr>
              <w:t xml:space="preserve">APP:*_NOT_FOUND</w:t>
            </w:r>
          </w:p>
        </w:tc>
        <w:tc>
          <w:tcPr>
            <w:tcW w:w="3120" w:type="dxa"/>
          </w:tcPr>
          <w:p>
            <w:pPr/>
            <w:r>
              <w:t xml:space="preserve">404</w:t>
            </w:r>
          </w:p>
        </w:tc>
        <w:tc>
          <w:tcPr>
            <w:tcW w:w="3120" w:type="dxa"/>
          </w:tcPr>
          <w:p>
            <w:pPr/>
            <w:r>
              <w:rPr>
                <w:rStyle w:val="CodeChar"/>
              </w:rPr>
              <w:t xml:space="preserve">NOT_FOUND</w:t>
            </w:r>
          </w:p>
        </w:tc>
      </w:tr>
      <w:tr>
        <w:tc>
          <w:tcPr>
            <w:tcW w:w="3120" w:type="dxa"/>
          </w:tcPr>
          <w:p>
            <w:pPr/>
            <w:r>
              <w:rPr>
                <w:rStyle w:val="CodeChar"/>
              </w:rPr>
              <w:t xml:space="preserve">APIKIT:METHOD_NOT_ALLOWED</w:t>
            </w:r>
          </w:p>
        </w:tc>
        <w:tc>
          <w:tcPr>
            <w:tcW w:w="3120" w:type="dxa"/>
          </w:tcPr>
          <w:p>
            <w:pPr/>
            <w:r>
              <w:t xml:space="preserve">405</w:t>
            </w:r>
          </w:p>
        </w:tc>
        <w:tc>
          <w:tcPr>
            <w:tcW w:w="3120" w:type="dxa"/>
          </w:tcPr>
          <w:p>
            <w:pPr/>
            <w:r>
              <w:rPr>
                <w:rStyle w:val="CodeChar"/>
              </w:rPr>
              <w:t xml:space="preserve">METHOD_NOT_ALLOWED</w:t>
            </w:r>
          </w:p>
        </w:tc>
      </w:tr>
      <w:tr>
        <w:tc>
          <w:tcPr>
            <w:tcW w:w="3120" w:type="dxa"/>
          </w:tcPr>
          <w:p>
            <w:pPr/>
            <w:r>
              <w:rPr>
                <w:rStyle w:val="CodeChar"/>
              </w:rPr>
              <w:t xml:space="preserve">APIKIT:NOT_ACCEPTABLE</w:t>
            </w:r>
          </w:p>
        </w:tc>
        <w:tc>
          <w:tcPr>
            <w:tcW w:w="3120" w:type="dxa"/>
          </w:tcPr>
          <w:p>
            <w:pPr/>
            <w:r>
              <w:t xml:space="preserve">406</w:t>
            </w:r>
          </w:p>
        </w:tc>
        <w:tc>
          <w:tcPr>
            <w:tcW w:w="3120" w:type="dxa"/>
          </w:tcPr>
          <w:p>
            <w:pPr/>
            <w:r>
              <w:rPr>
                <w:rStyle w:val="CodeChar"/>
              </w:rPr>
              <w:t xml:space="preserve">NOT_ACCEPTABLE</w:t>
            </w:r>
          </w:p>
        </w:tc>
      </w:tr>
      <w:tr>
        <w:tc>
          <w:tcPr>
            <w:tcW w:w="3120" w:type="dxa"/>
          </w:tcPr>
          <w:p>
            <w:pPr/>
            <w:r>
              <w:rPr>
                <w:rStyle w:val="CodeChar"/>
              </w:rPr>
              <w:t xml:space="preserve">APP:CONFLICT</w:t>
            </w:r>
          </w:p>
        </w:tc>
        <w:tc>
          <w:tcPr>
            <w:tcW w:w="3120" w:type="dxa"/>
          </w:tcPr>
          <w:p>
            <w:pPr/>
            <w:r>
              <w:t xml:space="preserve">409</w:t>
            </w:r>
          </w:p>
        </w:tc>
        <w:tc>
          <w:tcPr>
            <w:tcW w:w="3120" w:type="dxa"/>
          </w:tcPr>
          <w:p>
            <w:pPr/>
            <w:r>
              <w:rPr>
                <w:rStyle w:val="CodeChar"/>
              </w:rPr>
              <w:t xml:space="preserve">CONFLICT</w:t>
            </w:r>
          </w:p>
        </w:tc>
      </w:tr>
      <w:tr>
        <w:tc>
          <w:tcPr>
            <w:tcW w:w="3120" w:type="dxa"/>
          </w:tcPr>
          <w:p>
            <w:pPr/>
            <w:r>
              <w:rPr>
                <w:rStyle w:val="CodeChar"/>
              </w:rPr>
              <w:t xml:space="preserve">APIKIT:UNSUPPORTED_MEDIA_TYPE</w:t>
            </w:r>
          </w:p>
        </w:tc>
        <w:tc>
          <w:tcPr>
            <w:tcW w:w="3120" w:type="dxa"/>
          </w:tcPr>
          <w:p>
            <w:pPr/>
            <w:r>
              <w:t xml:space="preserve">415</w:t>
            </w:r>
          </w:p>
        </w:tc>
        <w:tc>
          <w:tcPr>
            <w:tcW w:w="3120" w:type="dxa"/>
          </w:tcPr>
          <w:p>
            <w:pPr/>
            <w:r>
              <w:rPr>
                <w:rStyle w:val="CodeChar"/>
              </w:rPr>
              <w:t xml:space="preserve">UNSUPPORTED_MEDIA_TYPE</w:t>
            </w:r>
          </w:p>
        </w:tc>
      </w:tr>
      <w:tr>
        <w:tc>
          <w:tcPr>
            <w:tcW w:w="3120" w:type="dxa"/>
          </w:tcPr>
          <w:p>
            <w:pPr/>
            <w:r>
              <w:rPr>
                <w:rStyle w:val="CodeChar"/>
              </w:rPr>
              <w:t xml:space="preserve">APP:BUSINESS_RULE</w:t>
            </w:r>
          </w:p>
        </w:tc>
        <w:tc>
          <w:tcPr>
            <w:tcW w:w="3120" w:type="dxa"/>
          </w:tcPr>
          <w:p>
            <w:pPr/>
            <w:r>
              <w:t xml:space="preserve">422</w:t>
            </w:r>
          </w:p>
        </w:tc>
        <w:tc>
          <w:tcPr>
            <w:tcW w:w="3120" w:type="dxa"/>
          </w:tcPr>
          <w:p>
            <w:pPr/>
            <w:r>
              <w:rPr>
                <w:rStyle w:val="CodeChar"/>
              </w:rPr>
              <w:t xml:space="preserve">BUSINESS_RULE_VIOLATION</w:t>
            </w:r>
          </w:p>
        </w:tc>
      </w:tr>
      <w:tr>
        <w:tc>
          <w:tcPr>
            <w:tcW w:w="3120" w:type="dxa"/>
          </w:tcPr>
          <w:p>
            <w:pPr/>
            <w:r>
              <w:rPr>
                <w:rStyle w:val="CodeChar"/>
              </w:rPr>
              <w:t xml:space="preserve">APIKIT:NOT_IMPLEMENTED</w:t>
            </w:r>
          </w:p>
        </w:tc>
        <w:tc>
          <w:tcPr>
            <w:tcW w:w="3120" w:type="dxa"/>
          </w:tcPr>
          <w:p>
            <w:pPr/>
            <w:r>
              <w:t xml:space="preserve">501</w:t>
            </w:r>
          </w:p>
        </w:tc>
        <w:tc>
          <w:tcPr>
            <w:tcW w:w="3120" w:type="dxa"/>
          </w:tcPr>
          <w:p>
            <w:pPr/>
            <w:r>
              <w:rPr>
                <w:rStyle w:val="CodeChar"/>
              </w:rPr>
              <w:t xml:space="preserve">NOT_IMPLEMENTED</w:t>
            </w:r>
          </w:p>
        </w:tc>
      </w:tr>
      <w:tr>
        <w:tc>
          <w:tcPr>
            <w:tcW w:w="3120" w:type="dxa"/>
          </w:tcPr>
          <w:p>
            <w:pPr/>
            <w:r>
              <w:t xml:space="preserve">downstream 4xx or 5xx (</w:t>
            </w:r>
            <w:r>
              <w:rPr>
                <w:rStyle w:val="CodeChar"/>
              </w:rPr>
              <w:t xml:space="preserve">HTTP:BAD_GATEWAY</w:t>
            </w:r>
            <w:r>
              <w:t xml:space="preserve">, </w:t>
            </w:r>
            <w:r>
              <w:rPr>
                <w:rStyle w:val="CodeChar"/>
              </w:rPr>
              <w:t xml:space="preserve">HTTP:INTERNAL_SERVER_ERROR</w:t>
            </w:r>
            <w:r>
              <w:t xml:space="preserve">, …)</w:t>
            </w:r>
          </w:p>
        </w:tc>
        <w:tc>
          <w:tcPr>
            <w:tcW w:w="3120" w:type="dxa"/>
          </w:tcPr>
          <w:p>
            <w:pPr/>
            <w:r>
              <w:t xml:space="preserve">502</w:t>
            </w:r>
          </w:p>
        </w:tc>
        <w:tc>
          <w:tcPr>
            <w:tcW w:w="3120" w:type="dxa"/>
          </w:tcPr>
          <w:p>
            <w:pPr/>
            <w:r>
              <w:rPr>
                <w:rStyle w:val="CodeChar"/>
              </w:rPr>
              <w:t xml:space="preserve">UPSTREAM_ERROR</w:t>
            </w:r>
          </w:p>
        </w:tc>
      </w:tr>
      <w:tr>
        <w:tc>
          <w:tcPr>
            <w:tcW w:w="3120" w:type="dxa"/>
          </w:tcPr>
          <w:p>
            <w:pPr/>
            <w:r>
              <w:rPr>
                <w:rStyle w:val="CodeChar"/>
              </w:rPr>
              <w:t xml:space="preserve">*:CONNECTIVITY</w:t>
            </w:r>
            <w:r>
              <w:t xml:space="preserve">, </w:t>
            </w:r>
            <w:r>
              <w:rPr>
                <w:rStyle w:val="CodeChar"/>
              </w:rPr>
              <w:t xml:space="preserve">HTTP:SERVICE_UNAVAILABLE</w:t>
            </w:r>
          </w:p>
        </w:tc>
        <w:tc>
          <w:tcPr>
            <w:tcW w:w="3120" w:type="dxa"/>
          </w:tcPr>
          <w:p>
            <w:pPr/>
            <w:r>
              <w:t xml:space="preserve">503</w:t>
            </w:r>
          </w:p>
        </w:tc>
        <w:tc>
          <w:tcPr>
            <w:tcW w:w="3120" w:type="dxa"/>
          </w:tcPr>
          <w:p>
            <w:pPr/>
            <w:r>
              <w:rPr>
                <w:rStyle w:val="CodeChar"/>
              </w:rPr>
              <w:t xml:space="preserve">UPSTREAM_UNAVAILABLE</w:t>
            </w:r>
          </w:p>
        </w:tc>
      </w:tr>
      <w:tr>
        <w:tc>
          <w:tcPr>
            <w:tcW w:w="3120" w:type="dxa"/>
          </w:tcPr>
          <w:p>
            <w:pPr/>
            <w:r>
              <w:rPr>
                <w:rStyle w:val="CodeChar"/>
              </w:rPr>
              <w:t xml:space="preserve">HTTP:TIMEOUT</w:t>
            </w:r>
            <w:r>
              <w:t xml:space="preserve">, </w:t>
            </w:r>
            <w:r>
              <w:rPr>
                <w:rStyle w:val="CodeChar"/>
              </w:rPr>
              <w:t xml:space="preserve">DB:QUERY_EXECUTION</w:t>
            </w:r>
            <w:r>
              <w:t xml:space="preserve"> on timeout</w:t>
            </w:r>
          </w:p>
        </w:tc>
        <w:tc>
          <w:tcPr>
            <w:tcW w:w="3120" w:type="dxa"/>
          </w:tcPr>
          <w:p>
            <w:pPr/>
            <w:r>
              <w:t xml:space="preserve">504</w:t>
            </w:r>
          </w:p>
        </w:tc>
        <w:tc>
          <w:tcPr>
            <w:tcW w:w="3120" w:type="dxa"/>
          </w:tcPr>
          <w:p>
            <w:pPr/>
            <w:r>
              <w:rPr>
                <w:rStyle w:val="CodeChar"/>
              </w:rPr>
              <w:t xml:space="preserve">UPSTREAM_TIMEOUT</w:t>
            </w:r>
          </w:p>
        </w:tc>
      </w:tr>
      <w:tr>
        <w:tc>
          <w:tcPr>
            <w:tcW w:w="3120" w:type="dxa"/>
          </w:tcPr>
          <w:p>
            <w:pPr/>
            <w:r>
              <w:rPr>
                <w:rStyle w:val="CodeChar"/>
              </w:rPr>
              <w:t xml:space="preserve">ANY</w:t>
            </w:r>
            <w:r>
              <w:t xml:space="preserve"> (catch-all, last)</w:t>
            </w:r>
          </w:p>
        </w:tc>
        <w:tc>
          <w:tcPr>
            <w:tcW w:w="3120" w:type="dxa"/>
          </w:tcPr>
          <w:p>
            <w:pPr/>
            <w:r>
              <w:t xml:space="preserve">500</w:t>
            </w:r>
          </w:p>
        </w:tc>
        <w:tc>
          <w:tcPr>
            <w:tcW w:w="3120" w:type="dxa"/>
          </w:tcPr>
          <w:p>
            <w:pPr/>
            <w:r>
              <w:rPr>
                <w:rStyle w:val="CodeChar"/>
              </w:rPr>
              <w:t xml:space="preserve">INTERNAL_ERROR</w:t>
            </w:r>
          </w:p>
        </w:tc>
      </w:tr>
    </w:tbl>
    <w:p>
      <w:pPr>
        <w:pStyle w:val="Heading2"/>
      </w:pPr>
      <w:r>
        <w:t xml:space="preserve">Connectors</w:t>
      </w:r>
    </w:p>
    <w:p>
      <w:pPr/>
      <w:r>
        <w:t xml:space="preserve">Only approved connectors, each configured once in </w:t>
      </w:r>
      <w:r>
        <w:rPr>
          <w:rStyle w:val="CodeChar"/>
        </w:rPr>
        <w:t xml:space="preserve">global.xml</w:t>
      </w:r>
      <w:r>
        <w:t xml:space="preserve"> from properties, with an explicit timeout and a reconnection strategy on every configuration.</w:t>
      </w:r>
    </w:p>
    <w:p>
      <w:pPr/>
      <w:r>
        <w:rPr>
          <w:b/>
        </w:rPr>
        <w:t xml:space="preserve">General rules</w:t>
      </w:r>
    </w:p>
    <w:p>
      <w:pPr>
        <w:pStyle w:val="ListParagraph"/>
        <w:numPr>
          <w:ilvl w:val="0"/>
          <w:numId w:val="14"/>
        </w:numPr>
      </w:pPr>
      <w:r>
        <w:t xml:space="preserve">The approved connector list is the parent POM's </w:t>
      </w:r>
      <w:r>
        <w:rPr>
          <w:rStyle w:val="CodeChar"/>
        </w:rPr>
        <w:t xml:space="preserve">dependencyManagement</w:t>
      </w:r>
      <w:r>
        <w:t xml:space="preserve">: HTTP, Database, Salesforce, SFTP, File, Anypoint MQ, JMS, VM, Object Store, Email, Scheduler, Web Service Consumer, Validation, Secure Properties, plus named SaaS connectors. Anything outside it needs architecture approval before use. </w:t>
      </w:r>
      <w:r>
        <w:rPr>
          <w:i/>
        </w:rPr>
        <w:t xml:space="preserve">Blocking.</w:t>
      </w:r>
    </w:p>
    <w:p>
      <w:pPr>
        <w:pStyle w:val="ListParagraph"/>
        <w:numPr>
          <w:ilvl w:val="0"/>
          <w:numId w:val="14"/>
        </w:numPr>
      </w:pPr>
      <w:r>
        <w:t xml:space="preserve">Every connector configuration lives in </w:t>
      </w:r>
      <w:r>
        <w:rPr>
          <w:rStyle w:val="CodeChar"/>
        </w:rPr>
        <w:t xml:space="preserve">global.xml</w:t>
      </w:r>
      <w:r>
        <w:t xml:space="preserve">, one per target system, named per the naming section. No inline or duplicate configurations in flow files. </w:t>
      </w:r>
      <w:r>
        <w:rPr>
          <w:i/>
        </w:rPr>
        <w:t xml:space="preserve">Blocking.</w:t>
      </w:r>
    </w:p>
    <w:p>
      <w:pPr>
        <w:pStyle w:val="ListParagraph"/>
        <w:numPr>
          <w:ilvl w:val="0"/>
          <w:numId w:val="14"/>
        </w:numPr>
      </w:pPr>
      <w:r>
        <w:t xml:space="preserve">Every host, port, path, credential, timeout and pool size is a property. </w:t>
      </w:r>
      <w:r>
        <w:rPr>
          <w:i/>
        </w:rPr>
        <w:t xml:space="preserve">Blocking.</w:t>
      </w:r>
    </w:p>
    <w:p>
      <w:pPr>
        <w:pStyle w:val="ListParagraph"/>
        <w:numPr>
          <w:ilvl w:val="0"/>
          <w:numId w:val="14"/>
        </w:numPr>
      </w:pPr>
      <w:r>
        <w:t xml:space="preserve">Every configuration declares one of MuleSoft's reconnection strategies (</w:t>
      </w:r>
      <w:r>
        <w:rPr>
          <w:rStyle w:val="CodeChar"/>
        </w:rPr>
        <w:t xml:space="preserve">reconnect</w:t>
      </w:r>
      <w:r>
        <w:t xml:space="preserve"> with </w:t>
      </w:r>
      <w:r>
        <w:rPr>
          <w:rStyle w:val="CodeChar"/>
        </w:rPr>
        <w:t xml:space="preserve">frequency</w:t>
      </w:r>
      <w:r>
        <w:t xml:space="preserve"> and </w:t>
      </w:r>
      <w:r>
        <w:rPr>
          <w:rStyle w:val="CodeChar"/>
        </w:rPr>
        <w:t xml:space="preserve">count</w:t>
      </w:r>
      <w:r>
        <w:t xml:space="preserve"> from properties); </w:t>
      </w:r>
      <w:r>
        <w:rPr>
          <w:rStyle w:val="CodeChar"/>
        </w:rPr>
        <w:t xml:space="preserve">failsDeployment="true"</w:t>
      </w:r>
      <w:r>
        <w:t xml:space="preserve"> for a system the application cannot run without. </w:t>
      </w:r>
      <w:r>
        <w:rPr>
          <w:i/>
        </w:rPr>
        <w:t xml:space="preserve">Blocking.</w:t>
      </w:r>
    </w:p>
    <w:p>
      <w:pPr>
        <w:pStyle w:val="ListParagraph"/>
        <w:numPr>
          <w:ilvl w:val="0"/>
          <w:numId w:val="14"/>
        </w:numPr>
      </w:pPr>
      <w:r>
        <w:t xml:space="preserve">Every outbound call has an explicit timeout — the HTTP requester's default response timeout is 10 seconds, which is rarely the right value — and the sum of timeouts on a synchronous path stays under the gateway timeout (30 s unless architecture records an exception). </w:t>
      </w:r>
      <w:r>
        <w:rPr>
          <w:i/>
        </w:rPr>
        <w:t xml:space="preserve">Blocking.</w:t>
      </w:r>
    </w:p>
    <w:p>
      <w:pPr>
        <w:pStyle w:val="ListParagraph"/>
        <w:numPr>
          <w:ilvl w:val="0"/>
          <w:numId w:val="14"/>
        </w:numPr>
      </w:pPr>
      <w:r>
        <w:t xml:space="preserve">Large payloads use streaming (repeatable file-store with </w:t>
      </w:r>
      <w:r>
        <w:rPr>
          <w:rStyle w:val="CodeChar"/>
        </w:rPr>
        <w:t xml:space="preserve">maxInMemorySize</w:t>
      </w:r>
      <w:r>
        <w:t xml:space="preserve"> set); more than 10,000 records go through Batch, not </w:t>
      </w:r>
      <w:r>
        <w:rPr>
          <w:rStyle w:val="CodeChar"/>
        </w:rPr>
        <w:t xml:space="preserve">foreach</w:t>
      </w:r>
      <w:r>
        <w:t xml:space="preserve">. </w:t>
      </w:r>
      <w:r>
        <w:rPr>
          <w:i/>
        </w:rPr>
        <w:t xml:space="preserve">Advisory.</w:t>
      </w:r>
    </w:p>
    <w:p>
      <w:pPr/>
      <w:r>
        <w:rPr>
          <w:b/>
        </w:rPr>
        <w:t xml:space="preserve">Per-connector rules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Connector</w:t>
            </w:r>
          </w:p>
        </w:tc>
        <w:tc>
          <w:tcPr>
            <w:tcW w:w="3120" w:type="dxa"/>
            <w:shd w:val="clear" w:color="auto" w:fill="F2F2F2"/>
          </w:tcPr>
          <w:p>
            <w:pPr/>
            <w:r>
              <w:t xml:space="preserve">Blocking</w:t>
            </w:r>
          </w:p>
        </w:tc>
        <w:tc>
          <w:tcPr>
            <w:tcW w:w="3120" w:type="dxa"/>
            <w:shd w:val="clear" w:color="auto" w:fill="F2F2F2"/>
          </w:tcPr>
          <w:p>
            <w:pPr/>
            <w:r>
              <w:t xml:space="preserve">Advisory</w:t>
            </w:r>
          </w:p>
        </w:tc>
      </w:tr>
      <w:tr>
        <w:tc>
          <w:tcPr>
            <w:tcW w:w="3120" w:type="dxa"/>
          </w:tcPr>
          <w:p>
            <w:pPr/>
            <w:r>
              <w:t xml:space="preserve">HTTP Request</w:t>
            </w:r>
          </w:p>
        </w:tc>
        <w:tc>
          <w:tcPr>
            <w:tcW w:w="3120" w:type="dxa"/>
          </w:tcPr>
          <w:p>
            <w:pPr/>
            <w:r>
              <w:rPr>
                <w:rStyle w:val="CodeChar"/>
              </w:rPr>
              <w:t xml:space="preserve">responseTimeout</w:t>
            </w:r>
            <w:r>
              <w:t xml:space="preserve"> and </w:t>
            </w:r>
            <w:r>
              <w:rPr>
                <w:rStyle w:val="CodeChar"/>
              </w:rPr>
              <w:t xml:space="preserve">connectionIdleTimeout</w:t>
            </w:r>
            <w:r>
              <w:t xml:space="preserve"> from properties; </w:t>
            </w:r>
            <w:r>
              <w:rPr>
                <w:rStyle w:val="CodeChar"/>
              </w:rPr>
              <w:t xml:space="preserve">basePath</w:t>
            </w:r>
            <w:r>
              <w:t xml:space="preserve"> in the config; TLS context with the organisation truststore; </w:t>
            </w:r>
            <w:r>
              <w:rPr>
                <w:rStyle w:val="CodeChar"/>
              </w:rPr>
              <w:t xml:space="preserve">insecure="true"</w:t>
            </w:r>
            <w:r>
              <w:t xml:space="preserve"> only in </w:t>
            </w:r>
            <w:r>
              <w:rPr>
                <w:rStyle w:val="CodeChar"/>
              </w:rPr>
              <w:t xml:space="preserve">local</w:t>
            </w:r>
            <w:r>
              <w:t xml:space="preserve">; authentication through the connector (OAuth2, basic) rather than a hand-built </w:t>
            </w:r>
            <w:r>
              <w:rPr>
                <w:rStyle w:val="CodeChar"/>
              </w:rPr>
              <w:t xml:space="preserve">Authorization</w:t>
            </w:r>
            <w:r>
              <w:t xml:space="preserve"> header; the default response validator kept so non-2xx raises </w:t>
            </w:r>
            <w:r>
              <w:rPr>
                <w:rStyle w:val="CodeChar"/>
              </w:rPr>
              <w:t xml:space="preserve">HTTP:*</w:t>
            </w:r>
            <w:r>
              <w:t xml:space="preserve"> and is mapped</w:t>
            </w:r>
          </w:p>
        </w:tc>
        <w:tc>
          <w:tcPr>
            <w:tcW w:w="3120" w:type="dxa"/>
          </w:tcPr>
          <w:p>
            <w:pPr/>
            <w:r>
              <w:t xml:space="preserve">Forward only the headers the downstream needs; </w:t>
            </w:r>
            <w:r>
              <w:rPr>
                <w:rStyle w:val="CodeChar"/>
              </w:rPr>
              <w:t xml:space="preserve">followRedirects</w:t>
            </w:r>
            <w:r>
              <w:t xml:space="preserve"> off unless required</w:t>
            </w:r>
          </w:p>
        </w:tc>
      </w:tr>
      <w:tr>
        <w:tc>
          <w:tcPr>
            <w:tcW w:w="3120" w:type="dxa"/>
          </w:tcPr>
          <w:p>
            <w:pPr/>
            <w:r>
              <w:t xml:space="preserve">HTTP Listener</w:t>
            </w:r>
          </w:p>
        </w:tc>
        <w:tc>
          <w:tcPr>
            <w:tcW w:w="3120" w:type="dxa"/>
          </w:tcPr>
          <w:p>
            <w:pPr/>
            <w:r>
              <w:t xml:space="preserve">One config per application; </w:t>
            </w:r>
            <w:r>
              <w:rPr>
                <w:rStyle w:val="CodeChar"/>
              </w:rPr>
              <w:t xml:space="preserve">/console/*</w:t>
            </w:r>
            <w:r>
              <w:t xml:space="preserve"> reachable only where the console flow is started; no TLS at the listener unless architecture records an exception</w:t>
            </w:r>
          </w:p>
        </w:tc>
        <w:tc>
          <w:tcPr>
            <w:tcW w:w="3120" w:type="dxa"/>
          </w:tcPr>
          <w:p>
            <w:pPr/>
            <w:r>
              <w:t xml:space="preserve">—</w:t>
            </w:r>
          </w:p>
        </w:tc>
      </w:tr>
      <w:tr>
        <w:tc>
          <w:tcPr>
            <w:tcW w:w="3120" w:type="dxa"/>
          </w:tcPr>
          <w:p>
            <w:pPr/>
            <w:r>
              <w:t xml:space="preserve">Database</w:t>
            </w:r>
          </w:p>
        </w:tc>
        <w:tc>
          <w:tcPr>
            <w:tcW w:w="3120" w:type="dxa"/>
          </w:tcPr>
          <w:p>
            <w:pPr/>
            <w:r>
              <w:t xml:space="preserve">Pooling profile (</w:t>
            </w:r>
            <w:r>
              <w:rPr>
                <w:rStyle w:val="CodeChar"/>
              </w:rPr>
              <w:t xml:space="preserve">maxPoolSize</w:t>
            </w:r>
            <w:r>
              <w:t xml:space="preserve">, </w:t>
            </w:r>
            <w:r>
              <w:rPr>
                <w:rStyle w:val="CodeChar"/>
              </w:rPr>
              <w:t xml:space="preserve">minPoolSize</w:t>
            </w:r>
            <w:r>
              <w:t xml:space="preserve">, </w:t>
            </w:r>
            <w:r>
              <w:rPr>
                <w:rStyle w:val="CodeChar"/>
              </w:rPr>
              <w:t xml:space="preserve">maxWait</w:t>
            </w:r>
            <w:r>
              <w:t xml:space="preserve">) from properties; </w:t>
            </w:r>
            <w:r>
              <w:rPr>
                <w:rStyle w:val="CodeChar"/>
              </w:rPr>
              <w:t xml:space="preserve">queryTimeout</w:t>
            </w:r>
            <w:r>
              <w:t xml:space="preserve"> set; parameterised queries only (</w:t>
            </w:r>
            <w:r>
              <w:rPr>
                <w:rStyle w:val="CodeChar"/>
              </w:rPr>
              <w:t xml:space="preserve">:param</w:t>
            </w:r>
            <w:r>
              <w:t xml:space="preserve">), never string concatenation; explicit column lists, no </w:t>
            </w:r>
            <w:r>
              <w:rPr>
                <w:rStyle w:val="CodeChar"/>
              </w:rPr>
              <w:t xml:space="preserve">SELECT *</w:t>
            </w:r>
            <w:r>
              <w:t xml:space="preserve">; driver through </w:t>
            </w:r>
            <w:r>
              <w:rPr>
                <w:rStyle w:val="CodeChar"/>
              </w:rPr>
              <w:t xml:space="preserve">sharedLibraries</w:t>
            </w:r>
          </w:p>
        </w:tc>
        <w:tc>
          <w:tcPr>
            <w:tcW w:w="3120" w:type="dxa"/>
          </w:tcPr>
          <w:p>
            <w:pPr/>
            <w:r>
              <w:rPr>
                <w:rStyle w:val="CodeChar"/>
              </w:rPr>
              <w:t xml:space="preserve">fetchSize</w:t>
            </w:r>
            <w:r>
              <w:t xml:space="preserve"> plus streaming for large selects; </w:t>
            </w:r>
            <w:r>
              <w:rPr>
                <w:rStyle w:val="CodeChar"/>
              </w:rPr>
              <w:t xml:space="preserve">transactionalAction</w:t>
            </w:r>
            <w:r>
              <w:t xml:space="preserve"> explicit when a flow performs more than one write</w:t>
            </w:r>
          </w:p>
        </w:tc>
      </w:tr>
      <w:tr>
        <w:tc>
          <w:tcPr>
            <w:tcW w:w="3120" w:type="dxa"/>
          </w:tcPr>
          <w:p>
            <w:pPr/>
            <w:r>
              <w:t xml:space="preserve">Salesforce</w:t>
            </w:r>
          </w:p>
        </w:tc>
        <w:tc>
          <w:tcPr>
            <w:tcW w:w="3120" w:type="dxa"/>
          </w:tcPr>
          <w:p>
            <w:pPr/>
            <w:r>
              <w:t xml:space="preserve">OAuth (JWT bearer or client credentials) in </w:t>
            </w:r>
            <w:r>
              <w:rPr>
                <w:rStyle w:val="CodeChar"/>
              </w:rPr>
              <w:t xml:space="preserve">uat</w:t>
            </w:r>
            <w:r>
              <w:t xml:space="preserve">/</w:t>
            </w:r>
            <w:r>
              <w:rPr>
                <w:rStyle w:val="CodeChar"/>
              </w:rPr>
              <w:t xml:space="preserve">prod</w:t>
            </w:r>
            <w:r>
              <w:t xml:space="preserve">; username, password and security token only in </w:t>
            </w:r>
            <w:r>
              <w:rPr>
                <w:rStyle w:val="CodeChar"/>
              </w:rPr>
              <w:t xml:space="preserve">dev</w:t>
            </w:r>
            <w:r>
              <w:t xml:space="preserve"> and always from secure properties; SOQL with explicit field lists</w:t>
            </w:r>
          </w:p>
        </w:tc>
        <w:tc>
          <w:tcPr>
            <w:tcW w:w="3120" w:type="dxa"/>
          </w:tcPr>
          <w:p>
            <w:pPr/>
            <w:r>
              <w:rPr>
                <w:rStyle w:val="CodeChar"/>
              </w:rPr>
              <w:t xml:space="preserve">upsert</w:t>
            </w:r>
            <w:r>
              <w:t xml:space="preserve"> on an external ID for idempotency; Bulk API for more than 200 records; cache reference data in Object Store to respect API limits</w:t>
            </w:r>
          </w:p>
        </w:tc>
      </w:tr>
      <w:tr>
        <w:tc>
          <w:tcPr>
            <w:tcW w:w="3120" w:type="dxa"/>
          </w:tcPr>
          <w:p>
            <w:pPr/>
            <w:r>
              <w:t xml:space="preserve">SFTP / File</w:t>
            </w:r>
          </w:p>
        </w:tc>
        <w:tc>
          <w:tcPr>
            <w:tcW w:w="3120" w:type="dxa"/>
          </w:tcPr>
          <w:p>
            <w:pPr/>
            <w:r>
              <w:t xml:space="preserve">Paths from properties; private-key authentication for SFTP in </w:t>
            </w:r>
            <w:r>
              <w:rPr>
                <w:rStyle w:val="CodeChar"/>
              </w:rPr>
              <w:t xml:space="preserve">uat</w:t>
            </w:r>
            <w:r>
              <w:t xml:space="preserve">/</w:t>
            </w:r>
            <w:r>
              <w:rPr>
                <w:rStyle w:val="CodeChar"/>
              </w:rPr>
              <w:t xml:space="preserve">prod</w:t>
            </w:r>
            <w:r>
              <w:t xml:space="preserve">; a file is deleted or moved only after successful processing; </w:t>
            </w:r>
            <w:r>
              <w:rPr>
                <w:rStyle w:val="CodeChar"/>
              </w:rPr>
              <w:t xml:space="preserve">timeBetweenSizeCheck</w:t>
            </w:r>
            <w:r>
              <w:t xml:space="preserve"> set so in-progress files are not read</w:t>
            </w:r>
          </w:p>
        </w:tc>
        <w:tc>
          <w:tcPr>
            <w:tcW w:w="3120" w:type="dxa"/>
          </w:tcPr>
          <w:p>
            <w:pPr/>
            <w:r>
              <w:t xml:space="preserve">Watermark in Object Store for polling; archive to </w:t>
            </w:r>
            <w:r>
              <w:rPr>
                <w:rStyle w:val="CodeChar"/>
              </w:rPr>
              <w:t xml:space="preserve">processed/</w:t>
            </w:r>
            <w:r>
              <w:t xml:space="preserve"> and </w:t>
            </w:r>
            <w:r>
              <w:rPr>
                <w:rStyle w:val="CodeChar"/>
              </w:rPr>
              <w:t xml:space="preserve">failed/</w:t>
            </w:r>
            <w:r>
              <w:t xml:space="preserve"> folders</w:t>
            </w:r>
          </w:p>
        </w:tc>
      </w:tr>
      <w:tr>
        <w:tc>
          <w:tcPr>
            <w:tcW w:w="3120" w:type="dxa"/>
          </w:tcPr>
          <w:p>
            <w:pPr/>
            <w:r>
              <w:t xml:space="preserve">Anypoint MQ</w:t>
            </w:r>
          </w:p>
        </w:tc>
        <w:tc>
          <w:tcPr>
            <w:tcW w:w="3120" w:type="dxa"/>
          </w:tcPr>
          <w:p>
            <w:pPr/>
            <w:r>
              <w:rPr>
                <w:rStyle w:val="CodeChar"/>
              </w:rPr>
              <w:t xml:space="preserve">acknowledgementMode="MANUAL"</w:t>
            </w:r>
            <w:r>
              <w:t xml:space="preserve">, ack after success and nack on failure; every queue has a dead-letter queue; </w:t>
            </w:r>
            <w:r>
              <w:rPr>
                <w:rStyle w:val="CodeChar"/>
              </w:rPr>
              <w:t xml:space="preserve">maxRedelivery</w:t>
            </w:r>
            <w:r>
              <w:t xml:space="preserve"> from properties; consumer idempotent on message ID; </w:t>
            </w:r>
            <w:r>
              <w:rPr>
                <w:rStyle w:val="CodeChar"/>
              </w:rPr>
              <w:t xml:space="preserve">correlationId</w:t>
            </w:r>
            <w:r>
              <w:t xml:space="preserve"> sent as a message property</w:t>
            </w:r>
          </w:p>
        </w:tc>
        <w:tc>
          <w:tcPr>
            <w:tcW w:w="3120" w:type="dxa"/>
          </w:tcPr>
          <w:p>
            <w:pPr/>
            <w:r>
              <w:t xml:space="preserve">Message body under 1 MB, larger payloads by reference</w:t>
            </w:r>
          </w:p>
        </w:tc>
      </w:tr>
      <w:tr>
        <w:tc>
          <w:tcPr>
            <w:tcW w:w="3120" w:type="dxa"/>
          </w:tcPr>
          <w:p>
            <w:pPr/>
            <w:r>
              <w:t xml:space="preserve">VM</w:t>
            </w:r>
          </w:p>
        </w:tc>
        <w:tc>
          <w:tcPr>
            <w:tcW w:w="3120" w:type="dxa"/>
          </w:tcPr>
          <w:p>
            <w:pPr/>
            <w:r>
              <w:t xml:space="preserve">Inside one application only, for asynchronous offload; never as messaging between applications</w:t>
            </w:r>
          </w:p>
        </w:tc>
        <w:tc>
          <w:tcPr>
            <w:tcW w:w="3120" w:type="dxa"/>
          </w:tcPr>
          <w:p>
            <w:pPr/>
            <w:r>
              <w:t xml:space="preserve">Persistent queue where loss is unacceptable</w:t>
            </w:r>
          </w:p>
        </w:tc>
      </w:tr>
      <w:tr>
        <w:tc>
          <w:tcPr>
            <w:tcW w:w="3120" w:type="dxa"/>
          </w:tcPr>
          <w:p>
            <w:pPr/>
            <w:r>
              <w:t xml:space="preserve">Object Store</w:t>
            </w:r>
          </w:p>
        </w:tc>
        <w:tc>
          <w:tcPr>
            <w:tcW w:w="3120" w:type="dxa"/>
          </w:tcPr>
          <w:p>
            <w:pPr/>
            <w:r>
              <w:rPr>
                <w:rStyle w:val="CodeChar"/>
              </w:rPr>
              <w:t xml:space="preserve">entryTtl</w:t>
            </w:r>
            <w:r>
              <w:t xml:space="preserve"> always set; small entries only (identifiers, tokens, watermarks), never payloads; keys namespaced by purpose</w:t>
            </w:r>
          </w:p>
        </w:tc>
        <w:tc>
          <w:tcPr>
            <w:tcW w:w="3120" w:type="dxa"/>
          </w:tcPr>
          <w:p>
            <w:pPr/>
            <w:r>
              <w:t xml:space="preserve">Use </w:t>
            </w:r>
            <w:r>
              <w:rPr>
                <w:rStyle w:val="CodeChar"/>
              </w:rPr>
              <w:t xml:space="preserve">storeIfAbsent</w:t>
            </w:r>
            <w:r>
              <w:t xml:space="preserve"> style checks for idempotency and leader locks</w:t>
            </w:r>
          </w:p>
        </w:tc>
      </w:tr>
      <w:tr>
        <w:tc>
          <w:tcPr>
            <w:tcW w:w="3120" w:type="dxa"/>
          </w:tcPr>
          <w:p>
            <w:pPr/>
            <w:r>
              <w:t xml:space="preserve">Scheduler</w:t>
            </w:r>
          </w:p>
        </w:tc>
        <w:tc>
          <w:tcPr>
            <w:tcW w:w="3120" w:type="dxa"/>
          </w:tcPr>
          <w:p>
            <w:pPr/>
            <w:r>
              <w:t xml:space="preserve">Cron or frequency from properties; </w:t>
            </w:r>
            <w:r>
              <w:rPr>
                <w:rStyle w:val="CodeChar"/>
              </w:rPr>
              <w:t xml:space="preserve">initialState</w:t>
            </w:r>
            <w:r>
              <w:t xml:space="preserve"> from a property so lower environments can stop it; runs once per schedule across workers or replicas (platform primary-worker behaviour where it exists, otherwise an Object Store lock)</w:t>
            </w:r>
          </w:p>
        </w:tc>
        <w:tc>
          <w:tcPr>
            <w:tcW w:w="3120" w:type="dxa"/>
          </w:tcPr>
          <w:p>
            <w:pPr/>
            <w:r>
              <w:t xml:space="preserve">One scheduler per flow; a run logs start and end with the count processed</w:t>
            </w:r>
          </w:p>
        </w:tc>
      </w:tr>
      <w:tr>
        <w:tc>
          <w:tcPr>
            <w:tcW w:w="3120" w:type="dxa"/>
          </w:tcPr>
          <w:p>
            <w:pPr/>
            <w:r>
              <w:t xml:space="preserve">Web Service Consumer</w:t>
            </w:r>
          </w:p>
        </w:tc>
        <w:tc>
          <w:tcPr>
            <w:tcW w:w="3120" w:type="dxa"/>
          </w:tcPr>
          <w:p>
            <w:pPr/>
            <w:r>
              <w:t xml:space="preserve">WSDL from Exchange or </w:t>
            </w:r>
            <w:r>
              <w:rPr>
                <w:rStyle w:val="CodeChar"/>
              </w:rPr>
              <w:t xml:space="preserve">src/main/resources/wsdl</w:t>
            </w:r>
            <w:r>
              <w:t xml:space="preserve">; WS-Security through the config; timeouts on its HTTP transport config</w:t>
            </w:r>
          </w:p>
        </w:tc>
        <w:tc>
          <w:tcPr>
            <w:tcW w:w="3120" w:type="dxa"/>
          </w:tcPr>
          <w:p>
            <w:pPr/>
            <w:r>
              <w:t xml:space="preserve">—</w:t>
            </w:r>
          </w:p>
        </w:tc>
      </w:tr>
      <w:tr>
        <w:tc>
          <w:tcPr>
            <w:tcW w:w="3120" w:type="dxa"/>
          </w:tcPr>
          <w:p>
            <w:pPr/>
            <w:r>
              <w:t xml:space="preserve">Validation</w:t>
            </w:r>
          </w:p>
        </w:tc>
        <w:tc>
          <w:tcPr>
            <w:tcW w:w="3120" w:type="dxa"/>
          </w:tcPr>
          <w:p>
            <w:pPr/>
            <w:r>
              <w:t xml:space="preserve">Used for input checks; failures mapped to </w:t>
            </w:r>
            <w:r>
              <w:rPr>
                <w:rStyle w:val="CodeChar"/>
              </w:rPr>
              <w:t xml:space="preserve">APP:VALIDATION</w:t>
            </w:r>
            <w:r>
              <w:t xml:space="preserve"> with field-level </w:t>
            </w:r>
            <w:r>
              <w:rPr>
                <w:rStyle w:val="CodeChar"/>
              </w:rPr>
              <w:t xml:space="preserve">details</w:t>
            </w:r>
          </w:p>
        </w:tc>
        <w:tc>
          <w:tcPr>
            <w:tcW w:w="3120" w:type="dxa"/>
          </w:tcPr>
          <w:p>
            <w:pPr/>
            <w:r>
              <w:t xml:space="preserve">—</w:t>
            </w:r>
          </w:p>
        </w:tc>
      </w:tr>
    </w:tbl>
    <w:p>
      <w:pPr>
        <w:pStyle w:val="Heading2"/>
      </w:pPr>
      <w:r>
        <w:t xml:space="preserve">MUnit</w:t>
      </w:r>
    </w:p>
    <w:p>
      <w:pPr/>
      <w:r>
        <w:t xml:space="preserve">Every flow has an MUnit suite that mocks every external system, the pipeline runs all suites before packaging, and a flow without tests does not merge.</w:t>
      </w:r>
    </w:p>
    <w:p>
      <w:pPr/>
      <w:r>
        <w:rPr>
          <w:b/>
        </w:rPr>
        <w:t xml:space="preserve">Structure</w:t>
      </w:r>
    </w:p>
    <w:p>
      <w:pPr>
        <w:pStyle w:val="ListParagraph"/>
        <w:numPr>
          <w:ilvl w:val="0"/>
          <w:numId w:val="15"/>
        </w:numPr>
      </w:pPr>
      <w:r>
        <w:t xml:space="preserve">Suites live in </w:t>
      </w:r>
      <w:r>
        <w:rPr>
          <w:rStyle w:val="CodeChar"/>
        </w:rPr>
        <w:t xml:space="preserve">src/test/munit/</w:t>
      </w:r>
      <w:r>
        <w:t xml:space="preserve">, MUnit's standard location, one per implementation file and named </w:t>
      </w:r>
      <w:r>
        <w:rPr>
          <w:rStyle w:val="CodeChar"/>
        </w:rPr>
        <w:t xml:space="preserve">&lt;file&gt;-test-suite.xml</w:t>
      </w:r>
      <w:r>
        <w:t xml:space="preserve"> as Studio generates them (</w:t>
      </w:r>
      <w:r>
        <w:rPr>
          <w:rStyle w:val="CodeChar"/>
        </w:rPr>
        <w:t xml:space="preserve">orders-impl-test-suite.xml</w:t>
      </w:r>
      <w:r>
        <w:t xml:space="preserve">, </w:t>
      </w:r>
      <w:r>
        <w:rPr>
          <w:rStyle w:val="CodeChar"/>
        </w:rPr>
        <w:t xml:space="preserve">error-handler-test-suite.xml</w:t>
      </w:r>
      <w:r>
        <w:t xml:space="preserve">). </w:t>
      </w:r>
      <w:r>
        <w:rPr>
          <w:i/>
        </w:rPr>
        <w:t xml:space="preserve">Blocking.</w:t>
      </w:r>
    </w:p>
    <w:p>
      <w:pPr>
        <w:pStyle w:val="ListParagraph"/>
        <w:numPr>
          <w:ilvl w:val="0"/>
          <w:numId w:val="15"/>
        </w:numPr>
      </w:pPr>
      <w:r>
        <w:t xml:space="preserve">A test is named for what the reader should see when it fails, as MuleSoft's testing guidance asks: </w:t>
      </w:r>
      <w:r>
        <w:rPr>
          <w:rStyle w:val="CodeChar"/>
        </w:rPr>
        <w:t xml:space="preserve">&lt;flow-name&gt;-&lt;scenario&gt;-test</w:t>
      </w:r>
      <w:r>
        <w:t xml:space="preserve"> (</w:t>
      </w:r>
      <w:r>
        <w:rPr>
          <w:rStyle w:val="CodeChar"/>
        </w:rPr>
        <w:t xml:space="preserve">get-order-by-id-flow-returns-404-when-order-missing-test</w:t>
      </w:r>
      <w:r>
        <w:t xml:space="preserve">), one scenario per test, with the expected outcome restated in its </w:t>
      </w:r>
      <w:r>
        <w:rPr>
          <w:rStyle w:val="CodeChar"/>
        </w:rPr>
        <w:t xml:space="preserve">description</w:t>
      </w:r>
      <w:r>
        <w:t xml:space="preserve">. </w:t>
      </w:r>
      <w:r>
        <w:rPr>
          <w:i/>
        </w:rPr>
        <w:t xml:space="preserve">Blocking.</w:t>
      </w:r>
    </w:p>
    <w:p>
      <w:pPr>
        <w:pStyle w:val="ListParagraph"/>
        <w:numPr>
          <w:ilvl w:val="0"/>
          <w:numId w:val="15"/>
        </w:numPr>
      </w:pPr>
      <w:r>
        <w:t xml:space="preserve">Every test has MUnit's three sections in order — </w:t>
      </w:r>
      <w:r>
        <w:rPr>
          <w:rStyle w:val="CodeChar"/>
        </w:rPr>
        <w:t xml:space="preserve">behavior</w:t>
      </w:r>
      <w:r>
        <w:t xml:space="preserve"> (mocks and spies), </w:t>
      </w:r>
      <w:r>
        <w:rPr>
          <w:rStyle w:val="CodeChar"/>
        </w:rPr>
        <w:t xml:space="preserve">execution</w:t>
      </w:r>
      <w:r>
        <w:t xml:space="preserve"> (one </w:t>
      </w:r>
      <w:r>
        <w:rPr>
          <w:rStyle w:val="CodeChar"/>
        </w:rPr>
        <w:t xml:space="preserve">flow-ref</w:t>
      </w:r>
      <w:r>
        <w:t xml:space="preserve"> or one HTTP call), </w:t>
      </w:r>
      <w:r>
        <w:rPr>
          <w:rStyle w:val="CodeChar"/>
        </w:rPr>
        <w:t xml:space="preserve">validation</w:t>
      </w:r>
      <w:r>
        <w:t xml:space="preserve"> (assertions on status, payload, and the variables or headers that matter). An execution with no assertion is a review finding. </w:t>
      </w:r>
      <w:r>
        <w:rPr>
          <w:i/>
        </w:rPr>
        <w:t xml:space="preserve">Blocking.</w:t>
      </w:r>
    </w:p>
    <w:p>
      <w:pPr>
        <w:pStyle w:val="ListParagraph"/>
        <w:numPr>
          <w:ilvl w:val="0"/>
          <w:numId w:val="15"/>
        </w:numPr>
      </w:pPr>
      <w:r>
        <w:t xml:space="preserve">Flows are kept short and modular, as MuleSoft recommends, so each unit can be isolated with </w:t>
      </w:r>
      <w:r>
        <w:rPr>
          <w:rStyle w:val="CodeChar"/>
        </w:rPr>
        <w:t xml:space="preserve">mock-when</w:t>
      </w:r>
      <w:r>
        <w:t xml:space="preserve"> and tested on its own. </w:t>
      </w:r>
      <w:r>
        <w:rPr>
          <w:i/>
        </w:rPr>
        <w:t xml:space="preserve">Advisory.</w:t>
      </w:r>
    </w:p>
    <w:p>
      <w:pPr>
        <w:pStyle w:val="ListParagraph"/>
        <w:numPr>
          <w:ilvl w:val="0"/>
          <w:numId w:val="15"/>
        </w:numPr>
      </w:pPr>
      <w:r>
        <w:t xml:space="preserve">Test data is a file per scenario under </w:t>
      </w:r>
      <w:r>
        <w:rPr>
          <w:rStyle w:val="CodeChar"/>
        </w:rPr>
        <w:t xml:space="preserve">src/test/resources/&lt;flow&gt;/</w:t>
      </w:r>
      <w:r>
        <w:t xml:space="preserve"> (</w:t>
      </w:r>
      <w:r>
        <w:rPr>
          <w:rStyle w:val="CodeChar"/>
        </w:rPr>
        <w:t xml:space="preserve">&lt;scenario&gt;-request.json</w:t>
      </w:r>
      <w:r>
        <w:t xml:space="preserve">, </w:t>
      </w:r>
      <w:r>
        <w:rPr>
          <w:rStyle w:val="CodeChar"/>
        </w:rPr>
        <w:t xml:space="preserve">&lt;scenario&gt;-response.json</w:t>
      </w:r>
      <w:r>
        <w:t xml:space="preserve">, </w:t>
      </w:r>
      <w:r>
        <w:rPr>
          <w:rStyle w:val="CodeChar"/>
        </w:rPr>
        <w:t xml:space="preserve">&lt;scenario&gt;-mock-&lt;system&gt;.json</w:t>
      </w:r>
      <w:r>
        <w:t xml:space="preserve">), loaded with </w:t>
      </w:r>
      <w:r>
        <w:rPr>
          <w:rStyle w:val="CodeChar"/>
        </w:rPr>
        <w:t xml:space="preserve">MunitTools::getResourceAsString</w:t>
      </w:r>
      <w:r>
        <w:t xml:space="preserve">. Inline JSON over a few lines is a review finding (org). </w:t>
      </w:r>
      <w:r>
        <w:rPr>
          <w:i/>
        </w:rPr>
        <w:t xml:space="preserve">Advisory.</w:t>
      </w:r>
    </w:p>
    <w:p>
      <w:pPr>
        <w:pStyle w:val="ListParagraph"/>
        <w:numPr>
          <w:ilvl w:val="0"/>
          <w:numId w:val="15"/>
        </w:numPr>
      </w:pPr>
      <w:r>
        <w:t xml:space="preserve">Tests run on the </w:t>
      </w:r>
      <w:r>
        <w:rPr>
          <w:rStyle w:val="CodeChar"/>
        </w:rPr>
        <w:t xml:space="preserve">config.yaml</w:t>
      </w:r>
      <w:r>
        <w:t xml:space="preserve"> defaults plus test-only overrides passed by the </w:t>
      </w:r>
      <w:r>
        <w:rPr>
          <w:rStyle w:val="CodeChar"/>
        </w:rPr>
        <w:t xml:space="preserve">munit-maven-plugin</w:t>
      </w:r>
      <w:r>
        <w:t xml:space="preserve">, with a dummy </w:t>
      </w:r>
      <w:r>
        <w:rPr>
          <w:rStyle w:val="CodeChar"/>
        </w:rPr>
        <w:t xml:space="preserve">secure.key</w:t>
      </w:r>
      <w:r>
        <w:t xml:space="preserve"> set in the parent POM. No real credential, hostname or endpoint appears in test resources. </w:t>
      </w:r>
      <w:r>
        <w:rPr>
          <w:i/>
        </w:rPr>
        <w:t xml:space="preserve">Blocking.</w:t>
      </w:r>
    </w:p>
    <w:p>
      <w:pPr/>
      <w:r>
        <w:rPr>
          <w:b/>
        </w:rPr>
        <w:t xml:space="preserve">Mocking</w:t>
      </w:r>
    </w:p>
    <w:p>
      <w:pPr>
        <w:pStyle w:val="ListParagraph"/>
        <w:numPr>
          <w:ilvl w:val="0"/>
          <w:numId w:val="16"/>
        </w:numPr>
      </w:pPr>
      <w:r>
        <w:t xml:space="preserve">Every external interaction — HTTP request, Database, Salesforce, SFTP, MQ, Web Service Consumer — is mocked with </w:t>
      </w:r>
      <w:r>
        <w:rPr>
          <w:rStyle w:val="CodeChar"/>
        </w:rPr>
        <w:t xml:space="preserve">mock-when</w:t>
      </w:r>
      <w:r>
        <w:t xml:space="preserve">, matched on </w:t>
      </w:r>
      <w:r>
        <w:rPr>
          <w:rStyle w:val="CodeChar"/>
        </w:rPr>
        <w:t xml:space="preserve">doc:name</w:t>
      </w:r>
      <w:r>
        <w:t xml:space="preserve">, never on position. A test never reaches a real system. </w:t>
      </w:r>
      <w:r>
        <w:rPr>
          <w:i/>
        </w:rPr>
        <w:t xml:space="preserve">Blocking.</w:t>
      </w:r>
    </w:p>
    <w:p>
      <w:pPr>
        <w:pStyle w:val="ListParagraph"/>
        <w:numPr>
          <w:ilvl w:val="0"/>
          <w:numId w:val="16"/>
        </w:numPr>
      </w:pPr>
      <w:r>
        <w:t xml:space="preserve">Mocks return realistic payloads with the right media type and attributes (status code, headers), taken from the test-data files. </w:t>
      </w:r>
      <w:r>
        <w:rPr>
          <w:i/>
        </w:rPr>
        <w:t xml:space="preserve">Blocking.</w:t>
      </w:r>
    </w:p>
    <w:p>
      <w:pPr>
        <w:pStyle w:val="ListParagraph"/>
        <w:numPr>
          <w:ilvl w:val="0"/>
          <w:numId w:val="16"/>
        </w:numPr>
      </w:pPr>
      <w:r>
        <w:t xml:space="preserve">Error paths are produced by </w:t>
      </w:r>
      <w:r>
        <w:rPr>
          <w:rStyle w:val="CodeChar"/>
        </w:rPr>
        <w:t xml:space="preserve">then-return</w:t>
      </w:r>
      <w:r>
        <w:t xml:space="preserve"> with a </w:t>
      </w:r>
      <w:r>
        <w:rPr>
          <w:rStyle w:val="CodeChar"/>
        </w:rPr>
        <w:t xml:space="preserve">munit-tools:error</w:t>
      </w:r>
      <w:r>
        <w:t xml:space="preserve"> of the exact error type (</w:t>
      </w:r>
      <w:r>
        <w:rPr>
          <w:rStyle w:val="CodeChar"/>
        </w:rPr>
        <w:t xml:space="preserve">HTTP:NOT_FOUND</w:t>
      </w:r>
      <w:r>
        <w:t xml:space="preserve">, </w:t>
      </w:r>
      <w:r>
        <w:rPr>
          <w:rStyle w:val="CodeChar"/>
        </w:rPr>
        <w:t xml:space="preserve">DB:CONNECTIVITY</w:t>
      </w:r>
      <w:r>
        <w:t xml:space="preserve">), not by throwing from a mock DataWeave expression. </w:t>
      </w:r>
      <w:r>
        <w:rPr>
          <w:i/>
        </w:rPr>
        <w:t xml:space="preserve">Blocking.</w:t>
      </w:r>
    </w:p>
    <w:p>
      <w:pPr>
        <w:pStyle w:val="ListParagraph"/>
        <w:numPr>
          <w:ilvl w:val="0"/>
          <w:numId w:val="16"/>
        </w:numPr>
      </w:pPr>
      <w:r>
        <w:rPr>
          <w:rStyle w:val="CodeChar"/>
        </w:rPr>
        <w:t xml:space="preserve">spy</w:t>
      </w:r>
      <w:r>
        <w:t xml:space="preserve"> and </w:t>
      </w:r>
      <w:r>
        <w:rPr>
          <w:rStyle w:val="CodeChar"/>
        </w:rPr>
        <w:t xml:space="preserve">verify-call</w:t>
      </w:r>
      <w:r>
        <w:t xml:space="preserve"> prove that a downstream was called the expected number of times with the expected payload; retries are asserted this way. </w:t>
      </w:r>
      <w:r>
        <w:rPr>
          <w:i/>
        </w:rPr>
        <w:t xml:space="preserve">Advisory.</w:t>
      </w:r>
    </w:p>
    <w:p>
      <w:pPr>
        <w:pStyle w:val="ListParagraph"/>
        <w:numPr>
          <w:ilvl w:val="0"/>
          <w:numId w:val="16"/>
        </w:numPr>
      </w:pPr>
      <w:r>
        <w:t xml:space="preserve">The flow under test, its DataWeave transforms and the APIkit router are never mocked. </w:t>
      </w:r>
      <w:r>
        <w:rPr>
          <w:i/>
        </w:rPr>
        <w:t xml:space="preserve">Blocking.</w:t>
      </w:r>
    </w:p>
    <w:p>
      <w:pPr/>
      <w:r>
        <w:rPr>
          <w:b/>
        </w:rPr>
        <w:t xml:space="preserve">What must be tested</w:t>
      </w:r>
      <w:r>
        <w:t xml:space="preserve"> — </w:t>
      </w:r>
      <w:r>
        <w:rPr>
          <w:i/>
        </w:rPr>
        <w:t xml:space="preserve">Blocking</w:t>
      </w:r>
    </w:p>
    <w:p>
      <w:pPr>
        <w:pStyle w:val="ListParagraph"/>
        <w:numPr>
          <w:ilvl w:val="0"/>
          <w:numId w:val="17"/>
        </w:numPr>
      </w:pPr>
      <w:r>
        <w:t xml:space="preserve">Every APIkit operation: the success path and each error branch the mapping table defines for it (validation, not found where applicable, upstream error, upstream unavailable, timeout, internal error).</w:t>
      </w:r>
    </w:p>
    <w:p>
      <w:pPr>
        <w:pStyle w:val="ListParagraph"/>
        <w:numPr>
          <w:ilvl w:val="0"/>
          <w:numId w:val="17"/>
        </w:numPr>
      </w:pPr>
      <w:r>
        <w:t xml:space="preserve">The global error handler: one test per mapped error type, asserting the HTTP status and the error envelope.</w:t>
      </w:r>
    </w:p>
    <w:p>
      <w:pPr>
        <w:pStyle w:val="ListParagraph"/>
        <w:numPr>
          <w:ilvl w:val="0"/>
          <w:numId w:val="17"/>
        </w:numPr>
      </w:pPr>
      <w:r>
        <w:t xml:space="preserve">Every externalised DataWeave script, with input that includes optional and null fields and empty collections.</w:t>
      </w:r>
    </w:p>
    <w:p>
      <w:pPr>
        <w:pStyle w:val="ListParagraph"/>
        <w:numPr>
          <w:ilvl w:val="0"/>
          <w:numId w:val="17"/>
        </w:numPr>
      </w:pPr>
      <w:r>
        <w:t xml:space="preserve">Every business validation and every </w:t>
      </w:r>
      <w:r>
        <w:rPr>
          <w:rStyle w:val="CodeChar"/>
        </w:rPr>
        <w:t xml:space="preserve">raise-error</w:t>
      </w:r>
      <w:r>
        <w:t xml:space="preserve">.</w:t>
      </w:r>
    </w:p>
    <w:p>
      <w:pPr>
        <w:pStyle w:val="ListParagraph"/>
        <w:numPr>
          <w:ilvl w:val="0"/>
          <w:numId w:val="17"/>
        </w:numPr>
      </w:pPr>
      <w:r>
        <w:t xml:space="preserve">Event-driven flows: the acknowledge path and the nack or dead-letter path; scheduler flows invoked directly with the source stopped.</w:t>
      </w:r>
    </w:p>
    <w:p>
      <w:pPr/>
      <w:r>
        <w:rPr>
          <w:b/>
        </w:rPr>
        <w:t xml:space="preserve">Execution rules</w:t>
      </w:r>
    </w:p>
    <w:p>
      <w:pPr>
        <w:pStyle w:val="ListParagraph"/>
        <w:numPr>
          <w:ilvl w:val="0"/>
          <w:numId w:val="18"/>
        </w:numPr>
      </w:pPr>
      <w:r>
        <w:rPr>
          <w:rStyle w:val="CodeChar"/>
        </w:rPr>
        <w:t xml:space="preserve">mvn test</w:t>
      </w:r>
      <w:r>
        <w:t xml:space="preserve"> runs on every pull request against the approved runtime (</w:t>
      </w:r>
      <w:r>
        <w:rPr>
          <w:rStyle w:val="CodeChar"/>
        </w:rPr>
        <w:t xml:space="preserve">runtimeProduct</w:t>
      </w:r>
      <w:r>
        <w:t xml:space="preserve"> MULE_EE, version from the parent); a red suite blocks review. </w:t>
      </w:r>
      <w:r>
        <w:rPr>
          <w:i/>
        </w:rPr>
        <w:t xml:space="preserve">Blocking.</w:t>
      </w:r>
    </w:p>
    <w:p>
      <w:pPr>
        <w:pStyle w:val="ListParagraph"/>
        <w:numPr>
          <w:ilvl w:val="0"/>
          <w:numId w:val="18"/>
        </w:numPr>
      </w:pPr>
      <w:r>
        <w:t xml:space="preserve">Tests are independent: no ordering, no shared state, </w:t>
      </w:r>
      <w:r>
        <w:rPr>
          <w:rStyle w:val="CodeChar"/>
        </w:rPr>
        <w:t xml:space="preserve">after-test</w:t>
      </w:r>
      <w:r>
        <w:t xml:space="preserve"> clears any Object Store used, and no sleeps — timing is never asserted. </w:t>
      </w:r>
      <w:r>
        <w:rPr>
          <w:i/>
        </w:rPr>
        <w:t xml:space="preserve">Blocking.</w:t>
      </w:r>
    </w:p>
    <w:p>
      <w:pPr>
        <w:pStyle w:val="ListParagraph"/>
        <w:numPr>
          <w:ilvl w:val="0"/>
          <w:numId w:val="18"/>
        </w:numPr>
      </w:pPr>
      <w:r>
        <w:t xml:space="preserve">Flow sources are not started; tests invoke implementation flows by </w:t>
      </w:r>
      <w:r>
        <w:rPr>
          <w:rStyle w:val="CodeChar"/>
        </w:rPr>
        <w:t xml:space="preserve">flow-ref</w:t>
      </w:r>
      <w:r>
        <w:t xml:space="preserve">. A small set of API-level tests may enable the main APIkit flow's listener to prove routing, validation and the console state. </w:t>
      </w:r>
      <w:r>
        <w:rPr>
          <w:i/>
        </w:rPr>
        <w:t xml:space="preserve">Advisory.</w:t>
      </w:r>
    </w:p>
    <w:p>
      <w:pPr>
        <w:pStyle w:val="ListParagraph"/>
        <w:numPr>
          <w:ilvl w:val="0"/>
          <w:numId w:val="18"/>
        </w:numPr>
      </w:pPr>
      <w:r>
        <w:t xml:space="preserve">A test with </w:t>
      </w:r>
      <w:r>
        <w:rPr>
          <w:rStyle w:val="CodeChar"/>
        </w:rPr>
        <w:t xml:space="preserve">ignore="true"</w:t>
      </w:r>
      <w:r>
        <w:t xml:space="preserve"> carries the ticket reference in its </w:t>
      </w:r>
      <w:r>
        <w:rPr>
          <w:rStyle w:val="CodeChar"/>
        </w:rPr>
        <w:t xml:space="preserve">description</w:t>
      </w:r>
      <w:r>
        <w:t xml:space="preserve">; an ignored suite is a review finding. </w:t>
      </w:r>
      <w:r>
        <w:rPr>
          <w:i/>
        </w:rPr>
        <w:t xml:space="preserve">Blocking.</w:t>
      </w:r>
    </w:p>
    <w:p>
      <w:pPr>
        <w:pStyle w:val="ListParagraph"/>
        <w:numPr>
          <w:ilvl w:val="0"/>
          <w:numId w:val="18"/>
        </w:numPr>
      </w:pPr>
      <w:r>
        <w:t xml:space="preserve">A full suite finishes in under 5 minutes; slower suites are split by resource. </w:t>
      </w:r>
      <w:r>
        <w:rPr>
          <w:i/>
        </w:rPr>
        <w:t xml:space="preserve">Advisory.</w:t>
      </w:r>
    </w:p>
    <w:p>
      <w:pPr>
        <w:pStyle w:val="Heading2"/>
      </w:pPr>
      <w:r>
        <w:t xml:space="preserve">Coverage</w:t>
      </w:r>
    </w:p>
    <w:p>
      <w:pPr/>
      <w:r>
        <w:t xml:space="preserve">The thresholds are the values MuleSoft's own MUnit documentation uses — 75 % application, 50 % per resource, 50 % per flow — enforced with </w:t>
      </w:r>
      <w:r>
        <w:rPr>
          <w:rStyle w:val="CodeChar"/>
        </w:rPr>
        <w:t xml:space="preserve">failBuild=true</w:t>
      </w:r>
      <w:r>
        <w:t xml:space="preserve"> by the MUnit Maven plugin from the parent POM. MuleSoft publishes no mandated minimum, so the organisation may raise them, and reviewers judge the assertions behind the number, not the number.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Scope</w:t>
            </w:r>
          </w:p>
        </w:tc>
        <w:tc>
          <w:tcPr>
            <w:tcW w:w="3120" w:type="dxa"/>
            <w:shd w:val="clear" w:color="auto" w:fill="F2F2F2"/>
          </w:tcPr>
          <w:p>
            <w:pPr/>
            <w:r>
              <w:t xml:space="preserve">Minimum</w:t>
            </w:r>
          </w:p>
        </w:tc>
        <w:tc>
          <w:tcPr>
            <w:tcW w:w="3120" w:type="dxa"/>
            <w:shd w:val="clear" w:color="auto" w:fill="F2F2F2"/>
          </w:tcPr>
          <w:p>
            <w:pPr/>
            <w:r>
              <w:t xml:space="preserve">Plugin element</w:t>
            </w:r>
          </w:p>
        </w:tc>
      </w:tr>
      <w:tr>
        <w:tc>
          <w:tcPr>
            <w:tcW w:w="3120" w:type="dxa"/>
          </w:tcPr>
          <w:p>
            <w:pPr/>
            <w:r>
              <w:t xml:space="preserve">Application (all flows)</w:t>
            </w:r>
          </w:p>
        </w:tc>
        <w:tc>
          <w:tcPr>
            <w:tcW w:w="3120" w:type="dxa"/>
          </w:tcPr>
          <w:p>
            <w:pPr/>
            <w:r>
              <w:t xml:space="preserve">75 %</w:t>
            </w:r>
          </w:p>
        </w:tc>
        <w:tc>
          <w:tcPr>
            <w:tcW w:w="3120" w:type="dxa"/>
          </w:tcPr>
          <w:p>
            <w:pPr/>
            <w:r>
              <w:rPr>
                <w:rStyle w:val="CodeChar"/>
              </w:rPr>
              <w:t xml:space="preserve">requiredApplicationCoverage</w:t>
            </w:r>
          </w:p>
        </w:tc>
      </w:tr>
      <w:tr>
        <w:tc>
          <w:tcPr>
            <w:tcW w:w="3120" w:type="dxa"/>
          </w:tcPr>
          <w:p>
            <w:pPr/>
            <w:r>
              <w:t xml:space="preserve">Resource (each Mule XML file)</w:t>
            </w:r>
          </w:p>
        </w:tc>
        <w:tc>
          <w:tcPr>
            <w:tcW w:w="3120" w:type="dxa"/>
          </w:tcPr>
          <w:p>
            <w:pPr/>
            <w:r>
              <w:t xml:space="preserve">50 %</w:t>
            </w:r>
          </w:p>
        </w:tc>
        <w:tc>
          <w:tcPr>
            <w:tcW w:w="3120" w:type="dxa"/>
          </w:tcPr>
          <w:p>
            <w:pPr/>
            <w:r>
              <w:rPr>
                <w:rStyle w:val="CodeChar"/>
              </w:rPr>
              <w:t xml:space="preserve">requiredResourceCoverage</w:t>
            </w:r>
          </w:p>
        </w:tc>
      </w:tr>
      <w:tr>
        <w:tc>
          <w:tcPr>
            <w:tcW w:w="3120" w:type="dxa"/>
          </w:tcPr>
          <w:p>
            <w:pPr/>
            <w:r>
              <w:t xml:space="preserve">Flow (each flow, sub-flow or batch job)</w:t>
            </w:r>
          </w:p>
        </w:tc>
        <w:tc>
          <w:tcPr>
            <w:tcW w:w="3120" w:type="dxa"/>
          </w:tcPr>
          <w:p>
            <w:pPr/>
            <w:r>
              <w:t xml:space="preserve">50 %</w:t>
            </w:r>
          </w:p>
        </w:tc>
        <w:tc>
          <w:tcPr>
            <w:tcW w:w="3120" w:type="dxa"/>
          </w:tcPr>
          <w:p>
            <w:pPr/>
            <w:r>
              <w:rPr>
                <w:rStyle w:val="CodeChar"/>
              </w:rPr>
              <w:t xml:space="preserve">requiredFlowCoverage</w:t>
            </w:r>
          </w:p>
        </w:tc>
      </w:tr>
    </w:tbl>
    <w:p>
      <w:pPr/>
      <w:r>
        <w:rPr>
          <w:b/>
        </w:rPr>
        <w:t xml:space="preserve">Parent POM configuration</w:t>
      </w:r>
    </w:p>
    <w:p>
      <w:pPr>
        <w:pStyle w:val="Code"/>
      </w:pPr>
      <w:bookmarkStart w:id="3" w:name="bongo_lang_xml_3"/>
      <w:bookmarkEnd w:id="3"/>
      <w:r>
        <w:t xml:space="preserve">&lt;plugin&gt;</w:t>
        <w:br/>
        <w:t xml:space="preserve">  &lt;groupId&gt;com.mulesoft.munit.tools&lt;/groupId&gt;</w:t>
        <w:br/>
        <w:t xml:space="preserve">  &lt;artifactId&gt;munit-maven-plugin&lt;/artifactId&gt;</w:t>
        <w:br/>
        <w:t xml:space="preserve">  &lt;version&gt;${munit.version}&lt;/version&gt;</w:t>
        <w:br/>
        <w:t xml:space="preserve">  &lt;executions&gt;</w:t>
        <w:br/>
        <w:t xml:space="preserve">    &lt;execution&gt;</w:t>
        <w:br/>
        <w:t xml:space="preserve">      &lt;id&gt;test&lt;/id&gt;</w:t>
        <w:br/>
        <w:t xml:space="preserve">      &lt;phase&gt;test&lt;/phase&gt;</w:t>
        <w:br/>
        <w:t xml:space="preserve">      &lt;goals&gt;</w:t>
        <w:br/>
        <w:t xml:space="preserve">        &lt;goal&gt;test&lt;/goal&gt;</w:t>
        <w:br/>
        <w:t xml:space="preserve">        &lt;goal&gt;coverage-report&lt;/goal&gt;</w:t>
        <w:br/>
        <w:t xml:space="preserve">      &lt;/goals&gt;</w:t>
        <w:br/>
        <w:t xml:space="preserve">    &lt;/execution&gt;</w:t>
        <w:br/>
        <w:t xml:space="preserve">  &lt;/executions&gt;</w:t>
        <w:br/>
        <w:t xml:space="preserve">  &lt;configuration&gt;</w:t>
        <w:br/>
        <w:t xml:space="preserve">    &lt;coverage&gt;</w:t>
        <w:br/>
        <w:t xml:space="preserve">      &lt;runCoverage&gt;true&lt;/runCoverage&gt;</w:t>
        <w:br/>
        <w:t xml:space="preserve">      &lt;failBuild&gt;true&lt;/failBuild&gt;</w:t>
        <w:br/>
        <w:t xml:space="preserve">      &lt;requiredApplicationCoverage&gt;75&lt;/requiredApplicationCoverage&gt;</w:t>
        <w:br/>
        <w:t xml:space="preserve">      &lt;requiredResourceCoverage&gt;50&lt;/requiredResourceCoverage&gt;</w:t>
        <w:br/>
        <w:t xml:space="preserve">      &lt;requiredFlowCoverage&gt;50&lt;/requiredFlowCoverage&gt;</w:t>
        <w:br/>
        <w:t xml:space="preserve">      &lt;formats&gt;</w:t>
        <w:br/>
        <w:t xml:space="preserve">        &lt;format&gt;console&lt;/format&gt;</w:t>
        <w:br/>
        <w:t xml:space="preserve">        &lt;format&gt;html&lt;/format&gt;</w:t>
        <w:br/>
        <w:t xml:space="preserve">        &lt;format&gt;json&lt;/format&gt;</w:t>
        <w:br/>
        <w:t xml:space="preserve">        &lt;format&gt;sonar&lt;/format&gt;</w:t>
        <w:br/>
        <w:t xml:space="preserve">      &lt;/formats&gt;</w:t>
        <w:br/>
        <w:t xml:space="preserve">      &lt;ignoreFiles&gt;</w:t>
        <w:br/>
        <w:t xml:space="preserve">        &lt;ignoreFile&gt;global.xml&lt;/ignoreFile&gt;</w:t>
        <w:br/>
        <w:t xml:space="preserve">      &lt;/ignoreFiles&gt;</w:t>
        <w:br/>
        <w:t xml:space="preserve">    &lt;/coverage&gt;</w:t>
        <w:br/>
        <w:t xml:space="preserve">  &lt;/configuration&gt;</w:t>
        <w:br/>
        <w:t xml:space="preserve">&lt;/plugin&gt;</w:t>
      </w:r>
    </w:p>
    <w:p>
      <w:pPr/>
      <w:r>
        <w:rPr>
          <w:b/>
        </w:rPr>
        <w:t xml:space="preserve">Rules</w:t>
      </w:r>
    </w:p>
    <w:p>
      <w:pPr>
        <w:pStyle w:val="ListParagraph"/>
        <w:numPr>
          <w:ilvl w:val="0"/>
          <w:numId w:val="19"/>
        </w:numPr>
      </w:pPr>
      <w:r>
        <w:t xml:space="preserve">Thresholds and </w:t>
      </w:r>
      <w:r>
        <w:rPr>
          <w:rStyle w:val="CodeChar"/>
        </w:rPr>
        <w:t xml:space="preserve">failBuild=true</w:t>
      </w:r>
      <w:r>
        <w:t xml:space="preserve"> live in the parent POM. A child POM may raise a threshold, never lower it (see the exception below). A level left undefined defaults to −1 in MUnit, meaning no requirement, so all three are always set. </w:t>
      </w:r>
      <w:r>
        <w:rPr>
          <w:i/>
        </w:rPr>
        <w:t xml:space="preserve">Blocking.</w:t>
      </w:r>
    </w:p>
    <w:p>
      <w:pPr>
        <w:pStyle w:val="ListParagraph"/>
        <w:numPr>
          <w:ilvl w:val="0"/>
          <w:numId w:val="19"/>
        </w:numPr>
      </w:pPr>
      <w:r>
        <w:t xml:space="preserve">MUnit's </w:t>
      </w:r>
      <w:r>
        <w:rPr>
          <w:rStyle w:val="CodeChar"/>
        </w:rPr>
        <w:t xml:space="preserve">ignoreFiles</w:t>
      </w:r>
      <w:r>
        <w:t xml:space="preserve"> and </w:t>
      </w:r>
      <w:r>
        <w:rPr>
          <w:rStyle w:val="CodeChar"/>
        </w:rPr>
        <w:t xml:space="preserve">ignoreFlows</w:t>
      </w:r>
      <w:r>
        <w:t xml:space="preserve"> remove a file or flow from the metric entirely, so they are used sparingly: the only default exclusion is </w:t>
      </w:r>
      <w:r>
        <w:rPr>
          <w:rStyle w:val="CodeChar"/>
        </w:rPr>
        <w:t xml:space="preserve">global.xml</w:t>
      </w:r>
      <w:r>
        <w:t xml:space="preserve">, the console flow may be added to </w:t>
      </w:r>
      <w:r>
        <w:rPr>
          <w:rStyle w:val="CodeChar"/>
        </w:rPr>
        <w:t xml:space="preserve">ignoreFlows</w:t>
      </w:r>
      <w:r>
        <w:t xml:space="preserve">, and any other exclusion needs a justification comment beside it in the POM and reviewer approval. Generated APIkit flows are never excluded; the API-level tests cover them (org). </w:t>
      </w:r>
      <w:r>
        <w:rPr>
          <w:i/>
        </w:rPr>
        <w:t xml:space="preserve">Blocking.</w:t>
      </w:r>
    </w:p>
    <w:p>
      <w:pPr>
        <w:pStyle w:val="ListParagraph"/>
        <w:numPr>
          <w:ilvl w:val="0"/>
          <w:numId w:val="19"/>
        </w:numPr>
      </w:pPr>
      <w:r>
        <w:t xml:space="preserve">Coverage runs in the same pipeline stage as </w:t>
      </w:r>
      <w:r>
        <w:rPr>
          <w:rStyle w:val="CodeChar"/>
        </w:rPr>
        <w:t xml:space="preserve">mvn test</w:t>
      </w:r>
      <w:r>
        <w:t xml:space="preserve">, on every pull request and on every </w:t>
      </w:r>
      <w:r>
        <w:rPr>
          <w:rStyle w:val="CodeChar"/>
        </w:rPr>
        <w:t xml:space="preserve">main</w:t>
      </w:r>
      <w:r>
        <w:t xml:space="preserve"> and release build. </w:t>
      </w:r>
      <w:r>
        <w:rPr>
          <w:rStyle w:val="CodeChar"/>
        </w:rPr>
        <w:t xml:space="preserve">failBuild=false</w:t>
      </w:r>
      <w:r>
        <w:t xml:space="preserve"> only prints a warning, so it is never used on those branches, and neither are </w:t>
      </w:r>
      <w:r>
        <w:rPr>
          <w:rStyle w:val="CodeChar"/>
        </w:rPr>
        <w:t xml:space="preserve">-DskipTests</w:t>
      </w:r>
      <w:r>
        <w:t xml:space="preserve"> or </w:t>
      </w:r>
      <w:r>
        <w:rPr>
          <w:rStyle w:val="CodeChar"/>
        </w:rPr>
        <w:t xml:space="preserve">-DskipMunitTests</w:t>
      </w:r>
      <w:r>
        <w:t xml:space="preserve">. </w:t>
      </w:r>
      <w:r>
        <w:rPr>
          <w:i/>
        </w:rPr>
        <w:t xml:space="preserve">Blocking.</w:t>
      </w:r>
    </w:p>
    <w:p>
      <w:pPr>
        <w:pStyle w:val="ListParagraph"/>
        <w:numPr>
          <w:ilvl w:val="0"/>
          <w:numId w:val="19"/>
        </w:numPr>
      </w:pPr>
      <w:r>
        <w:t xml:space="preserve">Coverage is a floor, not a target. A new or changed flow needs tests for its success path and every error branch whatever the percentage says, and a reviewer rejects padding: tests with no assertions, one test that calls every flow, or assertions on </w:t>
      </w:r>
      <w:r>
        <w:rPr>
          <w:rStyle w:val="CodeChar"/>
        </w:rPr>
        <w:t xml:space="preserve">true</w:t>
      </w:r>
      <w:r>
        <w:t xml:space="preserve">. </w:t>
      </w:r>
      <w:r>
        <w:rPr>
          <w:i/>
        </w:rPr>
        <w:t xml:space="preserve">Blocking.</w:t>
      </w:r>
    </w:p>
    <w:p>
      <w:pPr>
        <w:pStyle w:val="ListParagraph"/>
        <w:numPr>
          <w:ilvl w:val="0"/>
          <w:numId w:val="19"/>
        </w:numPr>
      </w:pPr>
      <w:r>
        <w:t xml:space="preserve">A pull request that lowers application coverage is flagged; the author adds tests or records why. </w:t>
      </w:r>
      <w:r>
        <w:rPr>
          <w:i/>
        </w:rPr>
        <w:t xml:space="preserve">Advisory.</w:t>
      </w:r>
    </w:p>
    <w:p>
      <w:pPr>
        <w:pStyle w:val="ListParagraph"/>
        <w:numPr>
          <w:ilvl w:val="0"/>
          <w:numId w:val="19"/>
        </w:numPr>
      </w:pPr>
      <w:r>
        <w:t xml:space="preserve">The console, HTML, JSON and Sonar reports under </w:t>
      </w:r>
      <w:r>
        <w:rPr>
          <w:rStyle w:val="CodeChar"/>
        </w:rPr>
        <w:t xml:space="preserve">target/site/munit/coverage/</w:t>
      </w:r>
      <w:r>
        <w:t xml:space="preserve"> are published as pipeline artifacts for every run; the Sonar format feeds the quality dashboard. </w:t>
      </w:r>
      <w:r>
        <w:rPr>
          <w:i/>
        </w:rPr>
        <w:t xml:space="preserve">Advisory.</w:t>
      </w:r>
    </w:p>
    <w:p>
      <w:pPr>
        <w:pStyle w:val="ListParagraph"/>
        <w:numPr>
          <w:ilvl w:val="0"/>
          <w:numId w:val="19"/>
        </w:numPr>
      </w:pPr>
      <w:r>
        <w:rPr>
          <w:b/>
        </w:rPr>
        <w:t xml:space="preserve">Legacy exception (org).</w:t>
      </w:r>
      <w:r>
        <w:t xml:space="preserve"> An application inherited below the thresholds may set lower values in its child POM only with a comment of the form </w:t>
      </w:r>
      <w:r>
        <w:rPr>
          <w:rStyle w:val="CodeChar"/>
        </w:rPr>
        <w:t xml:space="preserve">coverage-exception: &lt;ticket&gt;, until &lt;date&gt;</w:t>
      </w:r>
      <w:r>
        <w:t xml:space="preserve">, a remediation ticket, and a plan that raises each threshold by at least 5 points per quarter until it meets the standard. </w:t>
      </w:r>
      <w:r>
        <w:rPr>
          <w:i/>
        </w:rPr>
        <w:t xml:space="preserve">Blocking.</w:t>
      </w:r>
    </w:p>
    <w:p>
      <w:pPr>
        <w:pStyle w:val="Heading2"/>
      </w:pPr>
      <w:r>
        <w:t xml:space="preserve">Review rules</w:t>
      </w:r>
    </w:p>
    <w:p>
      <w:pPr/>
      <w:r>
        <w:t xml:space="preserve">A pull request merges only when CI is green, one reviewer who did not write the code approves, and every Blocking finding is fixed; Advisory findings are fixed or answered in the thread.</w:t>
      </w:r>
    </w:p>
    <w:p>
      <w:pPr/>
      <w:r>
        <w:rPr>
          <w:b/>
        </w:rPr>
        <w:t xml:space="preserve">Process</w:t>
      </w:r>
    </w:p>
    <w:p>
      <w:pPr>
        <w:pStyle w:val="ListParagraph"/>
        <w:numPr>
          <w:ilvl w:val="0"/>
          <w:numId w:val="20"/>
        </w:numPr>
      </w:pPr>
      <w:r>
        <w:rPr>
          <w:rStyle w:val="CodeChar"/>
        </w:rPr>
        <w:t xml:space="preserve">main</w:t>
      </w:r>
      <w:r>
        <w:t xml:space="preserve"> and </w:t>
      </w:r>
      <w:r>
        <w:rPr>
          <w:rStyle w:val="CodeChar"/>
        </w:rPr>
        <w:t xml:space="preserve">release/*</w:t>
      </w:r>
      <w:r>
        <w:t xml:space="preserve"> are protected: changes arrive only by pull request, with at least one approval from someone other than the author (two for a </w:t>
      </w:r>
      <w:r>
        <w:rPr>
          <w:rStyle w:val="CodeChar"/>
        </w:rPr>
        <w:t xml:space="preserve">hotfix/*</w:t>
      </w:r>
      <w:r>
        <w:t xml:space="preserve"> heading to </w:t>
      </w:r>
      <w:r>
        <w:rPr>
          <w:rStyle w:val="CodeChar"/>
        </w:rPr>
        <w:t xml:space="preserve">prod</w:t>
      </w:r>
      <w:r>
        <w:t xml:space="preserve">). </w:t>
      </w:r>
      <w:r>
        <w:rPr>
          <w:i/>
        </w:rPr>
        <w:t xml:space="preserve">Blocking.</w:t>
      </w:r>
    </w:p>
    <w:p>
      <w:pPr>
        <w:pStyle w:val="ListParagraph"/>
        <w:numPr>
          <w:ilvl w:val="0"/>
          <w:numId w:val="20"/>
        </w:numPr>
      </w:pPr>
      <w:r>
        <w:t xml:space="preserve">CI — build, MUnit, coverage, secret scan, static checks — passes before a reviewer starts; reviewers do not review red pull requests. </w:t>
      </w:r>
      <w:r>
        <w:rPr>
          <w:i/>
        </w:rPr>
        <w:t xml:space="preserve">Blocking.</w:t>
      </w:r>
    </w:p>
    <w:p>
      <w:pPr>
        <w:pStyle w:val="ListParagraph"/>
        <w:numPr>
          <w:ilvl w:val="0"/>
          <w:numId w:val="20"/>
        </w:numPr>
      </w:pPr>
      <w:r>
        <w:t xml:space="preserve">Automated checks run first and comment on the pull request; the human review spends its time on design, spec conformance, error handling and the quality of the tests. </w:t>
      </w:r>
      <w:r>
        <w:rPr>
          <w:i/>
        </w:rPr>
        <w:t xml:space="preserve">Advisory.</w:t>
      </w:r>
    </w:p>
    <w:p>
      <w:pPr>
        <w:pStyle w:val="ListParagraph"/>
        <w:numPr>
          <w:ilvl w:val="0"/>
          <w:numId w:val="20"/>
        </w:numPr>
      </w:pPr>
      <w:r>
        <w:t xml:space="preserve">Each finding is prefixed </w:t>
      </w:r>
      <w:r>
        <w:rPr>
          <w:rStyle w:val="CodeChar"/>
        </w:rPr>
        <w:t xml:space="preserve">[Blocking]</w:t>
      </w:r>
      <w:r>
        <w:t xml:space="preserve"> or </w:t>
      </w:r>
      <w:r>
        <w:rPr>
          <w:rStyle w:val="CodeChar"/>
        </w:rPr>
        <w:t xml:space="preserve">[Advisory]</w:t>
      </w:r>
      <w:r>
        <w:t xml:space="preserve">. A Blocking finding is closed only by a code change; an Advisory finding may be closed by a reason in the thread. A reviewer cannot downgrade a Blocking rule; exceptions are granted by the architecture group and recorded in the pull request. </w:t>
      </w:r>
      <w:r>
        <w:rPr>
          <w:i/>
        </w:rPr>
        <w:t xml:space="preserve">Blocking.</w:t>
      </w:r>
    </w:p>
    <w:p>
      <w:pPr>
        <w:pStyle w:val="ListParagraph"/>
        <w:numPr>
          <w:ilvl w:val="0"/>
          <w:numId w:val="20"/>
        </w:numPr>
      </w:pPr>
      <w:r>
        <w:t xml:space="preserve">First review response within one business day; the author resolves every thread before requesting re-review. </w:t>
      </w:r>
      <w:r>
        <w:rPr>
          <w:i/>
        </w:rPr>
        <w:t xml:space="preserve">Advisory.</w:t>
      </w:r>
    </w:p>
    <w:p>
      <w:pPr>
        <w:pStyle w:val="ListParagraph"/>
        <w:numPr>
          <w:ilvl w:val="0"/>
          <w:numId w:val="20"/>
        </w:numPr>
      </w:pPr>
      <w:r>
        <w:t xml:space="preserve">A pull request changes at most about 400 lines excluding generated files and test data; larger changes are split. </w:t>
      </w:r>
      <w:r>
        <w:rPr>
          <w:i/>
        </w:rPr>
        <w:t xml:space="preserve">Advisory.</w:t>
      </w:r>
    </w:p>
    <w:p>
      <w:pPr>
        <w:pStyle w:val="ListParagraph"/>
        <w:numPr>
          <w:ilvl w:val="0"/>
          <w:numId w:val="20"/>
        </w:numPr>
      </w:pPr>
      <w:r>
        <w:t xml:space="preserve">A merge to </w:t>
      </w:r>
      <w:r>
        <w:rPr>
          <w:rStyle w:val="CodeChar"/>
        </w:rPr>
        <w:t xml:space="preserve">main</w:t>
      </w:r>
      <w:r>
        <w:t xml:space="preserve"> bumps the version and adds a changelog entry. </w:t>
      </w:r>
      <w:r>
        <w:rPr>
          <w:i/>
        </w:rPr>
        <w:t xml:space="preserve">Blocking.</w:t>
      </w:r>
    </w:p>
    <w:p>
      <w:pPr/>
      <w:r>
        <w:rPr>
          <w:b/>
        </w:rPr>
        <w:t xml:space="preserve">Checklist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Check</w:t>
            </w:r>
          </w:p>
        </w:tc>
        <w:tc>
          <w:tcPr>
            <w:tcW w:w="2340" w:type="dxa"/>
            <w:shd w:val="clear" w:color="auto" w:fill="F2F2F2"/>
          </w:tcPr>
          <w:p>
            <w:pPr/>
            <w:r>
              <w:t xml:space="preserve">Severity</w:t>
            </w:r>
          </w:p>
        </w:tc>
        <w:tc>
          <w:tcPr>
            <w:tcW w:w="2340" w:type="dxa"/>
            <w:shd w:val="clear" w:color="auto" w:fill="F2F2F2"/>
          </w:tcPr>
          <w:p>
            <w:pPr/>
            <w:r>
              <w:t xml:space="preserve">Verified by</w:t>
            </w:r>
          </w:p>
        </w:tc>
      </w:tr>
      <w:tr>
        <w:tc>
          <w:tcPr>
            <w:tcW w:w="2340" w:type="dxa"/>
          </w:tcPr>
          <w:p>
            <w:pPr/>
            <w:r>
              <w:t xml:space="preserve">1</w:t>
            </w:r>
          </w:p>
        </w:tc>
        <w:tc>
          <w:tcPr>
            <w:tcW w:w="2340" w:type="dxa"/>
          </w:tcPr>
          <w:p>
            <w:pPr/>
            <w:r>
              <w:t xml:space="preserve">Repository, </w:t>
            </w:r>
            <w:r>
              <w:rPr>
                <w:rStyle w:val="CodeChar"/>
              </w:rPr>
              <w:t xml:space="preserve">artifactId</w:t>
            </w:r>
            <w:r>
              <w:t xml:space="preserve">, flows, configurations, properties and DataWeave files follow the naming section</w:t>
            </w:r>
          </w:p>
        </w:tc>
        <w:tc>
          <w:tcPr>
            <w:tcW w:w="2340" w:type="dxa"/>
          </w:tcPr>
          <w:p>
            <w:pPr/>
            <w:r>
              <w:t xml:space="preserve">Blocking</w:t>
            </w:r>
          </w:p>
        </w:tc>
        <w:tc>
          <w:tcPr>
            <w:tcW w:w="2340" w:type="dxa"/>
          </w:tcPr>
          <w:p>
            <w:pPr/>
            <w:r>
              <w:t xml:space="preserve">CI lint, reviewer</w:t>
            </w:r>
          </w:p>
        </w:tc>
      </w:tr>
      <w:tr>
        <w:tc>
          <w:tcPr>
            <w:tcW w:w="2340" w:type="dxa"/>
          </w:tcPr>
          <w:p>
            <w:pPr/>
            <w:r>
              <w:t xml:space="preserve">2</w:t>
            </w:r>
          </w:p>
        </w:tc>
        <w:tc>
          <w:tcPr>
            <w:tcW w:w="2340" w:type="dxa"/>
          </w:tcPr>
          <w:p>
            <w:pPr/>
            <w:r>
              <w:t xml:space="preserve">No environment token inside an </w:t>
            </w:r>
            <w:r>
              <w:rPr>
                <w:rStyle w:val="CodeChar"/>
              </w:rPr>
              <w:t xml:space="preserve">artifactId</w:t>
            </w:r>
            <w:r>
              <w:t xml:space="preserve"> or Exchange asset name</w:t>
            </w:r>
          </w:p>
        </w:tc>
        <w:tc>
          <w:tcPr>
            <w:tcW w:w="2340" w:type="dxa"/>
          </w:tcPr>
          <w:p>
            <w:pPr/>
            <w:r>
              <w:t xml:space="preserve">Blocking</w:t>
            </w:r>
          </w:p>
        </w:tc>
        <w:tc>
          <w:tcPr>
            <w:tcW w:w="2340" w:type="dxa"/>
          </w:tcPr>
          <w:p>
            <w:pPr/>
            <w:r>
              <w:t xml:space="preserve">CI</w:t>
            </w:r>
          </w:p>
        </w:tc>
      </w:tr>
      <w:tr>
        <w:tc>
          <w:tcPr>
            <w:tcW w:w="2340" w:type="dxa"/>
          </w:tcPr>
          <w:p>
            <w:pPr/>
            <w:r>
              <w:t xml:space="preserve">3</w:t>
            </w:r>
          </w:p>
        </w:tc>
        <w:tc>
          <w:tcPr>
            <w:tcW w:w="2340" w:type="dxa"/>
          </w:tcPr>
          <w:p>
            <w:pPr/>
            <w:r>
              <w:t xml:space="preserve">Child POM holds no plugin versions, repositories, credentials or environment profiles, and inherits the current parent</w:t>
            </w:r>
          </w:p>
        </w:tc>
        <w:tc>
          <w:tcPr>
            <w:tcW w:w="2340" w:type="dxa"/>
          </w:tcPr>
          <w:p>
            <w:pPr/>
            <w:r>
              <w:t xml:space="preserve">Blocking</w:t>
            </w:r>
          </w:p>
        </w:tc>
        <w:tc>
          <w:tcPr>
            <w:tcW w:w="2340" w:type="dxa"/>
          </w:tcPr>
          <w:p>
            <w:pPr/>
            <w:r>
              <w:t xml:space="preserve">CI</w:t>
            </w:r>
          </w:p>
        </w:tc>
      </w:tr>
      <w:tr>
        <w:tc>
          <w:tcPr>
            <w:tcW w:w="2340" w:type="dxa"/>
          </w:tcPr>
          <w:p>
            <w:pPr/>
            <w:r>
              <w:t xml:space="preserve">4</w:t>
            </w:r>
          </w:p>
        </w:tc>
        <w:tc>
          <w:tcPr>
            <w:tcW w:w="2340" w:type="dxa"/>
          </w:tcPr>
          <w:p>
            <w:pPr/>
            <w:r>
              <w:t xml:space="preserve">Runtime and Java match the approved LTS; </w:t>
            </w:r>
            <w:r>
              <w:rPr>
                <w:rStyle w:val="CodeChar"/>
              </w:rPr>
              <w:t xml:space="preserve">minMuleVersion</w:t>
            </w:r>
            <w:r>
              <w:t xml:space="preserve"> and </w:t>
            </w:r>
            <w:r>
              <w:rPr>
                <w:rStyle w:val="CodeChar"/>
              </w:rPr>
              <w:t xml:space="preserve">javaSpecificationVersions</w:t>
            </w:r>
            <w:r>
              <w:t xml:space="preserve"> agree</w:t>
            </w:r>
          </w:p>
        </w:tc>
        <w:tc>
          <w:tcPr>
            <w:tcW w:w="2340" w:type="dxa"/>
          </w:tcPr>
          <w:p>
            <w:pPr/>
            <w:r>
              <w:t xml:space="preserve">Blocking</w:t>
            </w:r>
          </w:p>
        </w:tc>
        <w:tc>
          <w:tcPr>
            <w:tcW w:w="2340" w:type="dxa"/>
          </w:tcPr>
          <w:p>
            <w:pPr/>
            <w:r>
              <w:t xml:space="preserve">CI</w:t>
            </w:r>
          </w:p>
        </w:tc>
      </w:tr>
      <w:tr>
        <w:tc>
          <w:tcPr>
            <w:tcW w:w="2340" w:type="dxa"/>
          </w:tcPr>
          <w:p>
            <w:pPr/>
            <w:r>
              <w:t xml:space="preserve">5</w:t>
            </w:r>
          </w:p>
        </w:tc>
        <w:tc>
          <w:tcPr>
            <w:tcW w:w="2340" w:type="dxa"/>
          </w:tcPr>
          <w:p>
            <w:pPr/>
            <w:r>
              <w:t xml:space="preserve">Semantic version; no </w:t>
            </w:r>
            <w:r>
              <w:rPr>
                <w:rStyle w:val="CodeChar"/>
              </w:rPr>
              <w:t xml:space="preserve">-SNAPSHOT</w:t>
            </w:r>
            <w:r>
              <w:t xml:space="preserve"> on </w:t>
            </w:r>
            <w:r>
              <w:rPr>
                <w:rStyle w:val="CodeChar"/>
              </w:rPr>
              <w:t xml:space="preserve">main</w:t>
            </w:r>
            <w:r>
              <w:t xml:space="preserve"> or </w:t>
            </w:r>
            <w:r>
              <w:rPr>
                <w:rStyle w:val="CodeChar"/>
              </w:rPr>
              <w:t xml:space="preserve">release/*</w:t>
            </w:r>
          </w:p>
        </w:tc>
        <w:tc>
          <w:tcPr>
            <w:tcW w:w="2340" w:type="dxa"/>
          </w:tcPr>
          <w:p>
            <w:pPr/>
            <w:r>
              <w:t xml:space="preserve">Blocking</w:t>
            </w:r>
          </w:p>
        </w:tc>
        <w:tc>
          <w:tcPr>
            <w:tcW w:w="2340" w:type="dxa"/>
          </w:tcPr>
          <w:p>
            <w:pPr/>
            <w:r>
              <w:t xml:space="preserve">CI</w:t>
            </w:r>
          </w:p>
        </w:tc>
      </w:tr>
      <w:tr>
        <w:tc>
          <w:tcPr>
            <w:tcW w:w="2340" w:type="dxa"/>
          </w:tcPr>
          <w:p>
            <w:pPr/>
            <w:r>
              <w:t xml:space="preserve">6</w:t>
            </w:r>
          </w:p>
        </w:tc>
        <w:tc>
          <w:tcPr>
            <w:tcW w:w="2340" w:type="dxa"/>
          </w:tcPr>
          <w:p>
            <w:pPr/>
            <w:r>
              <w:t xml:space="preserve">Every dependency exact-versioned from Exchange; the API spec consumed as a dependency, not copied</w:t>
            </w:r>
          </w:p>
        </w:tc>
        <w:tc>
          <w:tcPr>
            <w:tcW w:w="2340" w:type="dxa"/>
          </w:tcPr>
          <w:p>
            <w:pPr/>
            <w:r>
              <w:t xml:space="preserve">Blocking</w:t>
            </w:r>
          </w:p>
        </w:tc>
        <w:tc>
          <w:tcPr>
            <w:tcW w:w="2340" w:type="dxa"/>
          </w:tcPr>
          <w:p>
            <w:pPr/>
            <w:r>
              <w:t xml:space="preserve">CI</w:t>
            </w:r>
          </w:p>
        </w:tc>
      </w:tr>
      <w:tr>
        <w:tc>
          <w:tcPr>
            <w:tcW w:w="2340" w:type="dxa"/>
          </w:tcPr>
          <w:p>
            <w:pPr/>
            <w:r>
              <w:t xml:space="preserve">7</w:t>
            </w:r>
          </w:p>
        </w:tc>
        <w:tc>
          <w:tcPr>
            <w:tcW w:w="2340" w:type="dxa"/>
          </w:tcPr>
          <w:p>
            <w:pPr/>
            <w:r>
              <w:t xml:space="preserve">Spec published to Exchange at the referenced version; generated flows unchanged and delegating only</w:t>
            </w:r>
          </w:p>
        </w:tc>
        <w:tc>
          <w:tcPr>
            <w:tcW w:w="2340" w:type="dxa"/>
          </w:tcPr>
          <w:p>
            <w:pPr/>
            <w:r>
              <w:t xml:space="preserve">Blocking</w:t>
            </w:r>
          </w:p>
        </w:tc>
        <w:tc>
          <w:tcPr>
            <w:tcW w:w="2340" w:type="dxa"/>
          </w:tcPr>
          <w:p>
            <w:pPr/>
            <w:r>
              <w:t xml:space="preserve">Reviewer</w:t>
            </w:r>
          </w:p>
        </w:tc>
      </w:tr>
      <w:tr>
        <w:tc>
          <w:tcPr>
            <w:tcW w:w="2340" w:type="dxa"/>
          </w:tcPr>
          <w:p>
            <w:pPr/>
            <w:r>
              <w:t xml:space="preserve">8</w:t>
            </w:r>
          </w:p>
        </w:tc>
        <w:tc>
          <w:tcPr>
            <w:tcW w:w="2340" w:type="dxa"/>
          </w:tcPr>
          <w:p>
            <w:pPr/>
            <w:r>
              <w:t xml:space="preserve">Request validation on; console </w:t>
            </w:r>
            <w:r>
              <w:rPr>
                <w:rStyle w:val="CodeChar"/>
              </w:rPr>
              <w:t xml:space="preserve">initialState</w:t>
            </w:r>
            <w:r>
              <w:t xml:space="preserve"> from a property; autodiscovery with </w:t>
            </w:r>
            <w:r>
              <w:rPr>
                <w:rStyle w:val="CodeChar"/>
              </w:rPr>
              <w:t xml:space="preserve">${api.id}</w:t>
            </w:r>
          </w:p>
        </w:tc>
        <w:tc>
          <w:tcPr>
            <w:tcW w:w="2340" w:type="dxa"/>
          </w:tcPr>
          <w:p>
            <w:pPr/>
            <w:r>
              <w:t xml:space="preserve">Blocking</w:t>
            </w:r>
          </w:p>
        </w:tc>
        <w:tc>
          <w:tcPr>
            <w:tcW w:w="2340" w:type="dxa"/>
          </w:tcPr>
          <w:p>
            <w:pPr/>
            <w:r>
              <w:t xml:space="preserve">CI lint, reviewer</w:t>
            </w:r>
          </w:p>
        </w:tc>
      </w:tr>
      <w:tr>
        <w:tc>
          <w:tcPr>
            <w:tcW w:w="2340" w:type="dxa"/>
          </w:tcPr>
          <w:p>
            <w:pPr/>
            <w:r>
              <w:t xml:space="preserve">9</w:t>
            </w:r>
          </w:p>
        </w:tc>
        <w:tc>
          <w:tcPr>
            <w:tcW w:w="2340" w:type="dxa"/>
          </w:tcPr>
          <w:p>
            <w:pPr/>
            <w:r>
              <w:t xml:space="preserve">Property key sets identical across the per-environment override sets and across secure files (org)</w:t>
            </w:r>
          </w:p>
        </w:tc>
        <w:tc>
          <w:tcPr>
            <w:tcW w:w="2340" w:type="dxa"/>
          </w:tcPr>
          <w:p>
            <w:pPr/>
            <w:r>
              <w:t xml:space="preserve">Blocking</w:t>
            </w:r>
          </w:p>
        </w:tc>
        <w:tc>
          <w:tcPr>
            <w:tcW w:w="2340" w:type="dxa"/>
          </w:tcPr>
          <w:p>
            <w:pPr/>
            <w:r>
              <w:t xml:space="preserve">CI</w:t>
            </w:r>
          </w:p>
        </w:tc>
      </w:tr>
      <w:tr>
        <w:tc>
          <w:tcPr>
            <w:tcW w:w="2340" w:type="dxa"/>
          </w:tcPr>
          <w:p>
            <w:pPr/>
            <w:r>
              <w:t xml:space="preserve">10</w:t>
            </w:r>
          </w:p>
        </w:tc>
        <w:tc>
          <w:tcPr>
            <w:tcW w:w="2340" w:type="dxa"/>
          </w:tcPr>
          <w:p>
            <w:pPr/>
            <w:r>
              <w:t xml:space="preserve">No hard-coded hosts, ports, credentials, timeouts or queue names in XML or DataWeave</w:t>
            </w:r>
          </w:p>
        </w:tc>
        <w:tc>
          <w:tcPr>
            <w:tcW w:w="2340" w:type="dxa"/>
          </w:tcPr>
          <w:p>
            <w:pPr/>
            <w:r>
              <w:t xml:space="preserve">Blocking</w:t>
            </w:r>
          </w:p>
        </w:tc>
        <w:tc>
          <w:tcPr>
            <w:tcW w:w="2340" w:type="dxa"/>
          </w:tcPr>
          <w:p>
            <w:pPr/>
            <w:r>
              <w:t xml:space="preserve">CI lint</w:t>
            </w:r>
          </w:p>
        </w:tc>
      </w:tr>
      <w:tr>
        <w:tc>
          <w:tcPr>
            <w:tcW w:w="2340" w:type="dxa"/>
          </w:tcPr>
          <w:p>
            <w:pPr/>
            <w:r>
              <w:t xml:space="preserve">11</w:t>
            </w:r>
          </w:p>
        </w:tc>
        <w:tc>
          <w:tcPr>
            <w:tcW w:w="2340" w:type="dxa"/>
          </w:tcPr>
          <w:p>
            <w:pPr/>
            <w:r>
              <w:t xml:space="preserve">Secret scan clean: no plaintext secrets, private keys, </w:t>
            </w:r>
            <w:r>
              <w:rPr>
                <w:rStyle w:val="CodeChar"/>
              </w:rPr>
              <w:t xml:space="preserve">uat</w:t>
            </w:r>
            <w:r>
              <w:t xml:space="preserve">/</w:t>
            </w:r>
            <w:r>
              <w:rPr>
                <w:rStyle w:val="CodeChar"/>
              </w:rPr>
              <w:t xml:space="preserve">prod</w:t>
            </w:r>
            <w:r>
              <w:t xml:space="preserve"> keystores or </w:t>
            </w:r>
            <w:r>
              <w:rPr>
                <w:rStyle w:val="CodeChar"/>
              </w:rPr>
              <w:t xml:space="preserve">settings.xml</w:t>
            </w:r>
          </w:p>
        </w:tc>
        <w:tc>
          <w:tcPr>
            <w:tcW w:w="2340" w:type="dxa"/>
          </w:tcPr>
          <w:p>
            <w:pPr/>
            <w:r>
              <w:t xml:space="preserve">Blocking</w:t>
            </w:r>
          </w:p>
        </w:tc>
        <w:tc>
          <w:tcPr>
            <w:tcW w:w="2340" w:type="dxa"/>
          </w:tcPr>
          <w:p>
            <w:pPr/>
            <w:r>
              <w:t xml:space="preserve">CI</w:t>
            </w:r>
          </w:p>
        </w:tc>
      </w:tr>
      <w:tr>
        <w:tc>
          <w:tcPr>
            <w:tcW w:w="2340" w:type="dxa"/>
          </w:tcPr>
          <w:p>
            <w:pPr/>
            <w:r>
              <w:t xml:space="preserve">12</w:t>
            </w:r>
          </w:p>
        </w:tc>
        <w:tc>
          <w:tcPr>
            <w:tcW w:w="2340" w:type="dxa"/>
          </w:tcPr>
          <w:p>
            <w:pPr/>
            <w:r>
              <w:rPr>
                <w:rStyle w:val="CodeChar"/>
              </w:rPr>
              <w:t xml:space="preserve">secureProperties</w:t>
            </w:r>
            <w:r>
              <w:t xml:space="preserve"> in </w:t>
            </w:r>
            <w:r>
              <w:rPr>
                <w:rStyle w:val="CodeChar"/>
              </w:rPr>
              <w:t xml:space="preserve">mule-artifact.json</w:t>
            </w:r>
            <w:r>
              <w:t xml:space="preserve"> lists every secret key</w:t>
            </w:r>
          </w:p>
        </w:tc>
        <w:tc>
          <w:tcPr>
            <w:tcW w:w="2340" w:type="dxa"/>
          </w:tcPr>
          <w:p>
            <w:pPr/>
            <w:r>
              <w:t xml:space="preserve">Blocking</w:t>
            </w:r>
          </w:p>
        </w:tc>
        <w:tc>
          <w:tcPr>
            <w:tcW w:w="2340" w:type="dxa"/>
          </w:tcPr>
          <w:p>
            <w:pPr/>
            <w:r>
              <w:t xml:space="preserve">Reviewer</w:t>
            </w:r>
          </w:p>
        </w:tc>
      </w:tr>
      <w:tr>
        <w:tc>
          <w:tcPr>
            <w:tcW w:w="2340" w:type="dxa"/>
          </w:tcPr>
          <w:p>
            <w:pPr/>
            <w:r>
              <w:t xml:space="preserve">13</w:t>
            </w:r>
          </w:p>
        </w:tc>
        <w:tc>
          <w:tcPr>
            <w:tcW w:w="2340" w:type="dxa"/>
          </w:tcPr>
          <w:p>
            <w:pPr/>
            <w:r>
              <w:t xml:space="preserve">Global error handler registered; no flow-level handlers outside </w:t>
            </w:r>
            <w:r>
              <w:rPr>
                <w:rStyle w:val="CodeChar"/>
              </w:rPr>
              <w:t xml:space="preserve">try</w:t>
            </w:r>
            <w:r>
              <w:t xml:space="preserve">; no </w:t>
            </w:r>
            <w:r>
              <w:rPr>
                <w:rStyle w:val="CodeChar"/>
              </w:rPr>
              <w:t xml:space="preserve">on-error-continue</w:t>
            </w:r>
            <w:r>
              <w:t xml:space="preserve"> on </w:t>
            </w:r>
            <w:r>
              <w:rPr>
                <w:rStyle w:val="CodeChar"/>
              </w:rPr>
              <w:t xml:space="preserve">ANY</w:t>
            </w:r>
          </w:p>
        </w:tc>
        <w:tc>
          <w:tcPr>
            <w:tcW w:w="2340" w:type="dxa"/>
          </w:tcPr>
          <w:p>
            <w:pPr/>
            <w:r>
              <w:t xml:space="preserve">Blocking</w:t>
            </w:r>
          </w:p>
        </w:tc>
        <w:tc>
          <w:tcPr>
            <w:tcW w:w="2340" w:type="dxa"/>
          </w:tcPr>
          <w:p>
            <w:pPr/>
            <w:r>
              <w:t xml:space="preserve">CI lint, reviewer</w:t>
            </w:r>
          </w:p>
        </w:tc>
      </w:tr>
      <w:tr>
        <w:tc>
          <w:tcPr>
            <w:tcW w:w="2340" w:type="dxa"/>
          </w:tcPr>
          <w:p>
            <w:pPr/>
            <w:r>
              <w:t xml:space="preserve">14</w:t>
            </w:r>
          </w:p>
        </w:tc>
        <w:tc>
          <w:tcPr>
            <w:tcW w:w="2340" w:type="dxa"/>
          </w:tcPr>
          <w:p>
            <w:pPr/>
            <w:r>
              <w:t xml:space="preserve">Every error reaches the consumer as the standard envelope with a safe message</w:t>
            </w:r>
          </w:p>
        </w:tc>
        <w:tc>
          <w:tcPr>
            <w:tcW w:w="2340" w:type="dxa"/>
          </w:tcPr>
          <w:p>
            <w:pPr/>
            <w:r>
              <w:t xml:space="preserve">Blocking</w:t>
            </w:r>
          </w:p>
        </w:tc>
        <w:tc>
          <w:tcPr>
            <w:tcW w:w="2340" w:type="dxa"/>
          </w:tcPr>
          <w:p>
            <w:pPr/>
            <w:r>
              <w:t xml:space="preserve">Reviewer, tests</w:t>
            </w:r>
          </w:p>
        </w:tc>
      </w:tr>
      <w:tr>
        <w:tc>
          <w:tcPr>
            <w:tcW w:w="2340" w:type="dxa"/>
          </w:tcPr>
          <w:p>
            <w:pPr/>
            <w:r>
              <w:t xml:space="preserve">15</w:t>
            </w:r>
          </w:p>
        </w:tc>
        <w:tc>
          <w:tcPr>
            <w:tcW w:w="2340" w:type="dxa"/>
          </w:tcPr>
          <w:p>
            <w:pPr/>
            <w:r>
              <w:t xml:space="preserve">Logging through the shared module; mandatory fields present; no payload or personal data at </w:t>
            </w:r>
            <w:r>
              <w:rPr>
                <w:rStyle w:val="CodeChar"/>
              </w:rPr>
              <w:t xml:space="preserve">INFO</w:t>
            </w:r>
            <w:r>
              <w:t xml:space="preserve">; correlation ID not overridden</w:t>
            </w:r>
          </w:p>
        </w:tc>
        <w:tc>
          <w:tcPr>
            <w:tcW w:w="2340" w:type="dxa"/>
          </w:tcPr>
          <w:p>
            <w:pPr/>
            <w:r>
              <w:t xml:space="preserve">Blocking</w:t>
            </w:r>
          </w:p>
        </w:tc>
        <w:tc>
          <w:tcPr>
            <w:tcW w:w="2340" w:type="dxa"/>
          </w:tcPr>
          <w:p>
            <w:pPr/>
            <w:r>
              <w:t xml:space="preserve">Reviewer</w:t>
            </w:r>
          </w:p>
        </w:tc>
      </w:tr>
      <w:tr>
        <w:tc>
          <w:tcPr>
            <w:tcW w:w="2340" w:type="dxa"/>
          </w:tcPr>
          <w:p>
            <w:pPr/>
            <w:r>
              <w:t xml:space="preserve">16</w:t>
            </w:r>
          </w:p>
        </w:tc>
        <w:tc>
          <w:tcPr>
            <w:tcW w:w="2340" w:type="dxa"/>
          </w:tcPr>
          <w:p>
            <w:pPr/>
            <w:r>
              <w:t xml:space="preserve">Connector configurations in </w:t>
            </w:r>
            <w:r>
              <w:rPr>
                <w:rStyle w:val="CodeChar"/>
              </w:rPr>
              <w:t xml:space="preserve">global.xml</w:t>
            </w:r>
            <w:r>
              <w:t xml:space="preserve"> with reconnection, timeouts and pooling from properties</w:t>
            </w:r>
          </w:p>
        </w:tc>
        <w:tc>
          <w:tcPr>
            <w:tcW w:w="2340" w:type="dxa"/>
          </w:tcPr>
          <w:p>
            <w:pPr/>
            <w:r>
              <w:t xml:space="preserve">Blocking</w:t>
            </w:r>
          </w:p>
        </w:tc>
        <w:tc>
          <w:tcPr>
            <w:tcW w:w="2340" w:type="dxa"/>
          </w:tcPr>
          <w:p>
            <w:pPr/>
            <w:r>
              <w:t xml:space="preserve">CI lint</w:t>
            </w:r>
          </w:p>
        </w:tc>
      </w:tr>
      <w:tr>
        <w:tc>
          <w:tcPr>
            <w:tcW w:w="2340" w:type="dxa"/>
          </w:tcPr>
          <w:p>
            <w:pPr/>
            <w:r>
              <w:t xml:space="preserve">17</w:t>
            </w:r>
          </w:p>
        </w:tc>
        <w:tc>
          <w:tcPr>
            <w:tcW w:w="2340" w:type="dxa"/>
          </w:tcPr>
          <w:p>
            <w:pPr/>
            <w:r>
              <w:t xml:space="preserve">Only approved connectors</w:t>
            </w:r>
          </w:p>
        </w:tc>
        <w:tc>
          <w:tcPr>
            <w:tcW w:w="2340" w:type="dxa"/>
          </w:tcPr>
          <w:p>
            <w:pPr/>
            <w:r>
              <w:t xml:space="preserve">Blocking</w:t>
            </w:r>
          </w:p>
        </w:tc>
        <w:tc>
          <w:tcPr>
            <w:tcW w:w="2340" w:type="dxa"/>
          </w:tcPr>
          <w:p>
            <w:pPr/>
            <w:r>
              <w:t xml:space="preserve">CI dependency allow-list</w:t>
            </w:r>
          </w:p>
        </w:tc>
      </w:tr>
      <w:tr>
        <w:tc>
          <w:tcPr>
            <w:tcW w:w="2340" w:type="dxa"/>
          </w:tcPr>
          <w:p>
            <w:pPr/>
            <w:r>
              <w:t xml:space="preserve">18</w:t>
            </w:r>
          </w:p>
        </w:tc>
        <w:tc>
          <w:tcPr>
            <w:tcW w:w="2340" w:type="dxa"/>
          </w:tcPr>
          <w:p>
            <w:pPr/>
            <w:r>
              <w:t xml:space="preserve">An MUnit suite per implementation file; new or changed flows have success and error tests; every external mocked</w:t>
            </w:r>
          </w:p>
        </w:tc>
        <w:tc>
          <w:tcPr>
            <w:tcW w:w="2340" w:type="dxa"/>
          </w:tcPr>
          <w:p>
            <w:pPr/>
            <w:r>
              <w:t xml:space="preserve">Blocking</w:t>
            </w:r>
          </w:p>
        </w:tc>
        <w:tc>
          <w:tcPr>
            <w:tcW w:w="2340" w:type="dxa"/>
          </w:tcPr>
          <w:p>
            <w:pPr/>
            <w:r>
              <w:t xml:space="preserve">Reviewer</w:t>
            </w:r>
          </w:p>
        </w:tc>
      </w:tr>
      <w:tr>
        <w:tc>
          <w:tcPr>
            <w:tcW w:w="2340" w:type="dxa"/>
          </w:tcPr>
          <w:p>
            <w:pPr/>
            <w:r>
              <w:t xml:space="preserve">19</w:t>
            </w:r>
          </w:p>
        </w:tc>
        <w:tc>
          <w:tcPr>
            <w:tcW w:w="2340" w:type="dxa"/>
          </w:tcPr>
          <w:p>
            <w:pPr/>
            <w:r>
              <w:t xml:space="preserve">Coverage thresholds met; no new exclusion without a justification comment</w:t>
            </w:r>
          </w:p>
        </w:tc>
        <w:tc>
          <w:tcPr>
            <w:tcW w:w="2340" w:type="dxa"/>
          </w:tcPr>
          <w:p>
            <w:pPr/>
            <w:r>
              <w:t xml:space="preserve">Blocking</w:t>
            </w:r>
          </w:p>
        </w:tc>
        <w:tc>
          <w:tcPr>
            <w:tcW w:w="2340" w:type="dxa"/>
          </w:tcPr>
          <w:p>
            <w:pPr/>
            <w:r>
              <w:t xml:space="preserve">CI</w:t>
            </w:r>
          </w:p>
        </w:tc>
      </w:tr>
      <w:tr>
        <w:tc>
          <w:tcPr>
            <w:tcW w:w="2340" w:type="dxa"/>
          </w:tcPr>
          <w:p>
            <w:pPr/>
            <w:r>
              <w:t xml:space="preserve">20</w:t>
            </w:r>
          </w:p>
        </w:tc>
        <w:tc>
          <w:tcPr>
            <w:tcW w:w="2340" w:type="dxa"/>
          </w:tcPr>
          <w:p>
            <w:pPr/>
            <w:r>
              <w:t xml:space="preserve">No ignored test without a ticket reference; no sleeps</w:t>
            </w:r>
          </w:p>
        </w:tc>
        <w:tc>
          <w:tcPr>
            <w:tcW w:w="2340" w:type="dxa"/>
          </w:tcPr>
          <w:p>
            <w:pPr/>
            <w:r>
              <w:t xml:space="preserve">Blocking</w:t>
            </w:r>
          </w:p>
        </w:tc>
        <w:tc>
          <w:tcPr>
            <w:tcW w:w="2340" w:type="dxa"/>
          </w:tcPr>
          <w:p>
            <w:pPr/>
            <w:r>
              <w:t xml:space="preserve">CI lint, reviewer</w:t>
            </w:r>
          </w:p>
        </w:tc>
      </w:tr>
      <w:tr>
        <w:tc>
          <w:tcPr>
            <w:tcW w:w="2340" w:type="dxa"/>
          </w:tcPr>
          <w:p>
            <w:pPr/>
            <w:r>
              <w:t xml:space="preserve">21</w:t>
            </w:r>
          </w:p>
        </w:tc>
        <w:tc>
          <w:tcPr>
            <w:tcW w:w="2340" w:type="dxa"/>
          </w:tcPr>
          <w:p>
            <w:pPr/>
            <w:r>
              <w:t xml:space="preserve">A configuration change updates the override set of every environment, not one (org)</w:t>
            </w:r>
          </w:p>
        </w:tc>
        <w:tc>
          <w:tcPr>
            <w:tcW w:w="2340" w:type="dxa"/>
          </w:tcPr>
          <w:p>
            <w:pPr/>
            <w:r>
              <w:t xml:space="preserve">Blocking</w:t>
            </w:r>
          </w:p>
        </w:tc>
        <w:tc>
          <w:tcPr>
            <w:tcW w:w="2340" w:type="dxa"/>
          </w:tcPr>
          <w:p>
            <w:pPr/>
            <w:r>
              <w:t xml:space="preserve">CI key-set diff</w:t>
            </w:r>
          </w:p>
        </w:tc>
      </w:tr>
      <w:tr>
        <w:tc>
          <w:tcPr>
            <w:tcW w:w="2340" w:type="dxa"/>
          </w:tcPr>
          <w:p>
            <w:pPr/>
            <w:r>
              <w:t xml:space="preserve">22</w:t>
            </w:r>
          </w:p>
        </w:tc>
        <w:tc>
          <w:tcPr>
            <w:tcW w:w="2340" w:type="dxa"/>
          </w:tcPr>
          <w:p>
            <w:pPr/>
            <w:r>
              <w:t xml:space="preserve">Version bumped and changelog entry added</w:t>
            </w:r>
          </w:p>
        </w:tc>
        <w:tc>
          <w:tcPr>
            <w:tcW w:w="2340" w:type="dxa"/>
          </w:tcPr>
          <w:p>
            <w:pPr/>
            <w:r>
              <w:t xml:space="preserve">Blocking</w:t>
            </w:r>
          </w:p>
        </w:tc>
        <w:tc>
          <w:tcPr>
            <w:tcW w:w="2340" w:type="dxa"/>
          </w:tcPr>
          <w:p>
            <w:pPr/>
            <w:r>
              <w:t xml:space="preserve">CI</w:t>
            </w:r>
          </w:p>
        </w:tc>
      </w:tr>
      <w:tr>
        <w:tc>
          <w:tcPr>
            <w:tcW w:w="2340" w:type="dxa"/>
          </w:tcPr>
          <w:p>
            <w:pPr/>
            <w:r>
              <w:t xml:space="preserve">23</w:t>
            </w:r>
          </w:p>
        </w:tc>
        <w:tc>
          <w:tcPr>
            <w:tcW w:w="2340" w:type="dxa"/>
          </w:tcPr>
          <w:p>
            <w:pPr/>
            <w:r>
              <w:t xml:space="preserve">DataWeave longer than about 10 lines is in a </w:t>
            </w:r>
            <w:r>
              <w:rPr>
                <w:rStyle w:val="CodeChar"/>
              </w:rPr>
              <w:t xml:space="preserve">.dwl</w:t>
            </w:r>
            <w:r>
              <w:t xml:space="preserve"> file; no duplicated transforms</w:t>
            </w:r>
          </w:p>
        </w:tc>
        <w:tc>
          <w:tcPr>
            <w:tcW w:w="2340" w:type="dxa"/>
          </w:tcPr>
          <w:p>
            <w:pPr/>
            <w:r>
              <w:t xml:space="preserve">Advisory</w:t>
            </w:r>
          </w:p>
        </w:tc>
        <w:tc>
          <w:tcPr>
            <w:tcW w:w="2340" w:type="dxa"/>
          </w:tcPr>
          <w:p>
            <w:pPr/>
            <w:r>
              <w:t xml:space="preserve">Reviewer</w:t>
            </w:r>
          </w:p>
        </w:tc>
      </w:tr>
      <w:tr>
        <w:tc>
          <w:tcPr>
            <w:tcW w:w="2340" w:type="dxa"/>
          </w:tcPr>
          <w:p>
            <w:pPr/>
            <w:r>
              <w:t xml:space="preserve">24</w:t>
            </w:r>
          </w:p>
        </w:tc>
        <w:tc>
          <w:tcPr>
            <w:tcW w:w="2340" w:type="dxa"/>
          </w:tcPr>
          <w:p>
            <w:pPr/>
            <w:r>
              <w:rPr>
                <w:rStyle w:val="CodeChar"/>
              </w:rPr>
              <w:t xml:space="preserve">doc:name</w:t>
            </w:r>
            <w:r>
              <w:t xml:space="preserve"> on every processor states intent</w:t>
            </w:r>
          </w:p>
        </w:tc>
        <w:tc>
          <w:tcPr>
            <w:tcW w:w="2340" w:type="dxa"/>
          </w:tcPr>
          <w:p>
            <w:pPr/>
            <w:r>
              <w:t xml:space="preserve">Advisory</w:t>
            </w:r>
          </w:p>
        </w:tc>
        <w:tc>
          <w:tcPr>
            <w:tcW w:w="2340" w:type="dxa"/>
          </w:tcPr>
          <w:p>
            <w:pPr/>
            <w:r>
              <w:t xml:space="preserve">Reviewer</w:t>
            </w:r>
          </w:p>
        </w:tc>
      </w:tr>
      <w:tr>
        <w:tc>
          <w:tcPr>
            <w:tcW w:w="2340" w:type="dxa"/>
          </w:tcPr>
          <w:p>
            <w:pPr/>
            <w:r>
              <w:t xml:space="preserve">25</w:t>
            </w:r>
          </w:p>
        </w:tc>
        <w:tc>
          <w:tcPr>
            <w:tcW w:w="2340" w:type="dxa"/>
          </w:tcPr>
          <w:p>
            <w:pPr/>
            <w:r>
              <w:t xml:space="preserve">Pull request size, description and ticket link complete</w:t>
            </w:r>
          </w:p>
        </w:tc>
        <w:tc>
          <w:tcPr>
            <w:tcW w:w="2340" w:type="dxa"/>
          </w:tcPr>
          <w:p>
            <w:pPr/>
            <w:r>
              <w:t xml:space="preserve">Advisory</w:t>
            </w:r>
          </w:p>
        </w:tc>
        <w:tc>
          <w:tcPr>
            <w:tcW w:w="2340" w:type="dxa"/>
          </w:tcPr>
          <w:p>
            <w:pPr/>
            <w:r>
              <w:t xml:space="preserve">Reviewer</w:t>
            </w:r>
          </w:p>
        </w:tc>
      </w:tr>
    </w:tbl>
    <w:p>
      <w:pPr/>
      <w:r>
        <w:rPr>
          <w:b/>
        </w:rPr>
        <w:t xml:space="preserve">Pull request template</w:t>
      </w:r>
    </w:p>
    <w:p>
      <w:pPr>
        <w:pStyle w:val="Code"/>
      </w:pPr>
      <w:bookmarkStart w:id="4" w:name="bongo_lang_markdown_4"/>
      <w:bookmarkEnd w:id="4"/>
      <w:r>
        <w:t xml:space="preserve">## Change</w:t>
        <w:br/>
        <w:t xml:space="preserve">&lt;ticket link&gt; — what changed and why</w:t>
        <w:br/>
        <w:br/>
        <w:t xml:space="preserve">## Spec</w:t>
        <w:br/>
        <w:t xml:space="preserve">Exchange asset and version referenced in the POM: …</w:t>
        <w:br/>
        <w:br/>
        <w:t xml:space="preserve">## Configuration</w:t>
        <w:br/>
        <w:t xml:space="preserve">New or changed property keys (default in config.yaml, override set updated for every environment): …</w:t>
        <w:br/>
        <w:br/>
        <w:t xml:space="preserve">## Tests</w:t>
        <w:br/>
        <w:t xml:space="preserve">Suites added or changed: … · `mvn test` green locally: yes/no · coverage: app …% / lowest resource …%</w:t>
        <w:br/>
        <w:br/>
        <w:t xml:space="preserve">## Waivers</w:t>
        <w:br/>
        <w:t xml:space="preserve">Advisory rules not followed and why: …</w:t>
      </w:r>
    </w:p>
    <w:p>
      <w:pPr/>
      <w:r>
        <w:rPr>
          <w:b/>
        </w:rPr>
        <w:t xml:space="preserve">Version note</w:t>
      </w:r>
      <w:r>
        <w:t xml:space="preserve"> — 1.1, 2026-10-09: realigned to MuleSoft-published guidance, organisation-specific choices marked (org), Sources added · 1.0, 2026-10-09: initial sanitized export.</w:t>
      </w:r>
    </w:p>
    <w:p>
      <w:pPr>
        <w:pStyle w:val="Heading2"/>
      </w:pPr>
      <w:r>
        <w:t xml:space="preserve">Sources</w:t>
      </w:r>
    </w:p>
    <w:p>
      <w:pPr/>
      <w:r>
        <w:t xml:space="preserve">MuleSoft pages opened on 9 October 2026 for this version. Each is the basis for the rules that cite it; everything not traceable to one of them is marked (org) or is ordinary engineering practice.</w:t>
      </w:r>
    </w:p>
    <w:p>
      <w:pPr>
        <w:pStyle w:val="ListParagraph"/>
        <w:numPr>
          <w:ilvl w:val="0"/>
          <w:numId w:val="21"/>
        </w:numPr>
      </w:pPr>
      <w:hyperlink r:id="rId3" w:history="1">
        <w:r>
          <w:rPr>
            <w:rStyle w:val="Hyperlink"/>
          </w:rPr>
          <w:t xml:space="preserve">Best Practices to Build Mule Applications</w:t>
        </w:r>
      </w:hyperlink>
      <w:r>
        <w:t xml:space="preserve"> — project structure, properties model, CI/CD deployment, APIkit, DataWeave, reserved </w:t>
      </w:r>
      <w:r>
        <w:rPr>
          <w:rStyle w:val="CodeChar"/>
        </w:rPr>
        <w:t xml:space="preserve">http.port</w:t>
      </w:r>
      <w:r>
        <w:t xml:space="preserve"> properties</w:t>
      </w:r>
    </w:p>
    <w:p>
      <w:pPr>
        <w:pStyle w:val="ListParagraph"/>
        <w:numPr>
          <w:ilvl w:val="0"/>
          <w:numId w:val="21"/>
        </w:numPr>
      </w:pPr>
      <w:hyperlink r:id="rId4" w:history="1">
        <w:r>
          <w:rPr>
            <w:rStyle w:val="Hyperlink"/>
          </w:rPr>
          <w:t xml:space="preserve">Configuring Properties</w:t>
        </w:r>
      </w:hyperlink>
      <w:r>
        <w:t xml:space="preserve"> — property files, </w:t>
      </w:r>
      <w:r>
        <w:rPr>
          <w:rStyle w:val="CodeChar"/>
        </w:rPr>
        <w:t xml:space="preserve">${env}</w:t>
      </w:r>
      <w:r>
        <w:t xml:space="preserve"> selection and defaults, precedence hierarchy</w:t>
      </w:r>
    </w:p>
    <w:p>
      <w:pPr>
        <w:pStyle w:val="ListParagraph"/>
        <w:numPr>
          <w:ilvl w:val="0"/>
          <w:numId w:val="21"/>
        </w:numPr>
      </w:pPr>
      <w:hyperlink r:id="rId5" w:history="1">
        <w:r>
          <w:rPr>
            <w:rStyle w:val="Hyperlink"/>
          </w:rPr>
          <w:t xml:space="preserve">Secure Configuration Properties</w:t>
        </w:r>
      </w:hyperlink>
      <w:r>
        <w:t xml:space="preserve"> — encryption tool, </w:t>
      </w:r>
      <w:r>
        <w:rPr>
          <w:rStyle w:val="CodeChar"/>
        </w:rPr>
        <w:t xml:space="preserve">secure::</w:t>
      </w:r>
      <w:r>
        <w:t xml:space="preserve"> prefix, key demanded at runtime</w:t>
      </w:r>
    </w:p>
    <w:p>
      <w:pPr>
        <w:pStyle w:val="ListParagraph"/>
        <w:numPr>
          <w:ilvl w:val="0"/>
          <w:numId w:val="21"/>
        </w:numPr>
      </w:pPr>
      <w:hyperlink r:id="rId6" w:history="1">
        <w:r>
          <w:rPr>
            <w:rStyle w:val="Hyperlink"/>
          </w:rPr>
          <w:t xml:space="preserve">Safely Hidden Application Properties</w:t>
        </w:r>
      </w:hyperlink>
      <w:r>
        <w:t xml:space="preserve"> — </w:t>
      </w:r>
      <w:r>
        <w:rPr>
          <w:rStyle w:val="CodeChar"/>
        </w:rPr>
        <w:t xml:space="preserve">secureProperties</w:t>
      </w:r>
      <w:r>
        <w:t xml:space="preserve"> in </w:t>
      </w:r>
      <w:r>
        <w:rPr>
          <w:rStyle w:val="CodeChar"/>
        </w:rPr>
        <w:t xml:space="preserve">mule-artifact.json</w:t>
      </w:r>
    </w:p>
    <w:p>
      <w:pPr>
        <w:pStyle w:val="ListParagraph"/>
        <w:numPr>
          <w:ilvl w:val="0"/>
          <w:numId w:val="21"/>
        </w:numPr>
      </w:pPr>
      <w:hyperlink r:id="rId7" w:history="1">
        <w:r>
          <w:rPr>
            <w:rStyle w:val="Hyperlink"/>
          </w:rPr>
          <w:t xml:space="preserve">Edge and LTS Releases for Mule</w:t>
        </w:r>
      </w:hyperlink>
      <w:r>
        <w:t xml:space="preserve"> — release channels, 4.9 LTS, Java 17, support dates</w:t>
      </w:r>
    </w:p>
    <w:p>
      <w:pPr>
        <w:pStyle w:val="ListParagraph"/>
        <w:numPr>
          <w:ilvl w:val="0"/>
          <w:numId w:val="21"/>
        </w:numPr>
      </w:pPr>
      <w:hyperlink r:id="rId8" w:history="1">
        <w:r>
          <w:rPr>
            <w:rStyle w:val="Hyperlink"/>
          </w:rPr>
          <w:t xml:space="preserve">Deploying Apps with the Mule Maven Plugin (CloudHub 2.0)</w:t>
        </w:r>
      </w:hyperlink>
      <w:r>
        <w:t xml:space="preserve"> — business group settings, plugin version for the LTS channel</w:t>
      </w:r>
    </w:p>
    <w:p>
      <w:pPr>
        <w:pStyle w:val="ListParagraph"/>
        <w:numPr>
          <w:ilvl w:val="0"/>
          <w:numId w:val="21"/>
        </w:numPr>
      </w:pPr>
      <w:hyperlink r:id="rId9" w:history="1">
        <w:r>
          <w:rPr>
            <w:rStyle w:val="Hyperlink"/>
          </w:rPr>
          <w:t xml:space="preserve">Publish Assets Using Maven</w:t>
        </w:r>
      </w:hyperlink>
      <w:r>
        <w:t xml:space="preserve"> — </w:t>
      </w:r>
      <w:r>
        <w:rPr>
          <w:rStyle w:val="CodeChar"/>
        </w:rPr>
        <w:t xml:space="preserve">groupId</w:t>
      </w:r>
      <w:r>
        <w:t xml:space="preserve"> = organization or business-group ID</w:t>
      </w:r>
    </w:p>
    <w:p>
      <w:pPr>
        <w:pStyle w:val="ListParagraph"/>
        <w:numPr>
          <w:ilvl w:val="0"/>
          <w:numId w:val="21"/>
        </w:numPr>
      </w:pPr>
      <w:hyperlink r:id="rId10" w:history="1">
        <w:r>
          <w:rPr>
            <w:rStyle w:val="Hyperlink"/>
          </w:rPr>
          <w:t xml:space="preserve">MuleSoft Accelerators: Getting Started</w:t>
        </w:r>
      </w:hyperlink>
      <w:r>
        <w:t xml:space="preserve"> — System/Process/Experience asset layering, Accelerator POM Parent</w:t>
      </w:r>
    </w:p>
    <w:p>
      <w:pPr>
        <w:pStyle w:val="ListParagraph"/>
        <w:numPr>
          <w:ilvl w:val="0"/>
          <w:numId w:val="21"/>
        </w:numPr>
      </w:pPr>
      <w:hyperlink r:id="rId11" w:history="1">
        <w:r>
          <w:rPr>
            <w:rStyle w:val="Hyperlink"/>
          </w:rPr>
          <w:t xml:space="preserve">Anypoint Best Practices ruleset</w:t>
        </w:r>
      </w:hyperlink>
      <w:r>
        <w:t xml:space="preserve"> — MuleSoft's API design rules for API Governance</w:t>
      </w:r>
    </w:p>
    <w:p>
      <w:pPr>
        <w:pStyle w:val="ListParagraph"/>
        <w:numPr>
          <w:ilvl w:val="0"/>
          <w:numId w:val="21"/>
        </w:numPr>
      </w:pPr>
      <w:hyperlink r:id="rId12" w:history="1">
        <w:r>
          <w:rPr>
            <w:rStyle w:val="Hyperlink"/>
          </w:rPr>
          <w:t xml:space="preserve">Configure API Autodiscovery in a Mule 4 Application</w:t>
        </w:r>
      </w:hyperlink>
      <w:r>
        <w:t xml:space="preserve"> — </w:t>
      </w:r>
      <w:r>
        <w:rPr>
          <w:rStyle w:val="CodeChar"/>
        </w:rPr>
        <w:t xml:space="preserve">apiId</w:t>
      </w:r>
      <w:r>
        <w:t xml:space="preserve"> and </w:t>
      </w:r>
      <w:r>
        <w:rPr>
          <w:rStyle w:val="CodeChar"/>
        </w:rPr>
        <w:t xml:space="preserve">flowRef</w:t>
      </w:r>
    </w:p>
    <w:p>
      <w:pPr>
        <w:pStyle w:val="ListParagraph"/>
        <w:numPr>
          <w:ilvl w:val="0"/>
          <w:numId w:val="21"/>
        </w:numPr>
      </w:pPr>
      <w:hyperlink r:id="rId13" w:history="1">
        <w:r>
          <w:rPr>
            <w:rStyle w:val="Hyperlink"/>
          </w:rPr>
          <w:t xml:space="preserve">APIkit for REST Error Handling Reference</w:t>
        </w:r>
      </w:hyperlink>
      <w:r>
        <w:t xml:space="preserve"> — </w:t>
      </w:r>
      <w:r>
        <w:rPr>
          <w:rStyle w:val="CodeChar"/>
        </w:rPr>
        <w:t xml:space="preserve">APIKIT:*</w:t>
      </w:r>
      <w:r>
        <w:t xml:space="preserve"> error types and scaffolded handlers</w:t>
      </w:r>
    </w:p>
    <w:p>
      <w:pPr>
        <w:pStyle w:val="ListParagraph"/>
        <w:numPr>
          <w:ilvl w:val="0"/>
          <w:numId w:val="21"/>
        </w:numPr>
      </w:pPr>
      <w:hyperlink r:id="rId14" w:history="1">
        <w:r>
          <w:rPr>
            <w:rStyle w:val="Hyperlink"/>
          </w:rPr>
          <w:t xml:space="preserve">Error Handlers</w:t>
        </w:r>
      </w:hyperlink>
      <w:r>
        <w:t xml:space="preserve"> and </w:t>
      </w:r>
      <w:hyperlink r:id="rId15" w:history="1">
        <w:r>
          <w:rPr>
            <w:rStyle w:val="Hyperlink"/>
          </w:rPr>
          <w:t xml:space="preserve">On-Error Components</w:t>
        </w:r>
      </w:hyperlink>
      <w:r>
        <w:t xml:space="preserve"> — default propagate behaviour, global error handler, continue vs propagate</w:t>
      </w:r>
    </w:p>
    <w:p>
      <w:pPr>
        <w:pStyle w:val="ListParagraph"/>
        <w:numPr>
          <w:ilvl w:val="0"/>
          <w:numId w:val="21"/>
        </w:numPr>
      </w:pPr>
      <w:hyperlink r:id="rId16" w:history="1">
        <w:r>
          <w:rPr>
            <w:rStyle w:val="Hyperlink"/>
          </w:rPr>
          <w:t xml:space="preserve">Correlation ID</w:t>
        </w:r>
      </w:hyperlink>
      <w:r>
        <w:t xml:space="preserve"> — adoption of the inbound </w:t>
      </w:r>
      <w:r>
        <w:rPr>
          <w:rStyle w:val="CodeChar"/>
        </w:rPr>
        <w:t xml:space="preserve">X-Correlation-ID</w:t>
      </w:r>
      <w:r>
        <w:t xml:space="preserve"> header, generator, tracing scope</w:t>
      </w:r>
    </w:p>
    <w:p>
      <w:pPr>
        <w:pStyle w:val="ListParagraph"/>
        <w:numPr>
          <w:ilvl w:val="0"/>
          <w:numId w:val="21"/>
        </w:numPr>
      </w:pPr>
      <w:hyperlink r:id="rId17" w:history="1">
        <w:r>
          <w:rPr>
            <w:rStyle w:val="Hyperlink"/>
          </w:rPr>
          <w:t xml:space="preserve">JSON logging in Mule 4 (MuleSoft blog)</w:t>
        </w:r>
      </w:hyperlink>
      <w:r>
        <w:t xml:space="preserve"> — JSON Logger module and correlation on every entry</w:t>
      </w:r>
    </w:p>
    <w:p>
      <w:pPr>
        <w:pStyle w:val="ListParagraph"/>
        <w:numPr>
          <w:ilvl w:val="0"/>
          <w:numId w:val="21"/>
        </w:numPr>
      </w:pPr>
      <w:hyperlink r:id="rId18" w:history="1">
        <w:r>
          <w:rPr>
            <w:rStyle w:val="Hyperlink"/>
          </w:rPr>
          <w:t xml:space="preserve">Reconnection Strategies</w:t>
        </w:r>
      </w:hyperlink>
      <w:r>
        <w:t xml:space="preserve"> — </w:t>
      </w:r>
      <w:r>
        <w:rPr>
          <w:rStyle w:val="CodeChar"/>
        </w:rPr>
        <w:t xml:space="preserve">reconnect</w:t>
      </w:r>
      <w:r>
        <w:t xml:space="preserve">, </w:t>
      </w:r>
      <w:r>
        <w:rPr>
          <w:rStyle w:val="CodeChar"/>
        </w:rPr>
        <w:t xml:space="preserve">reconnect-forever</w:t>
      </w:r>
      <w:r>
        <w:t xml:space="preserve">, </w:t>
      </w:r>
      <w:r>
        <w:rPr>
          <w:rStyle w:val="CodeChar"/>
        </w:rPr>
        <w:t xml:space="preserve">failsDeployment</w:t>
      </w:r>
      <w:r>
        <w:t xml:space="preserve">, 2000 ms default</w:t>
      </w:r>
    </w:p>
    <w:p>
      <w:pPr>
        <w:pStyle w:val="ListParagraph"/>
        <w:numPr>
          <w:ilvl w:val="0"/>
          <w:numId w:val="21"/>
        </w:numPr>
      </w:pPr>
      <w:hyperlink r:id="rId19" w:history="1">
        <w:r>
          <w:rPr>
            <w:rStyle w:val="Hyperlink"/>
          </w:rPr>
          <w:t xml:space="preserve">HTTP Connector Reference</w:t>
        </w:r>
      </w:hyperlink>
      <w:r>
        <w:t xml:space="preserve"> — 10-second default response timeout, correlation ID options</w:t>
      </w:r>
    </w:p>
    <w:p>
      <w:pPr>
        <w:pStyle w:val="ListParagraph"/>
        <w:numPr>
          <w:ilvl w:val="0"/>
          <w:numId w:val="21"/>
        </w:numPr>
      </w:pPr>
      <w:hyperlink r:id="rId20" w:history="1">
        <w:r>
          <w:rPr>
            <w:rStyle w:val="Hyperlink"/>
          </w:rPr>
          <w:t xml:space="preserve">Create Custom DataWeave Modules</w:t>
        </w:r>
      </w:hyperlink>
      <w:r>
        <w:t xml:space="preserve"> — </w:t>
      </w:r>
      <w:r>
        <w:rPr>
          <w:rStyle w:val="CodeChar"/>
        </w:rPr>
        <w:t xml:space="preserve">src/main/resources/modules/</w:t>
      </w:r>
      <w:r>
        <w:t xml:space="preserve">, </w:t>
      </w:r>
      <w:r>
        <w:rPr>
          <w:rStyle w:val="CodeChar"/>
        </w:rPr>
        <w:t xml:space="preserve">import modules::Module</w:t>
      </w:r>
    </w:p>
    <w:p>
      <w:pPr>
        <w:pStyle w:val="ListParagraph"/>
        <w:numPr>
          <w:ilvl w:val="0"/>
          <w:numId w:val="21"/>
        </w:numPr>
      </w:pPr>
      <w:hyperlink r:id="rId21" w:history="1">
        <w:r>
          <w:rPr>
            <w:rStyle w:val="Hyperlink"/>
          </w:rPr>
          <w:t xml:space="preserve">Test Mule Applications</w:t>
        </w:r>
      </w:hyperlink>
      <w:r>
        <w:t xml:space="preserve"> — testing best practices, naming tests for their failure message, </w:t>
      </w:r>
      <w:r>
        <w:rPr>
          <w:rStyle w:val="CodeChar"/>
        </w:rPr>
        <w:t xml:space="preserve">mock-when</w:t>
      </w:r>
    </w:p>
    <w:p>
      <w:pPr>
        <w:pStyle w:val="ListParagraph"/>
        <w:numPr>
          <w:ilvl w:val="0"/>
          <w:numId w:val="21"/>
        </w:numPr>
      </w:pPr>
      <w:hyperlink r:id="rId22" w:history="1">
        <w:r>
          <w:rPr>
            <w:rStyle w:val="Hyperlink"/>
          </w:rPr>
          <w:t xml:space="preserve">Configure MUnit Coverage in Maven</w:t>
        </w:r>
      </w:hyperlink>
      <w:r>
        <w:t xml:space="preserve"> — </w:t>
      </w:r>
      <w:r>
        <w:rPr>
          <w:rStyle w:val="CodeChar"/>
        </w:rPr>
        <w:t xml:space="preserve">required*Coverage</w:t>
      </w:r>
      <w:r>
        <w:t xml:space="preserve"> elements, example values, formats, ignore lists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mulesoft.com/mule-runtime/latest/build-app-practices" TargetMode="External"/><Relationship Id="rId4" Type="http://schemas.openxmlformats.org/officeDocument/2006/relationships/hyperlink" Target="https://docs.mulesoft.com/mule-runtime/latest/configuring-properties" TargetMode="External"/><Relationship Id="rId5" Type="http://schemas.openxmlformats.org/officeDocument/2006/relationships/hyperlink" Target="https://docs.mulesoft.com/mule-runtime/latest/secure-configuration-properties" TargetMode="External"/><Relationship Id="rId6" Type="http://schemas.openxmlformats.org/officeDocument/2006/relationships/hyperlink" Target="https://docs.mulesoft.com/cloudhub/secure-application-properties" TargetMode="External"/><Relationship Id="rId7" Type="http://schemas.openxmlformats.org/officeDocument/2006/relationships/hyperlink" Target="https://docs.mulesoft.com/release-notes/mule-runtime/lts-edge-release-cadence" TargetMode="External"/><Relationship Id="rId8" Type="http://schemas.openxmlformats.org/officeDocument/2006/relationships/hyperlink" Target="https://docs.mulesoft.com/cloudhub-2/ch2-deploy-maven" TargetMode="External"/><Relationship Id="rId9" Type="http://schemas.openxmlformats.org/officeDocument/2006/relationships/hyperlink" Target="https://docs.mulesoft.com/exchange/to-publish-assets-maven" TargetMode="External"/><Relationship Id="rId10" Type="http://schemas.openxmlformats.org/officeDocument/2006/relationships/hyperlink" Target="https://docs.mulesoft.com/accelerators-home/getting-started" TargetMode="External"/><Relationship Id="rId11" Type="http://schemas.openxmlformats.org/officeDocument/2006/relationships/hyperlink" Target="https://anypoint.mulesoft.com/exchange/68ef9520-24e9-4cf2-b2f5-620025690913/anypoint-best-practices" TargetMode="External"/><Relationship Id="rId12" Type="http://schemas.openxmlformats.org/officeDocument/2006/relationships/hyperlink" Target="https://docs.mulesoft.com/api-manager/latest/configure-autodiscovery-4-task" TargetMode="External"/><Relationship Id="rId13" Type="http://schemas.openxmlformats.org/officeDocument/2006/relationships/hyperlink" Target="https://docs.mulesoft.com/apikit/latest/apikit-error-handling-reference" TargetMode="External"/><Relationship Id="rId14" Type="http://schemas.openxmlformats.org/officeDocument/2006/relationships/hyperlink" Target="https://docs.mulesoft.com/mule-runtime/latest/error-handling" TargetMode="External"/><Relationship Id="rId15" Type="http://schemas.openxmlformats.org/officeDocument/2006/relationships/hyperlink" Target="https://docs.mulesoft.com/mule-runtime/latest/on-error-scope-concept" TargetMode="External"/><Relationship Id="rId16" Type="http://schemas.openxmlformats.org/officeDocument/2006/relationships/hyperlink" Target="https://docs.mulesoft.com/mule-runtime/latest/correlation-id" TargetMode="External"/><Relationship Id="rId17" Type="http://schemas.openxmlformats.org/officeDocument/2006/relationships/hyperlink" Target="https://blogs.mulesoft.com/dev/mule-dev/logging-in-mule-using-json-logger-module/" TargetMode="External"/><Relationship Id="rId18" Type="http://schemas.openxmlformats.org/officeDocument/2006/relationships/hyperlink" Target="https://docs.mulesoft.com/mule-runtime/latest/reconnection-strategy-about" TargetMode="External"/><Relationship Id="rId19" Type="http://schemas.openxmlformats.org/officeDocument/2006/relationships/hyperlink" Target="https://docs.mulesoft.com/http-connector/latest/http-documentation" TargetMode="External"/><Relationship Id="rId20" Type="http://schemas.openxmlformats.org/officeDocument/2006/relationships/hyperlink" Target="https://docs.mulesoft.com/dataweave/latest/dataweave-create-module" TargetMode="External"/><Relationship Id="rId21" Type="http://schemas.openxmlformats.org/officeDocument/2006/relationships/hyperlink" Target="https://docs.mulesoft.com/mule-runtime/latest/test-mule-applications" TargetMode="External"/><Relationship Id="rId22" Type="http://schemas.openxmlformats.org/officeDocument/2006/relationships/hyperlink" Target="https://docs.mulesoft.com/munit/latest/coverage-maven-concep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MuleSoft Development Standards</dc:title>
  <dc:description>Claude Docs node/45b7338d-e42f@24 docx-w6</dc:description>
  <cp:revision>24</cp:revision>
</cp:coreProperties>
</file>