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51F" w:val="clear"/>
            <w:tcMar>
              <w:top w:type="dxa" w:w="480"/>
              <w:left w:type="dxa" w:w="360"/>
              <w:bottom w:type="dxa" w:w="48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9EE0D2"/>
                <w:sz w:val="18"/>
                <w:szCs w:val="18"/>
              </w:rPr>
              <w:t xml:space="preserve">STRATEGY SQUAD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Scanner Scoring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9EE0D2"/>
                <w:sz w:val="36"/>
                <w:szCs w:val="36"/>
              </w:rPr>
              <w:t xml:space="preserve">Field Reference &amp; Decision Guide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0C8C0"/>
                <w:sz w:val="24"/>
                <w:szCs w:val="24"/>
              </w:rPr>
              <w:t xml:space="preserve">What every column in Strategy Lab means — and when to act on it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0D8B72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75746"/>
          <w:sz w:val="32"/>
          <w:szCs w:val="32"/>
        </w:rPr>
        <w:t xml:space="preserve">Purpose of this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Strategy Lab scanner displays five columns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Richness, Theta, Liquidity, Delta Risk, </w:t>
      </w:r>
      <w:r>
        <w:rPr>
          <w:rFonts w:ascii="Arial" w:cs="Arial" w:eastAsia="Arial" w:hAnsi="Arial"/>
          <w:sz w:val="22"/>
          <w:szCs w:val="22"/>
        </w:rPr>
        <w:t xml:space="preserve">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Score</w:t>
      </w:r>
      <w:r>
        <w:rPr>
          <w:rFonts w:ascii="Arial" w:cs="Arial" w:eastAsia="Arial" w:hAnsi="Arial"/>
          <w:sz w:val="22"/>
          <w:szCs w:val="22"/>
        </w:rPr>
        <w:t xml:space="preserve"> — for every candidate NIFTY and BANKNIFTY option. These are not simple market data fields. Each one is a computed index derived from historical cohort analysis, live market quotes, and a set of weighted scoring rules baked into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CandidateScoringEngine</w:t>
      </w:r>
      <w:r>
        <w:rPr>
          <w:rFonts w:ascii="Arial" w:cs="Arial" w:eastAsia="Arial" w:hAnsi="Arial"/>
          <w:sz w:val="22"/>
          <w:szCs w:val="22"/>
        </w:rPr>
        <w:t xml:space="preserve"> in the backend.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This document explains: where each number comes from, what the 0–100 display value actually represents, what a high or low value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means for your decision</w:t>
      </w:r>
      <w:r>
        <w:rPr>
          <w:rFonts w:ascii="Arial" w:cs="Arial" w:eastAsia="Arial" w:hAnsi="Arial"/>
          <w:sz w:val="22"/>
          <w:szCs w:val="22"/>
        </w:rPr>
        <w:t xml:space="preserve">, and how the four sub-scores combine into the final ranking.</w:t>
      </w:r>
    </w:p>
    <w:p>
      <w:pPr>
        <w:spacing w:after="80" w:before="0"/>
      </w:pPr>
    </w:p>
    <w:p>
      <w:pPr>
        <w:pStyle w:val="Heading1"/>
        <w:pBdr>
          <w:bottom w:val="single" w:color="0D8B72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75746"/>
          <w:sz w:val="32"/>
          <w:szCs w:val="32"/>
        </w:rPr>
        <w:t xml:space="preserve">How Strategy Lab displays the scores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backend returns all scores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0.0 – 1.0 decimal values</w:t>
      </w:r>
      <w:r>
        <w:rPr>
          <w:rFonts w:ascii="Arial" w:cs="Arial" w:eastAsia="Arial" w:hAnsi="Arial"/>
          <w:sz w:val="22"/>
          <w:szCs w:val="22"/>
        </w:rPr>
        <w:t xml:space="preserve">. The UI multiplies by 100 to display them as whole numbers (0 – 100). A displayed value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72</w:t>
      </w:r>
      <w:r>
        <w:rPr>
          <w:rFonts w:ascii="Arial" w:cs="Arial" w:eastAsia="Arial" w:hAnsi="Arial"/>
          <w:sz w:val="22"/>
          <w:szCs w:val="22"/>
        </w:rPr>
        <w:t xml:space="preserve"> means an internal score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0.72</w:t>
      </w:r>
      <w:r>
        <w:rPr>
          <w:rFonts w:ascii="Arial" w:cs="Arial" w:eastAsia="Arial" w:hAnsi="Arial"/>
          <w:sz w:val="22"/>
          <w:szCs w:val="22"/>
        </w:rPr>
        <w:t xml:space="preserve">. Throughout this document, values are written in 0–100 display units for ease of reading.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range</w:t>
            </w:r>
          </w:p>
        </w:tc>
        <w:tc>
          <w:tcPr>
            <w:tcW w:type="dxa" w:w="312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Displayed as</w:t>
            </w:r>
          </w:p>
        </w:tc>
      </w:tr>
      <w:tr>
        <w:tc>
          <w:tcPr>
            <w:tcW w:type="dxa" w:w="312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Richness (pts)</w:t>
            </w:r>
          </w:p>
        </w:tc>
        <w:tc>
          <w:tcPr>
            <w:tcW w:type="dxa" w:w="312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–∞ to +∞ index points</w:t>
            </w:r>
          </w:p>
        </w:tc>
        <w:tc>
          <w:tcPr>
            <w:tcW w:type="dxa" w:w="312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Absolute pts, e.g. +18.40</w:t>
            </w:r>
          </w:p>
        </w:tc>
      </w:tr>
      <w:tr>
        <w:tc>
          <w:tcPr>
            <w:tcW w:type="dxa" w:w="312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Theta Score</w:t>
            </w:r>
          </w:p>
        </w:tc>
        <w:tc>
          <w:tcPr>
            <w:tcW w:type="dxa" w:w="312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 – 1.0</w:t>
            </w:r>
          </w:p>
        </w:tc>
        <w:tc>
          <w:tcPr>
            <w:tcW w:type="dxa" w:w="312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– 100</w:t>
            </w:r>
          </w:p>
        </w:tc>
      </w:tr>
      <w:tr>
        <w:tc>
          <w:tcPr>
            <w:tcW w:type="dxa" w:w="312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Liquidity Score</w:t>
            </w:r>
          </w:p>
        </w:tc>
        <w:tc>
          <w:tcPr>
            <w:tcW w:type="dxa" w:w="312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 – 1.0</w:t>
            </w:r>
          </w:p>
        </w:tc>
        <w:tc>
          <w:tcPr>
            <w:tcW w:type="dxa" w:w="312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– 100</w:t>
            </w:r>
          </w:p>
        </w:tc>
      </w:tr>
      <w:tr>
        <w:tc>
          <w:tcPr>
            <w:tcW w:type="dxa" w:w="312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Delta Risk Score</w:t>
            </w:r>
          </w:p>
        </w:tc>
        <w:tc>
          <w:tcPr>
            <w:tcW w:type="dxa" w:w="312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 – 1.0</w:t>
            </w:r>
          </w:p>
        </w:tc>
        <w:tc>
          <w:tcPr>
            <w:tcW w:type="dxa" w:w="312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– 100</w:t>
            </w:r>
          </w:p>
        </w:tc>
      </w:tr>
      <w:tr>
        <w:tc>
          <w:tcPr>
            <w:tcW w:type="dxa" w:w="312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Score</w:t>
            </w:r>
          </w:p>
        </w:tc>
        <w:tc>
          <w:tcPr>
            <w:tcW w:type="dxa" w:w="312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 – 1.0</w:t>
            </w:r>
          </w:p>
        </w:tc>
        <w:tc>
          <w:tcPr>
            <w:tcW w:type="dxa" w:w="312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– 100 (used for rank order)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574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  Premium Richness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0C8C0"/>
                <w:sz w:val="20"/>
                <w:szCs w:val="20"/>
              </w:rPr>
              <w:t xml:space="preserve">Is this option priced above its historical average? By how much?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What it measures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Richness tells you whether the current option premium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above or below what history says it should be</w:t>
      </w:r>
      <w:r>
        <w:rPr>
          <w:rFonts w:ascii="Arial" w:cs="Arial" w:eastAsia="Arial" w:hAnsi="Arial"/>
          <w:sz w:val="22"/>
          <w:szCs w:val="22"/>
        </w:rPr>
        <w:t xml:space="preserve"> for a contract with this underlying, moneyness, time-to-expiry, and option type. If a NIFTY 24800 CE with 2 days to expiry is historically priced at 80 pts and is currently trading at 100 pts, it is 25% rich — an attractive short-sell candidate.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Exact formula</w:t>
      </w:r>
    </w:p>
    <w:tbl>
      <w:tblPr>
        <w:tblW w:type="dxa" w:w="9000"/>
        <w:tblBorders>
          <w:top w:val="single" w:color="0D8B72" w:sz="4"/>
          <w:left w:val="thick" w:color="0D8B72" w:sz="6"/>
          <w:bottom w:val="single" w:color="0D8B72" w:sz="4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premiumRichnessPoints  =  lastPrice  -  historicalAvgPrice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premiumRichnessPct     =  (richnessPoints / historicalAvgPrice)  x  100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Richness score (0-1):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if richnessPct &lt;= 0  :  score = 0.0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if richnessPct &gt;= 40 :  score = 1.0   (saturates at 40%)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else                 :  score = richnessPct / 40.0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Where the numbers come from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0757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616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0757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lastPrice</w:t>
            </w:r>
          </w:p>
        </w:tc>
        <w:tc>
          <w:tcPr>
            <w:tcW w:type="dxa" w:w="61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Current traded price of the contract from NSE live feed (index points)</w:t>
            </w:r>
          </w:p>
        </w:tc>
      </w:tr>
      <w:tr>
        <w:tc>
          <w:tcPr>
            <w:tcW w:type="dxa" w:w="32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historicalAvgPrice</w:t>
            </w:r>
          </w:p>
        </w:tc>
        <w:tc>
          <w:tcPr>
            <w:tcW w:type="dxa" w:w="61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Average option price from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options_context_buckets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table, keyed on (underlying, optionType, moneynessBucket, timeBucket15m). This is the rolling historical average for the same scenario.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 (displayed)</w:t>
            </w:r>
          </w:p>
        </w:tc>
        <w:tc>
          <w:tcPr>
            <w:tcW w:type="dxa" w:w="24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76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implication</w:t>
            </w:r>
          </w:p>
        </w:tc>
      </w:tr>
      <w:tr>
        <w:tc>
          <w:tcPr>
            <w:tcW w:type="dxa" w:w="22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75746"/>
                <w:sz w:val="22"/>
                <w:szCs w:val="22"/>
              </w:rPr>
              <w:t xml:space="preserve">+15 to +40+</w:t>
            </w:r>
          </w:p>
        </w:tc>
        <w:tc>
          <w:tcPr>
            <w:tcW w:type="dxa" w:w="24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Well above historical</w:t>
            </w:r>
          </w:p>
        </w:tc>
        <w:tc>
          <w:tcPr>
            <w:tcW w:type="dxa" w:w="47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Strong candidate. Premium is inflated — a short position benefits if it reverts to historical average. Cross-check liquidity before acting.</w:t>
            </w:r>
          </w:p>
        </w:tc>
      </w:tr>
      <w:tr>
        <w:tc>
          <w:tcPr>
            <w:tcW w:type="dxa" w:w="22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FFF2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1C"/>
                <w:sz w:val="22"/>
                <w:szCs w:val="22"/>
              </w:rPr>
              <w:t xml:space="preserve">+1 to +14</w:t>
            </w:r>
          </w:p>
        </w:tc>
        <w:tc>
          <w:tcPr>
            <w:tcW w:type="dxa" w:w="24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Modestly above average</w:t>
            </w:r>
          </w:p>
        </w:tc>
        <w:tc>
          <w:tcPr>
            <w:tcW w:type="dxa" w:w="47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Evaluate in context. Consider whether theta score and liquidity support the trade. Do not enter on richness alone.</w:t>
            </w:r>
          </w:p>
        </w:tc>
      </w:tr>
      <w:tr>
        <w:tc>
          <w:tcPr>
            <w:tcW w:type="dxa" w:w="22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FDE7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54D41"/>
                <w:sz w:val="22"/>
                <w:szCs w:val="22"/>
              </w:rPr>
              <w:t xml:space="preserve">0 or negative</w:t>
            </w:r>
          </w:p>
        </w:tc>
        <w:tc>
          <w:tcPr>
            <w:tcW w:type="dxa" w:w="24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 or below historical</w:t>
            </w:r>
          </w:p>
        </w:tc>
        <w:tc>
          <w:tcPr>
            <w:tcW w:type="dxa" w:w="47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richness edge. The richness sub-score is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zero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it contributes nothing to total score. Avoid unless there is a specific reason to enter cheap premium.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7574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Strategy Lab displays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premiumRichnessPoints</w:t>
      </w:r>
      <w:r>
        <w:rPr>
          <w:rFonts w:ascii="Arial" w:cs="Arial" w:eastAsia="Arial" w:hAnsi="Arial"/>
          <w:sz w:val="22"/>
          <w:szCs w:val="22"/>
        </w:rPr>
        <w:t xml:space="preserve"> (e.g. +18.40 pts) rather than the percent. Divide by the historical average to get the percent — but in practice, focus on whether the points value is meaningfully positive, not on the exact percentage.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3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  Theta Opportunity Score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0C8C0"/>
                <w:sz w:val="20"/>
                <w:szCs w:val="20"/>
              </w:rPr>
              <w:t xml:space="preserve">Is time decay working in your favour right now?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What it measures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theta score answers: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"is this a good moment to collect time decay?"</w:t>
      </w:r>
      <w:r>
        <w:rPr>
          <w:rFonts w:ascii="Arial" w:cs="Arial" w:eastAsia="Arial" w:hAnsi="Arial"/>
          <w:sz w:val="22"/>
          <w:szCs w:val="22"/>
        </w:rPr>
        <w:t xml:space="preserve"> It weighs two factors: (a) whether the premium is currently rich enough to make a short worthwhile, and (b) whether you are in the high-decay window close to expiry. Both must be favourable for a high theta score.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Exact formula</w:t>
      </w:r>
    </w:p>
    <w:tbl>
      <w:tblPr>
        <w:tblW w:type="dxa" w:w="9000"/>
        <w:tblBorders>
          <w:top w:val="single" w:color="0D8B72" w:sz="4"/>
          <w:left w:val="thick" w:color="0D8B72" w:sz="6"/>
          <w:bottom w:val="single" w:color="0D8B72" w:sz="4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thetaScore = 0.60 x richnessScore  +  0.40 x timeProxScore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timeProxScore (how close to the peak theta-decay window):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timeBucket15m &lt;= 8  (within 2 hrs of expiry)  :  1.0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timeBucket15m &gt;= 26 (6.5+ hrs from expiry)    :  0.0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otherwise                                      :  (26 - bucket) / 18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Understanding timeBucket15m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contract is assigned a 15-minute time-to-expiry (TTE) bucket. Bucket 1 = 0–15 min to expiry, Bucket 2 = 15–30 min, and so on.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Bucket 8 = 105–120 min (under 2 hours): peak theta decay zone.</w:t>
      </w:r>
      <w:r>
        <w:rPr>
          <w:rFonts w:ascii="Arial" w:cs="Arial" w:eastAsia="Arial" w:hAnsi="Arial"/>
          <w:sz w:val="22"/>
          <w:szCs w:val="22"/>
        </w:rPr>
        <w:t xml:space="preserve"> Bucket 26 = 6 hours 15 min to expiry: too far out, theta is slow.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6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96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18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75746"/>
                <w:sz w:val="22"/>
                <w:szCs w:val="22"/>
              </w:rPr>
              <w:t xml:space="preserve">75 – 100</w:t>
            </w:r>
          </w:p>
        </w:tc>
        <w:tc>
          <w:tcPr>
            <w:tcW w:type="dxa" w:w="26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Rich premium + near expiry</w:t>
            </w:r>
          </w:p>
        </w:tc>
        <w:tc>
          <w:tcPr>
            <w:tcW w:type="dxa" w:w="49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Ideal short-sell window. Both the premium edge and the time-decay engine are working. This is the core entry signal for a theta strategy.</w:t>
            </w:r>
          </w:p>
        </w:tc>
      </w:tr>
      <w:tr>
        <w:tc>
          <w:tcPr>
            <w:tcW w:type="dxa" w:w="18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FFF2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1C"/>
                <w:sz w:val="22"/>
                <w:szCs w:val="22"/>
              </w:rPr>
              <w:t xml:space="preserve">50 – 74</w:t>
            </w:r>
          </w:p>
        </w:tc>
        <w:tc>
          <w:tcPr>
            <w:tcW w:type="dxa" w:w="26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 factor strong, other moderate</w:t>
            </w:r>
          </w:p>
        </w:tc>
        <w:tc>
          <w:tcPr>
            <w:tcW w:type="dxa" w:w="49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Acceptable if liquidity and delta risk are clean. Often means either the premium is good but expiry is still some hours away, or vice versa.</w:t>
            </w:r>
          </w:p>
        </w:tc>
      </w:tr>
      <w:tr>
        <w:tc>
          <w:tcPr>
            <w:tcW w:type="dxa" w:w="18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FDE7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54D41"/>
                <w:sz w:val="22"/>
                <w:szCs w:val="22"/>
              </w:rPr>
              <w:t xml:space="preserve">Below 50</w:t>
            </w:r>
          </w:p>
        </w:tc>
        <w:tc>
          <w:tcPr>
            <w:tcW w:type="dxa" w:w="26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Weak premium or too far from expiry</w:t>
            </w:r>
          </w:p>
        </w:tc>
        <w:tc>
          <w:tcPr>
            <w:tcW w:type="dxa" w:w="49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 unless you have a specific structural reason. The theta decay engine is not engaged.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75746"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Even with the contract exactly 2 hours from expiry (timeProxScore = 1.0), if richness is zero the theta score can only reach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40</w:t>
      </w:r>
      <w:r>
        <w:rPr>
          <w:rFonts w:ascii="Arial" w:cs="Arial" w:eastAsia="Arial" w:hAnsi="Arial"/>
          <w:sz w:val="22"/>
          <w:szCs w:val="22"/>
        </w:rPr>
        <w:t xml:space="preserve">. Richness must be present for a meaningful theta score — this is by design. The system will not signal a high theta opportunity on cheap premium.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3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  Liquidity Score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0C8C0"/>
                <w:sz w:val="20"/>
                <w:szCs w:val="20"/>
              </w:rPr>
              <w:t xml:space="preserve">Can you actually enter and exit this trade at a fair price?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What it measures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Liquidity answers: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"if I want to enter or exit this position right now, can I do so without paying a wide spread or moving the market?"</w:t>
      </w:r>
      <w:r>
        <w:rPr>
          <w:rFonts w:ascii="Arial" w:cs="Arial" w:eastAsia="Arial" w:hAnsi="Arial"/>
          <w:sz w:val="22"/>
          <w:szCs w:val="22"/>
        </w:rPr>
        <w:t xml:space="preserve"> It is a composite of spread quality and volume depth. An option that scores rich on theta but has a 10% bid-ask spread is a trap — the edge is eaten by the spread.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Exact formula</w:t>
      </w:r>
    </w:p>
    <w:tbl>
      <w:tblPr>
        <w:tblW w:type="dxa" w:w="9000"/>
        <w:tblBorders>
          <w:top w:val="single" w:color="0D8B72" w:sz="4"/>
          <w:left w:val="thick" w:color="0D8B72" w:sz="6"/>
          <w:bottom w:val="single" w:color="0D8B72" w:sz="4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liquidityScore = 0.5 x spreadScore  +  0.5 x volumeScore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spreadScore: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spreadRatio = (askPrice - bidPrice) / lastPrice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score = max(0.0,  1.0 - spreadRatio / 0.05)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(5% spread = score 0;  0% spread = score 1.0)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volumeScore: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score = min(1.0,  currentVolume / (2.0 x historicalAvgVolume))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(2x historical volume = saturates at 1.0)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0757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616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0757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bidPrice, askPrice, lastPrice</w:t>
            </w:r>
          </w:p>
        </w:tc>
        <w:tc>
          <w:tcPr>
            <w:tcW w:type="dxa" w:w="61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 NSE market depth snapshot for this contract</w:t>
            </w:r>
          </w:p>
        </w:tc>
      </w:tr>
      <w:tr>
        <w:tc>
          <w:tcPr>
            <w:tcW w:type="dxa" w:w="32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currentVolume</w:t>
            </w:r>
          </w:p>
        </w:tc>
        <w:tc>
          <w:tcPr>
            <w:tcW w:type="dxa" w:w="61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Today's traded volume for this contract so far</w:t>
            </w:r>
          </w:p>
        </w:tc>
      </w:tr>
      <w:tr>
        <w:tc>
          <w:tcPr>
            <w:tcW w:type="dxa" w:w="32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historicalAvgVolume</w:t>
            </w:r>
          </w:p>
        </w:tc>
        <w:tc>
          <w:tcPr>
            <w:tcW w:type="dxa" w:w="61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Average volume from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options_context_buckets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the same (underlying, optionType, moneynessBucket, timeBucket15m) cohort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76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implication</w:t>
            </w:r>
          </w:p>
        </w:tc>
      </w:tr>
      <w:tr>
        <w:tc>
          <w:tcPr>
            <w:tcW w:type="dxa" w:w="18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75746"/>
                <w:sz w:val="22"/>
                <w:szCs w:val="22"/>
              </w:rPr>
              <w:t xml:space="preserve">70 – 100</w:t>
            </w:r>
          </w:p>
        </w:tc>
        <w:tc>
          <w:tcPr>
            <w:tcW w:type="dxa" w:w="28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Tight spread, normal-to-high volume</w:t>
            </w:r>
          </w:p>
        </w:tc>
        <w:tc>
          <w:tcPr>
            <w:tcW w:type="dxa" w:w="47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Good execution environment. You can enter and exit close to mid-price.</w:t>
            </w:r>
          </w:p>
        </w:tc>
      </w:tr>
      <w:tr>
        <w:tc>
          <w:tcPr>
            <w:tcW w:type="dxa" w:w="18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FFF2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1C"/>
                <w:sz w:val="22"/>
                <w:szCs w:val="22"/>
              </w:rPr>
              <w:t xml:space="preserve">40 – 69</w:t>
            </w:r>
          </w:p>
        </w:tc>
        <w:tc>
          <w:tcPr>
            <w:tcW w:type="dxa" w:w="28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Moderate spread or thin volume</w:t>
            </w:r>
          </w:p>
        </w:tc>
        <w:tc>
          <w:tcPr>
            <w:tcW w:type="dxa" w:w="47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limit orders. Check both legs if entering a strangle or condor — one leg with low liquidity can compromise the whole structure.</w:t>
            </w:r>
          </w:p>
        </w:tc>
      </w:tr>
      <w:tr>
        <w:tc>
          <w:tcPr>
            <w:tcW w:type="dxa" w:w="18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FDE7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54D41"/>
                <w:sz w:val="22"/>
                <w:szCs w:val="22"/>
              </w:rPr>
              <w:t xml:space="preserve">Below 40</w:t>
            </w:r>
          </w:p>
        </w:tc>
        <w:tc>
          <w:tcPr>
            <w:tcW w:type="dxa" w:w="28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Wide spread or very low volume</w:t>
            </w:r>
          </w:p>
        </w:tc>
        <w:tc>
          <w:tcPr>
            <w:tcW w:type="dxa" w:w="47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Avoid. The spread cost alone can wipe the premium edge.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ZERO_VOLUME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disqualifier is applied if volume = 0.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75746"/>
          <w:sz w:val="22"/>
          <w:szCs w:val="22"/>
        </w:rPr>
        <w:t xml:space="preserve">Practical note: </w:t>
      </w:r>
      <w:r>
        <w:rPr>
          <w:rFonts w:ascii="Arial" w:cs="Arial" w:eastAsia="Arial" w:hAnsi="Arial"/>
          <w:sz w:val="22"/>
          <w:szCs w:val="22"/>
        </w:rPr>
        <w:t xml:space="preserve">Near-expiry weekly options on NIFTY and BANKNIFTY typically have excellent liquidity (ATM strikes especially). The score is most useful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OTM strikes and non-index contracts</w:t>
      </w:r>
      <w:r>
        <w:rPr>
          <w:rFonts w:ascii="Arial" w:cs="Arial" w:eastAsia="Arial" w:hAnsi="Arial"/>
          <w:sz w:val="22"/>
          <w:szCs w:val="22"/>
        </w:rPr>
        <w:t xml:space="preserve"> where volume can thin out.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54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  Delta Risk Score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0C8C0"/>
                <w:sz w:val="20"/>
                <w:szCs w:val="20"/>
              </w:rPr>
              <w:t xml:space="preserve">How exposed is this position to underlying price movement?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What it measures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Delta risk tells you how close this strike is to at-the-money (ATM). Contracts that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near ATM are high-delta</w:t>
      </w:r>
      <w:r>
        <w:rPr>
          <w:rFonts w:ascii="Arial" w:cs="Arial" w:eastAsia="Arial" w:hAnsi="Arial"/>
          <w:sz w:val="22"/>
          <w:szCs w:val="22"/>
        </w:rPr>
        <w:t xml:space="preserve"> — their P&amp;L is very sensitive to every point the underlying moves. The system assigns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 score to ATM and near-ATM contracts</w:t>
      </w:r>
      <w:r>
        <w:rPr>
          <w:rFonts w:ascii="Arial" w:cs="Arial" w:eastAsia="Arial" w:hAnsi="Arial"/>
          <w:sz w:val="22"/>
          <w:szCs w:val="22"/>
        </w:rPr>
        <w:t xml:space="preserve"> because they carry more directional risk for a short-sell strategy. It rewards contracts that are safely OTM (out-of-the-money).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75746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A high Delta Risk score means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lower risk</w:t>
      </w:r>
      <w:r>
        <w:rPr>
          <w:rFonts w:ascii="Arial" w:cs="Arial" w:eastAsia="Arial" w:hAnsi="Arial"/>
          <w:sz w:val="22"/>
          <w:szCs w:val="22"/>
        </w:rPr>
        <w:t xml:space="preserve"> (the option is safely OTM). A low score means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higher risk</w:t>
      </w:r>
      <w:r>
        <w:rPr>
          <w:rFonts w:ascii="Arial" w:cs="Arial" w:eastAsia="Arial" w:hAnsi="Arial"/>
          <w:sz w:val="22"/>
          <w:szCs w:val="22"/>
        </w:rPr>
        <w:t xml:space="preserve"> (the option is near or at the money). The name reflects the risk being measured, not the desirability.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Exact formula (piecewise linear)</w:t>
      </w:r>
    </w:p>
    <w:tbl>
      <w:tblPr>
        <w:tblW w:type="dxa" w:w="9000"/>
        <w:tblBorders>
          <w:top w:val="single" w:color="0D8B72" w:sz="4"/>
          <w:left w:val="thick" w:color="0D8B72" w:sz="6"/>
          <w:bottom w:val="single" w:color="0D8B72" w:sz="4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absMoneyness = | strike - spot |   (absolute distance in index points)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Zone 1 — ATM danger zone  (&lt; 100 pts from spot):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score = absMoneyness / 100  x  0.30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(score = 0.0 exactly ATM,  score = 0.30 at 100 pts away)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Zone 2 — Transition  (100 to 500 pts from spot):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t = (absMoneyness - 100) / 400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score = 0.30 + t x 0.70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(score rises from 0.30 to 1.0 linearly)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Zone 3 — Safe OTM  (&gt;= 500 pts from spot):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score = 1.0   (fully safe distance)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 from spot</w:t>
            </w:r>
          </w:p>
        </w:tc>
        <w:tc>
          <w:tcPr>
            <w:tcW w:type="dxa" w:w="516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your trade</w:t>
            </w:r>
          </w:p>
        </w:tc>
      </w:tr>
      <w:tr>
        <w:tc>
          <w:tcPr>
            <w:tcW w:type="dxa" w:w="18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75746"/>
                <w:sz w:val="22"/>
                <w:szCs w:val="22"/>
              </w:rPr>
              <w:t xml:space="preserve">85 – 100</w:t>
            </w:r>
          </w:p>
        </w:tc>
        <w:tc>
          <w:tcPr>
            <w:tcW w:type="dxa" w:w="24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~350–500+ pts OTM</w:t>
            </w:r>
          </w:p>
        </w:tc>
        <w:tc>
          <w:tcPr>
            <w:tcW w:type="dxa" w:w="51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 delta exposure. Underlying can move significantly before this leg is challenged. Suitable for short-premium structures with wide wings.</w:t>
            </w:r>
          </w:p>
        </w:tc>
      </w:tr>
      <w:tr>
        <w:tc>
          <w:tcPr>
            <w:tcW w:type="dxa" w:w="18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FFF2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1C"/>
                <w:sz w:val="22"/>
                <w:szCs w:val="22"/>
              </w:rPr>
              <w:t xml:space="preserve">30 – 84</w:t>
            </w:r>
          </w:p>
        </w:tc>
        <w:tc>
          <w:tcPr>
            <w:tcW w:type="dxa" w:w="24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~100–350 pts OTM</w:t>
            </w:r>
          </w:p>
        </w:tc>
        <w:tc>
          <w:tcPr>
            <w:tcW w:type="dxa" w:w="51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Moderate exposure. Monitor delta actively. This is the typical strike zone for short strangles — manageable but needs attention if underlying trends.</w:t>
            </w:r>
          </w:p>
        </w:tc>
      </w:tr>
      <w:tr>
        <w:tc>
          <w:tcPr>
            <w:tcW w:type="dxa" w:w="18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FDE7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54D41"/>
                <w:sz w:val="22"/>
                <w:szCs w:val="22"/>
              </w:rPr>
              <w:t xml:space="preserve">0 – 29</w:t>
            </w:r>
          </w:p>
        </w:tc>
        <w:tc>
          <w:tcPr>
            <w:tcW w:type="dxa" w:w="24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Within 100 pts of spot (near ATM)</w:t>
            </w:r>
          </w:p>
        </w:tc>
        <w:tc>
          <w:tcPr>
            <w:tcW w:type="dxa" w:w="51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 delta. The option moves almost like the underlying. Entering a short here without a hedge is a directional trade, not a theta trade. Use only with a defined hedge.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75746"/>
          <w:sz w:val="22"/>
          <w:szCs w:val="22"/>
        </w:rPr>
        <w:t xml:space="preserve">NIFTY context: </w:t>
      </w:r>
      <w:r>
        <w:rPr>
          <w:rFonts w:ascii="Arial" w:cs="Arial" w:eastAsia="Arial" w:hAnsi="Arial"/>
          <w:sz w:val="22"/>
          <w:szCs w:val="22"/>
        </w:rPr>
        <w:t xml:space="preserve">NIFTY index around 24,000–25,000. A 500-point OTM strike is roughly 2% away from spot. A 100-point zone is less than 0.5% — ATM territory.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BANKNIFTY</w:t>
      </w:r>
      <w:r>
        <w:rPr>
          <w:rFonts w:ascii="Arial" w:cs="Arial" w:eastAsia="Arial" w:hAnsi="Arial"/>
          <w:sz w:val="22"/>
          <w:szCs w:val="22"/>
        </w:rPr>
        <w:t xml:space="preserve"> (index ~55,000), scale the thresholds proportionally in your head — the 500 pts safe zone is only ~0.9% away.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3D3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  Total Score  (Rank Order)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0C8C0"/>
                <w:sz w:val="20"/>
                <w:szCs w:val="20"/>
              </w:rPr>
              <w:t xml:space="preserve">The composite signal that drives the candidate ranking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What it measures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total score is the single number used to rank all candidates. It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weighted sum of the four sub-scores</w:t>
      </w:r>
      <w:r>
        <w:rPr>
          <w:rFonts w:ascii="Arial" w:cs="Arial" w:eastAsia="Arial" w:hAnsi="Arial"/>
          <w:sz w:val="22"/>
          <w:szCs w:val="22"/>
        </w:rPr>
        <w:t xml:space="preserve">, reflecting the relative importance of each factor to a theta-decay short-option strategy.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Formula and weights</w:t>
      </w:r>
    </w:p>
    <w:tbl>
      <w:tblPr>
        <w:tblW w:type="dxa" w:w="9000"/>
        <w:tblBorders>
          <w:top w:val="single" w:color="0D8B72" w:sz="4"/>
          <w:left w:val="thick" w:color="0D8B72" w:sz="6"/>
          <w:bottom w:val="single" w:color="0D8B72" w:sz="4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totalScore = 0.40 x thetaScore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         + 0.30 x richnessScore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         + 0.20 x liquidityScore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           + 0.10 x deltaRiskScore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scadia Mono" w:cs="Cascadia Mono" w:eastAsia="Cascadia Mono" w:hAnsi="Cascadia Mono"/>
                <w:color w:val="075746"/>
                <w:sz w:val="20"/>
                <w:szCs w:val="20"/>
              </w:rPr>
              <w:t xml:space="preserve">Weights sum to 1.0  (100%)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Why these weights?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4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96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Theta Score</w:t>
            </w:r>
          </w:p>
        </w:tc>
        <w:tc>
          <w:tcPr>
            <w:tcW w:type="dxa" w:w="14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75746"/>
                <w:sz w:val="22"/>
                <w:szCs w:val="22"/>
              </w:rPr>
              <w:t xml:space="preserve">40%</w:t>
            </w:r>
          </w:p>
        </w:tc>
        <w:tc>
          <w:tcPr>
            <w:tcW w:type="dxa" w:w="59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primary purpose of the strategy is to collect theta decay. This factor already incorporates richness (via its own formula), so it captures both time and premium dimensions.</w:t>
            </w:r>
          </w:p>
        </w:tc>
      </w:tr>
      <w:tr>
        <w:tc>
          <w:tcPr>
            <w:tcW w:type="dxa" w:w="20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Richness Score</w:t>
            </w:r>
          </w:p>
        </w:tc>
        <w:tc>
          <w:tcPr>
            <w:tcW w:type="dxa" w:w="14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1C"/>
                <w:sz w:val="22"/>
                <w:szCs w:val="22"/>
              </w:rPr>
              <w:t xml:space="preserve">30%</w:t>
            </w:r>
          </w:p>
        </w:tc>
        <w:tc>
          <w:tcPr>
            <w:tcW w:type="dxa" w:w="59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Premium above historical average is the core edge. Without it there is nothing to decay into profit. Given explicit weight to ensure it directly affects ranking independent of theta.</w:t>
            </w:r>
          </w:p>
        </w:tc>
      </w:tr>
      <w:tr>
        <w:tc>
          <w:tcPr>
            <w:tcW w:type="dxa" w:w="20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Liquidity Score</w:t>
            </w:r>
          </w:p>
        </w:tc>
        <w:tc>
          <w:tcPr>
            <w:tcW w:type="dxa" w:w="14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1C"/>
                <w:sz w:val="22"/>
                <w:szCs w:val="22"/>
              </w:rPr>
              <w:t xml:space="preserve">20%</w:t>
            </w:r>
          </w:p>
        </w:tc>
        <w:tc>
          <w:tcPr>
            <w:tcW w:type="dxa" w:w="59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edge that cannot be executed is worthless. However, most NIFTY/BANKNIFTY weekly options have adequate liquidity, so this acts as a tiebreaker rather than a primary gate.</w:t>
            </w:r>
          </w:p>
        </w:tc>
      </w:tr>
      <w:tr>
        <w:tc>
          <w:tcPr>
            <w:tcW w:type="dxa" w:w="20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Delta Risk Score</w:t>
            </w:r>
          </w:p>
        </w:tc>
        <w:tc>
          <w:tcPr>
            <w:tcW w:type="dxa" w:w="14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07069"/>
                <w:sz w:val="22"/>
                <w:szCs w:val="22"/>
              </w:rPr>
              <w:t xml:space="preserve">10%</w:t>
            </w:r>
          </w:p>
        </w:tc>
        <w:tc>
          <w:tcPr>
            <w:tcW w:type="dxa" w:w="59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Lowest weight because delta position is managed separately (via strike selection, hedge legs, and net delta monitoring). The score penalises very-near-ATM contracts but does not heavily rank-order the broader OTM space.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Score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Score</w:t>
            </w:r>
          </w:p>
        </w:tc>
        <w:tc>
          <w:tcPr>
            <w:tcW w:type="dxa" w:w="22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quality</w:t>
            </w:r>
          </w:p>
        </w:tc>
        <w:tc>
          <w:tcPr>
            <w:tcW w:type="dxa" w:w="536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</w:t>
            </w:r>
          </w:p>
        </w:tc>
      </w:tr>
      <w:tr>
        <w:tc>
          <w:tcPr>
            <w:tcW w:type="dxa" w:w="18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75746"/>
                <w:sz w:val="22"/>
                <w:szCs w:val="22"/>
              </w:rPr>
              <w:t xml:space="preserve">75 – 100</w:t>
            </w:r>
          </w:p>
        </w:tc>
        <w:tc>
          <w:tcPr>
            <w:tcW w:type="dxa" w:w="22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Strong</w:t>
            </w:r>
          </w:p>
        </w:tc>
        <w:tc>
          <w:tcPr>
            <w:tcW w:type="dxa" w:w="53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High-conviction candidate. Multiple factors align. Review the detail panel — confirm richness is positive, liquidity above 60, and delta risk is acceptable for your risk appetite.</w:t>
            </w:r>
          </w:p>
        </w:tc>
      </w:tr>
      <w:tr>
        <w:tc>
          <w:tcPr>
            <w:tcW w:type="dxa" w:w="18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FFF2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1C"/>
                <w:sz w:val="22"/>
                <w:szCs w:val="22"/>
              </w:rPr>
              <w:t xml:space="preserve">50 – 74</w:t>
            </w:r>
          </w:p>
        </w:tc>
        <w:tc>
          <w:tcPr>
            <w:tcW w:type="dxa" w:w="22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Moderate</w:t>
            </w:r>
          </w:p>
        </w:tc>
        <w:tc>
          <w:tcPr>
            <w:tcW w:type="dxa" w:w="53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Worth examining. Typically means one factor is weak — check which one and decide if you can accept that limitation. Good for a lower-size position or as the wing of a condor.</w:t>
            </w:r>
          </w:p>
        </w:tc>
      </w:tr>
      <w:tr>
        <w:tc>
          <w:tcPr>
            <w:tcW w:type="dxa" w:w="18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FDE7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54D41"/>
                <w:sz w:val="22"/>
                <w:szCs w:val="22"/>
              </w:rPr>
              <w:t xml:space="preserve">Below 50</w:t>
            </w:r>
          </w:p>
        </w:tc>
        <w:tc>
          <w:tcPr>
            <w:tcW w:type="dxa" w:w="22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Weak or disqualified</w:t>
            </w:r>
          </w:p>
        </w:tc>
        <w:tc>
          <w:tcPr>
            <w:tcW w:type="dxa" w:w="53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Disqualified candidates score exactly 0. Low-scoring qualified candidates are included to show the full universe — do not trade them unless you have an overriding view.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F1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  Disqualifier Rules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0C8C0"/>
                <w:sz w:val="20"/>
                <w:szCs w:val="20"/>
              </w:rPr>
              <w:t xml:space="preserve">Contracts that fail these checks are automatically excluded from ranking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scoring begins, each candidate passes through a disqualifier gate. A disqualified candidate gets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scores set to zero</w:t>
      </w:r>
      <w:r>
        <w:rPr>
          <w:rFonts w:ascii="Arial" w:cs="Arial" w:eastAsia="Arial" w:hAnsi="Arial"/>
          <w:sz w:val="22"/>
          <w:szCs w:val="22"/>
        </w:rPr>
        <w:t xml:space="preserve"> and appears greyed-out in the Strategy Lab table with the reason shown. These rules are applied in priority order — the first match disqualifies the contract.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code</w:t>
            </w:r>
          </w:p>
        </w:tc>
        <w:tc>
          <w:tcPr>
            <w:tcW w:type="dxa" w:w="22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56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FDE7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Cascadia Mono" w:cs="Cascadia Mono" w:eastAsia="Cascadia Mono" w:hAnsi="Cascadia Mono"/>
                <w:b/>
                <w:bCs/>
                <w:sz w:val="22"/>
                <w:szCs w:val="22"/>
              </w:rPr>
              <w:t xml:space="preserve">DTE_OUT_OF_WINDOW</w:t>
            </w:r>
          </w:p>
        </w:tc>
        <w:tc>
          <w:tcPr>
            <w:tcW w:type="dxa" w:w="22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DTE &lt; 1 or DTE &gt; 45</w:t>
            </w:r>
          </w:p>
        </w:tc>
        <w:tc>
          <w:tcPr>
            <w:tcW w:type="dxa" w:w="45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Contract expires today (DTE &lt; 1) or is too far out (&gt; 45 days). The scanner focuses on weekly and near-monthly cycles. Contracts outside this window have different risk profiles.</w:t>
            </w:r>
          </w:p>
        </w:tc>
      </w:tr>
      <w:tr>
        <w:tc>
          <w:tcPr>
            <w:tcW w:type="dxa" w:w="26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FDE7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Cascadia Mono" w:cs="Cascadia Mono" w:eastAsia="Cascadia Mono" w:hAnsi="Cascadia Mono"/>
                <w:b/>
                <w:bCs/>
                <w:sz w:val="22"/>
                <w:szCs w:val="22"/>
              </w:rPr>
              <w:t xml:space="preserve">ZERO_BID</w:t>
            </w:r>
          </w:p>
        </w:tc>
        <w:tc>
          <w:tcPr>
            <w:tcW w:type="dxa" w:w="22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bidPrice &lt;= 0</w:t>
            </w:r>
          </w:p>
        </w:tc>
        <w:tc>
          <w:tcPr>
            <w:tcW w:type="dxa" w:w="45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buy-side market. Cannot enter a short position without a live bid. Skip entirely — any fill would be at an unreliable price.</w:t>
            </w:r>
          </w:p>
        </w:tc>
      </w:tr>
      <w:tr>
        <w:tc>
          <w:tcPr>
            <w:tcW w:type="dxa" w:w="26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FDE7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Cascadia Mono" w:cs="Cascadia Mono" w:eastAsia="Cascadia Mono" w:hAnsi="Cascadia Mono"/>
                <w:b/>
                <w:bCs/>
                <w:sz w:val="22"/>
                <w:szCs w:val="22"/>
              </w:rPr>
              <w:t xml:space="preserve">ZERO_VOLUME</w:t>
            </w:r>
          </w:p>
        </w:tc>
        <w:tc>
          <w:tcPr>
            <w:tcW w:type="dxa" w:w="22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volume = 0</w:t>
            </w:r>
          </w:p>
        </w:tc>
        <w:tc>
          <w:tcPr>
            <w:tcW w:type="dxa" w:w="45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trading activity today. Even if a bid exists, zero volume means no real market. This typically happens for deep OTM contracts or newly listed strikes.</w:t>
            </w:r>
          </w:p>
        </w:tc>
      </w:tr>
      <w:tr>
        <w:tc>
          <w:tcPr>
            <w:tcW w:type="dxa" w:w="26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FDE7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Cascadia Mono" w:cs="Cascadia Mono" w:eastAsia="Cascadia Mono" w:hAnsi="Cascadia Mono"/>
                <w:b/>
                <w:bCs/>
                <w:sz w:val="22"/>
                <w:szCs w:val="22"/>
              </w:rPr>
              <w:t xml:space="preserve">MISSING_COHORT</w:t>
            </w:r>
          </w:p>
        </w:tc>
        <w:tc>
          <w:tcPr>
            <w:tcW w:type="dxa" w:w="22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historical bucket found</w:t>
            </w:r>
          </w:p>
        </w:tc>
        <w:tc>
          <w:tcPr>
            <w:tcW w:type="dxa" w:w="45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backend could not find a historical cohort row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options_context_buckets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this contract's (underlying, optionType, moneynessBucket, timeBucket15m) combination. Without historical context, richness and theta scores cannot be computed. Usually means this strike/TTE combination has no historical data yet.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02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7  Reading a Candidate: End-to-End Example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0C8C0"/>
                <w:sz w:val="20"/>
                <w:szCs w:val="20"/>
              </w:rPr>
              <w:t xml:space="preserve">How to interpret a real row in Strategy Lab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Suppose Strategy Lab shows this candidate at rank #1: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300"/>
        <w:gridCol w:w="1300"/>
        <w:gridCol w:w="1300"/>
        <w:gridCol w:w="1300"/>
        <w:gridCol w:w="960"/>
      </w:tblGrid>
      <w:tr>
        <w:tc>
          <w:tcPr>
            <w:tcW w:type="dxa" w:w="19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3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Richness</w:t>
            </w:r>
          </w:p>
        </w:tc>
        <w:tc>
          <w:tcPr>
            <w:tcW w:type="dxa" w:w="13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Theta</w:t>
            </w:r>
          </w:p>
        </w:tc>
        <w:tc>
          <w:tcPr>
            <w:tcW w:type="dxa" w:w="13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Liquidity</w:t>
            </w:r>
          </w:p>
        </w:tc>
        <w:tc>
          <w:tcPr>
            <w:tcW w:type="dxa" w:w="13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 Risk</w:t>
            </w:r>
          </w:p>
        </w:tc>
        <w:tc>
          <w:tcPr>
            <w:tcW w:type="dxa" w:w="13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96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NIFTY26APR24800CE</w:t>
            </w:r>
          </w:p>
        </w:tc>
        <w:tc>
          <w:tcPr>
            <w:tcW w:type="dxa" w:w="13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75746"/>
                <w:sz w:val="22"/>
                <w:szCs w:val="22"/>
              </w:rPr>
              <w:t xml:space="preserve">+18.40 pts</w:t>
            </w:r>
          </w:p>
        </w:tc>
        <w:tc>
          <w:tcPr>
            <w:tcW w:type="dxa" w:w="13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75746"/>
                <w:sz w:val="22"/>
                <w:szCs w:val="22"/>
              </w:rPr>
              <w:t xml:space="preserve">72</w:t>
            </w:r>
          </w:p>
        </w:tc>
        <w:tc>
          <w:tcPr>
            <w:tcW w:type="dxa" w:w="13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75746"/>
                <w:sz w:val="22"/>
                <w:szCs w:val="22"/>
              </w:rPr>
              <w:t xml:space="preserve">81</w:t>
            </w:r>
          </w:p>
        </w:tc>
        <w:tc>
          <w:tcPr>
            <w:tcW w:type="dxa" w:w="13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1C"/>
                <w:sz w:val="22"/>
                <w:szCs w:val="22"/>
              </w:rPr>
              <w:t xml:space="preserve">74</w:t>
            </w:r>
          </w:p>
        </w:tc>
        <w:tc>
          <w:tcPr>
            <w:tcW w:type="dxa" w:w="13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75746"/>
                <w:sz w:val="22"/>
                <w:szCs w:val="22"/>
              </w:rPr>
              <w:t xml:space="preserve">75</w:t>
            </w:r>
          </w:p>
        </w:tc>
        <w:tc>
          <w:tcPr>
            <w:tcW w:type="dxa" w:w="9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Detail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5746"/>
          <w:sz w:val="23"/>
          <w:szCs w:val="23"/>
        </w:rPr>
        <w:t xml:space="preserve">Step 1 — Is there a richness edge?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Richness +18.40 pts.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Yes</w:t>
      </w:r>
      <w:r>
        <w:rPr>
          <w:rFonts w:ascii="Arial" w:cs="Arial" w:eastAsia="Arial" w:hAnsi="Arial"/>
          <w:sz w:val="22"/>
          <w:szCs w:val="22"/>
        </w:rPr>
        <w:t xml:space="preserve"> — the contract is trading 18.40 points above its historical cohort average. This is a meaningful premium surplus. It feeds both the richness score (30% weight) and the theta score (which uses richnessScore internally).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5746"/>
          <w:sz w:val="23"/>
          <w:szCs w:val="23"/>
        </w:rPr>
        <w:t xml:space="preserve">Step 2 — Is theta engaged?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Theta score 72. This means ~72% of maximum. The breakdown: richnessScore is contributing ~0.60 x (richness% / 40) and the time proximity is moderate. The contract is not in the final 2-hour window yet, but richness is carrying the score.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Acceptable for entry</w:t>
      </w:r>
      <w:r>
        <w:rPr>
          <w:rFonts w:ascii="Arial" w:cs="Arial" w:eastAsia="Arial" w:hAnsi="Arial"/>
          <w:sz w:val="22"/>
          <w:szCs w:val="22"/>
        </w:rPr>
        <w:t xml:space="preserve">, especially if the expiry is today or tomorrow.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5746"/>
          <w:sz w:val="23"/>
          <w:szCs w:val="23"/>
        </w:rPr>
        <w:t xml:space="preserve">Step 3 — Can it be executed?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Liquidity 81. Excellent. Bid-ask spread is tight (&lt; 2% ratio) and volume is above average.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execution concern</w:t>
      </w:r>
      <w:r>
        <w:rPr>
          <w:rFonts w:ascii="Arial" w:cs="Arial" w:eastAsia="Arial" w:hAnsi="Arial"/>
          <w:sz w:val="22"/>
          <w:szCs w:val="22"/>
        </w:rPr>
        <w:t xml:space="preserve">. You can enter at close to mid-price.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5746"/>
          <w:sz w:val="23"/>
          <w:szCs w:val="23"/>
        </w:rPr>
        <w:t xml:space="preserve">Step 4 — What is the directional exposure?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Delta risk 74. The contract is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transition zone</w:t>
      </w:r>
      <w:r>
        <w:rPr>
          <w:rFonts w:ascii="Arial" w:cs="Arial" w:eastAsia="Arial" w:hAnsi="Arial"/>
          <w:sz w:val="22"/>
          <w:szCs w:val="22"/>
        </w:rPr>
        <w:t xml:space="preserve"> — roughly 200–250 points OTM based on the formula. Manageable for a short strangle, but monitor if NIFTY moves toward 24,800. The other leg (a PE at equivalent OTM distance) should balance the net delta.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5746"/>
          <w:sz w:val="23"/>
          <w:szCs w:val="23"/>
        </w:rPr>
        <w:t xml:space="preserve">Step 5 — Total score 75: what does this mean?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score of 75 is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strong signal zone</w:t>
      </w:r>
      <w:r>
        <w:rPr>
          <w:rFonts w:ascii="Arial" w:cs="Arial" w:eastAsia="Arial" w:hAnsi="Arial"/>
          <w:sz w:val="22"/>
          <w:szCs w:val="22"/>
        </w:rPr>
        <w:t xml:space="preserve">. All four factors are positive and no factor is critically weak. This is a valid short-sell candidate for a theta strategy, subject to your overall position size and net delta constraints.</w:t>
      </w:r>
    </w:p>
    <w:p>
      <w:pPr>
        <w:spacing w:after="120" w:before="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075746"/>
          <w:sz w:val="22"/>
          <w:szCs w:val="22"/>
        </w:rPr>
        <w:t xml:space="preserve">What would disqualify this trade at this point? </w:t>
      </w:r>
      <w:r>
        <w:rPr>
          <w:rFonts w:ascii="Arial" w:cs="Arial" w:eastAsia="Arial" w:hAnsi="Arial"/>
          <w:sz w:val="22"/>
          <w:szCs w:val="22"/>
        </w:rPr>
        <w:t xml:space="preserve">A risk-guard block (when the orchestrator is live in Phase 2), a net delta that is already too far in one direction, lot-cap breach, or a manual decision to wait for a richer entry.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2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Quick Reference Card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0C8C0"/>
                <w:sz w:val="20"/>
                <w:szCs w:val="20"/>
              </w:rPr>
              <w:t xml:space="preserve">Print-friendly cheat sheet for daily use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280"/>
        <w:gridCol w:w="2280"/>
        <w:gridCol w:w="1680"/>
      </w:tblGrid>
      <w:tr>
        <w:tc>
          <w:tcPr>
            <w:tcW w:type="dxa" w:w="156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28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(&gt; 70): means...</w:t>
            </w:r>
          </w:p>
        </w:tc>
        <w:tc>
          <w:tcPr>
            <w:tcW w:type="dxa" w:w="228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(&lt; 40): means...</w:t>
            </w:r>
          </w:p>
        </w:tc>
        <w:tc>
          <w:tcPr>
            <w:tcW w:type="dxa" w:w="168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1325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input</w:t>
            </w:r>
          </w:p>
        </w:tc>
      </w:tr>
      <w:tr>
        <w:tc>
          <w:tcPr>
            <w:tcW w:type="dxa" w:w="15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Richness (pts)</w:t>
            </w:r>
          </w:p>
        </w:tc>
        <w:tc>
          <w:tcPr>
            <w:tcW w:type="dxa" w:w="15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30%</w:t>
            </w:r>
          </w:p>
        </w:tc>
        <w:tc>
          <w:tcPr>
            <w:tcW w:type="dxa" w:w="228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Premium well above historical avg — sell edge exists</w:t>
            </w:r>
          </w:p>
        </w:tc>
        <w:tc>
          <w:tcPr>
            <w:tcW w:type="dxa" w:w="228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Premium cheap or fair — no edge to sell</w:t>
            </w:r>
          </w:p>
        </w:tc>
        <w:tc>
          <w:tcPr>
            <w:tcW w:type="dxa" w:w="168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lastPrice vs historicalAvg</w:t>
            </w:r>
          </w:p>
        </w:tc>
      </w:tr>
      <w:tr>
        <w:tc>
          <w:tcPr>
            <w:tcW w:type="dxa" w:w="15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Theta</w:t>
            </w:r>
          </w:p>
        </w:tc>
        <w:tc>
          <w:tcPr>
            <w:tcW w:type="dxa" w:w="15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40%</w:t>
            </w:r>
          </w:p>
        </w:tc>
        <w:tc>
          <w:tcPr>
            <w:tcW w:type="dxa" w:w="228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Rich premium AND near expiry — decay is fast</w:t>
            </w:r>
          </w:p>
        </w:tc>
        <w:tc>
          <w:tcPr>
            <w:tcW w:type="dxa" w:w="228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Cheap premium or far from expiry — decay slow</w:t>
            </w:r>
          </w:p>
        </w:tc>
        <w:tc>
          <w:tcPr>
            <w:tcW w:type="dxa" w:w="168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Richness + TTE bucket</w:t>
            </w:r>
          </w:p>
        </w:tc>
      </w:tr>
      <w:tr>
        <w:tc>
          <w:tcPr>
            <w:tcW w:type="dxa" w:w="15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Liquidity</w:t>
            </w:r>
          </w:p>
        </w:tc>
        <w:tc>
          <w:tcPr>
            <w:tcW w:type="dxa" w:w="15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228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Tight spread, normal volume — can execute cleanly</w:t>
            </w:r>
          </w:p>
        </w:tc>
        <w:tc>
          <w:tcPr>
            <w:tcW w:type="dxa" w:w="228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Wide spread or thin volume — execution cost high</w:t>
            </w:r>
          </w:p>
        </w:tc>
        <w:tc>
          <w:tcPr>
            <w:tcW w:type="dxa" w:w="168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Bid/ask spread + volume vs historical</w:t>
            </w:r>
          </w:p>
        </w:tc>
      </w:tr>
      <w:tr>
        <w:tc>
          <w:tcPr>
            <w:tcW w:type="dxa" w:w="15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Delta Risk</w:t>
            </w:r>
          </w:p>
        </w:tc>
        <w:tc>
          <w:tcPr>
            <w:tcW w:type="dxa" w:w="15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10%</w:t>
            </w:r>
          </w:p>
        </w:tc>
        <w:tc>
          <w:tcPr>
            <w:tcW w:type="dxa" w:w="228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Strike is safely OTM (500+ pts) — low directional risk</w:t>
            </w:r>
          </w:p>
        </w:tc>
        <w:tc>
          <w:tcPr>
            <w:tcW w:type="dxa" w:w="228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Strike is near ATM — high directional sensitivity</w:t>
            </w:r>
          </w:p>
        </w:tc>
        <w:tc>
          <w:tcPr>
            <w:tcW w:type="dxa" w:w="168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| strike - spot | in pts</w:t>
            </w:r>
          </w:p>
        </w:tc>
      </w:tr>
      <w:tr>
        <w:tc>
          <w:tcPr>
            <w:tcW w:type="dxa" w:w="15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Score</w:t>
            </w:r>
          </w:p>
        </w:tc>
        <w:tc>
          <w:tcPr>
            <w:tcW w:type="dxa" w:w="15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28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D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75746"/>
                <w:sz w:val="22"/>
                <w:szCs w:val="22"/>
              </w:rPr>
              <w:t xml:space="preserve">75+: strong signal</w:t>
            </w:r>
          </w:p>
        </w:tc>
        <w:tc>
          <w:tcPr>
            <w:tcW w:type="dxa" w:w="228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shd w:fill="FDE7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54D41"/>
                <w:sz w:val="22"/>
                <w:szCs w:val="22"/>
              </w:rPr>
              <w:t xml:space="preserve">&lt; 50: pass or disqualified</w:t>
            </w:r>
          </w:p>
        </w:tc>
        <w:tc>
          <w:tcPr>
            <w:tcW w:type="dxa" w:w="168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Weighted sum above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1C"/>
          <w:sz w:val="26"/>
          <w:szCs w:val="26"/>
        </w:rPr>
        <w:t xml:space="preserve">Disqualifier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0757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360"/>
            <w:tcBorders>
              <w:top w:val="single" w:color="075746" w:sz="1"/>
              <w:left w:val="single" w:color="075746" w:sz="1"/>
              <w:bottom w:val="single" w:color="075746" w:sz="1"/>
              <w:right w:val="single" w:color="075746" w:sz="1"/>
            </w:tcBorders>
            <w:shd w:fill="0757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 because...</w:t>
            </w:r>
          </w:p>
        </w:tc>
      </w:tr>
      <w:tr>
        <w:tc>
          <w:tcPr>
            <w:tcW w:type="dxa" w:w="30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Cascadia Mono" w:cs="Cascadia Mono" w:eastAsia="Cascadia Mono" w:hAnsi="Cascadia Mono"/>
                <w:b/>
                <w:bCs/>
                <w:sz w:val="22"/>
                <w:szCs w:val="22"/>
              </w:rPr>
              <w:t xml:space="preserve">DTE_OUT_OF_WINDOW</w:t>
            </w:r>
          </w:p>
        </w:tc>
        <w:tc>
          <w:tcPr>
            <w:tcW w:type="dxa" w:w="63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Expires today (too late) or &gt;45 days out (too early)</w:t>
            </w:r>
          </w:p>
        </w:tc>
      </w:tr>
      <w:tr>
        <w:tc>
          <w:tcPr>
            <w:tcW w:type="dxa" w:w="30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Cascadia Mono" w:cs="Cascadia Mono" w:eastAsia="Cascadia Mono" w:hAnsi="Cascadia Mono"/>
                <w:b/>
                <w:bCs/>
                <w:sz w:val="22"/>
                <w:szCs w:val="22"/>
              </w:rPr>
              <w:t xml:space="preserve">ZERO_BID</w:t>
            </w:r>
          </w:p>
        </w:tc>
        <w:tc>
          <w:tcPr>
            <w:tcW w:type="dxa" w:w="63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live bid — cannot enter a short position</w:t>
            </w:r>
          </w:p>
        </w:tc>
      </w:tr>
      <w:tr>
        <w:tc>
          <w:tcPr>
            <w:tcW w:type="dxa" w:w="30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Cascadia Mono" w:cs="Cascadia Mono" w:eastAsia="Cascadia Mono" w:hAnsi="Cascadia Mono"/>
                <w:b/>
                <w:bCs/>
                <w:sz w:val="22"/>
                <w:szCs w:val="22"/>
              </w:rPr>
              <w:t xml:space="preserve">ZERO_VOLUME</w:t>
            </w:r>
          </w:p>
        </w:tc>
        <w:tc>
          <w:tcPr>
            <w:tcW w:type="dxa" w:w="63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trading activity today — illiquid</w:t>
            </w:r>
          </w:p>
        </w:tc>
      </w:tr>
      <w:tr>
        <w:tc>
          <w:tcPr>
            <w:tcW w:type="dxa" w:w="300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Cascadia Mono" w:cs="Cascadia Mono" w:eastAsia="Cascadia Mono" w:hAnsi="Cascadia Mono"/>
                <w:b/>
                <w:bCs/>
                <w:sz w:val="22"/>
                <w:szCs w:val="22"/>
              </w:rPr>
              <w:t xml:space="preserve">MISSING_COHORT</w:t>
            </w:r>
          </w:p>
        </w:tc>
        <w:tc>
          <w:tcPr>
            <w:tcW w:type="dxa" w:w="6360"/>
            <w:tcBorders>
              <w:top w:val="single" w:color="D8E0DA" w:sz="1"/>
              <w:left w:val="single" w:color="D8E0DA" w:sz="1"/>
              <w:bottom w:val="single" w:color="D8E0DA" w:sz="1"/>
              <w:right w:val="single" w:color="D8E0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historical average available — cannot compute richness or theta</w:t>
            </w:r>
          </w:p>
        </w:tc>
      </w:tr>
    </w:tbl>
    <w:p>
      <w:pPr>
        <w:spacing w:after="200" w:before="0"/>
      </w:pPr>
    </w:p>
    <w:p>
      <w:pPr>
        <w:spacing w:after="120"/>
      </w:pPr>
      <w:r>
        <w:rPr>
          <w:rFonts w:ascii="Arial" w:cs="Arial" w:eastAsia="Arial" w:hAnsi="Arial"/>
          <w:color w:val="607069"/>
          <w:sz w:val="22"/>
          <w:szCs w:val="22"/>
        </w:rPr>
        <w:t xml:space="preserve">Source: CandidateScoringEngine.java — computed directly from live NSE market data and options_context_buckets historical cohort table.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DA" w:sz="4" w:space="4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607069"/>
        <w:sz w:val="22"/>
        <w:szCs w:val="22"/>
      </w:rPr>
      <w:t xml:space="preserve">Strategy Squad · Confidential   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607069"/>
        <w:sz w:val="22"/>
        <w:szCs w:val="22"/>
      </w:rPr>
      <w:t xml:space="preserve">Page </w:t>
    </w:r>
    <w:r>
      <w:rPr>
        <w:rFonts w:ascii="Arial" w:cs="Arial" w:eastAsia="Arial" w:hAnsi="Arial"/>
        <w:color w:val="607069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DA" w:sz="4" w:space="4"/>
      </w:pBdr>
      <w:spacing w:after="0"/>
    </w:pPr>
    <w:r>
      <w:rPr>
        <w:rFonts w:ascii="Arial" w:cs="Arial" w:eastAsia="Arial" w:hAnsi="Arial"/>
        <w:b/>
        <w:bCs/>
        <w:color w:val="075746"/>
        <w:sz w:val="22"/>
        <w:szCs w:val="22"/>
      </w:rPr>
      <w:t xml:space="preserve">Strategy Squad</w:t>
    </w:r>
    <w:r>
      <w:rPr>
        <w:rFonts w:ascii="Arial" w:cs="Arial" w:eastAsia="Arial" w:hAnsi="Arial"/>
        <w:color w:val="607069"/>
        <w:sz w:val="22"/>
        <w:szCs w:val="22"/>
      </w:rPr>
      <w:t xml:space="preserve">   |   Scanner Scoring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1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7574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7574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2026-04-29T06:19:49.998Z</dcterms:created>
  <dcterms:modified xsi:type="dcterms:W3CDTF">2026-04-29T06:19:50.000Z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