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2. What are HTML Entities? List out 5 commonly used HTML entities.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HTML entities - </w:t>
      </w:r>
      <w:r w:rsidDel="00000000" w:rsidR="00000000" w:rsidRPr="00000000">
        <w:rPr>
          <w:sz w:val="28"/>
          <w:szCs w:val="28"/>
          <w:rtl w:val="0"/>
        </w:rPr>
        <w:t xml:space="preserve">HTML entities are special codes or characters used in HTML to represent reserved characters, symbols, and special characters that have special meaning or functionality within HTML markup. These entities are used to ensure proper rendering and interpretation of characters by web browsers.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Commonly used HTML entities - </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&amp;lt;      - Represents the less-than symbol (&lt;).</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&amp;gt;     - Represents the greater-than symbol (&gt;).</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&amp;amp; - Represents the ampersand symbol (&amp;).</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&amp;quot; - Represents the double quotation mark (").</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&amp;copy; - Represents the copyright symbol (©).</w:t>
      </w:r>
    </w:p>
    <w:p w:rsidR="00000000" w:rsidDel="00000000" w:rsidP="00000000" w:rsidRDefault="00000000" w:rsidRPr="00000000" w14:paraId="0000000C">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