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5. Write a short note on the tab Index.</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Tab index in HTML is an attribute that controls the order in which elements receive focus when navigating through a web page using the keyboard's Tab key. It allows developers to define a specific tab order for interactive elements, such as form inputs or clickable elements.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The tab index attribute accepts a numerical value, starting from 1, indicating the order in which elements should receive focus. Elements with a lower tab index value will be focused on first, followed by elements with higher values. If multiple elements have the same tab index value, they will follow the document's default tab order.</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By setting the tab index attribute, you can enhance the accessibility and usability of your web pages, especially for users who rely on keyboard navigation instead of a mouse. It ensures that interactive elements can be reached and interacted with in a logical and intuitive order, improving the overall user experience.</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It's important to note that not all elements are meant to be included in the tab order. Only elements that can receive focus, such as links (&lt;a&gt;), form inputs (&lt;input&gt;, &lt;textarea&gt;, etc.), and buttons (&lt;button&gt;) should have a tab index value assigned. Non-interactive elements like &lt;div&gt; or &lt;span&gt; should typically be excluded from the tab order.</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Using the tab index attribute responsibly and thoughtfully can greatly enhance the accessibility and usability of your web pages, ensuring that all users can navigate and interact with your content effectively.</w:t>
      </w:r>
    </w:p>
    <w:p w:rsidR="00000000" w:rsidDel="00000000" w:rsidP="00000000" w:rsidRDefault="00000000" w:rsidRPr="00000000" w14:paraId="0000000D">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